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EE7" w:rsidRDefault="00B174B8">
      <w:pPr>
        <w:pStyle w:val="Heading1"/>
        <w:rPr>
          <w:rFonts w:ascii="Arial Narrow" w:hAnsi="Arial Narrow"/>
          <w:sz w:val="40"/>
        </w:rPr>
      </w:pPr>
      <w:r>
        <w:rPr>
          <w:rFonts w:ascii="Arial Narrow" w:hAnsi="Arial Narrow"/>
          <w:noProof/>
          <w:sz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495300</wp:posOffset>
                </wp:positionV>
                <wp:extent cx="6400800" cy="0"/>
                <wp:effectExtent l="9525" t="9525" r="9525" b="9525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39pt" to="502.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Y19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T6ExvXAEBldrZUBs9qxez1fS7Q0pXLVEHHhm+XgykZSEjeZMSNs4A/r7/rBnEkKPXsU3n&#10;xnYBEhqAzlGNy10NfvaIwuEsT9N5CqL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"/>
            </w:pict>
          </mc:Fallback>
        </mc:AlternateContent>
      </w:r>
      <w:r>
        <w:rPr>
          <w:rFonts w:ascii="Arial Narrow" w:hAnsi="Arial Narrow"/>
          <w:noProof/>
          <w:sz w:val="4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0</wp:posOffset>
            </wp:positionV>
            <wp:extent cx="2905125" cy="723900"/>
            <wp:effectExtent l="0" t="0" r="9525" b="0"/>
            <wp:wrapThrough wrapText="bothSides">
              <wp:wrapPolygon edited="0">
                <wp:start x="0" y="0"/>
                <wp:lineTo x="0" y="21032"/>
                <wp:lineTo x="21529" y="21032"/>
                <wp:lineTo x="21529" y="0"/>
                <wp:lineTo x="0" y="0"/>
              </wp:wrapPolygon>
            </wp:wrapThrough>
            <wp:docPr id="3" name="Picture 2" descr="D:\MyFiles\wp\FactSheets\DEC_logo_lzw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Files\wp\FactSheets\DEC_logo_lzw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sz w:val="40"/>
        </w:rPr>
        <w:t>Environmental Fact Sheet</w:t>
      </w:r>
      <w:r>
        <w:rPr>
          <w:rFonts w:ascii="Arial Narrow" w:hAnsi="Arial Narrow"/>
          <w:sz w:val="40"/>
        </w:rPr>
        <w:tab/>
      </w:r>
      <w:r>
        <w:rPr>
          <w:rFonts w:ascii="Arial Narrow" w:hAnsi="Arial Narrow"/>
          <w:sz w:val="40"/>
        </w:rPr>
        <w:tab/>
      </w:r>
    </w:p>
    <w:p w:rsidR="00054EE7" w:rsidRDefault="00054EE7"/>
    <w:p w:rsidR="00BB7662" w:rsidRDefault="00BB7662" w:rsidP="00BB7662">
      <w:pPr>
        <w:autoSpaceDE w:val="0"/>
        <w:autoSpaceDN w:val="0"/>
        <w:adjustRightInd w:val="0"/>
        <w:rPr>
          <w:rFonts w:cs="Arial"/>
          <w:b/>
          <w:bCs/>
          <w:color w:val="000000"/>
          <w:sz w:val="36"/>
          <w:szCs w:val="36"/>
        </w:rPr>
      </w:pPr>
    </w:p>
    <w:p w:rsidR="00E948B2" w:rsidRPr="00E948B2" w:rsidRDefault="00E948B2" w:rsidP="00E948B2">
      <w:pPr>
        <w:jc w:val="center"/>
        <w:rPr>
          <w:rFonts w:ascii="Times New Roman" w:hAnsi="Times New Roman"/>
          <w:b/>
          <w:sz w:val="36"/>
          <w:szCs w:val="36"/>
        </w:rPr>
      </w:pPr>
      <w:r w:rsidRPr="00E948B2">
        <w:rPr>
          <w:rFonts w:ascii="Times New Roman" w:hAnsi="Times New Roman"/>
          <w:b/>
          <w:sz w:val="36"/>
          <w:szCs w:val="36"/>
        </w:rPr>
        <w:t>On-site Distillation to Recycle Solvents</w:t>
      </w:r>
    </w:p>
    <w:p w:rsidR="00E948B2" w:rsidRDefault="00E948B2" w:rsidP="00E948B2">
      <w:pPr>
        <w:rPr>
          <w:rFonts w:ascii="Times New Roman" w:hAnsi="Times New Roman"/>
          <w:sz w:val="24"/>
        </w:rPr>
      </w:pPr>
    </w:p>
    <w:p w:rsidR="00E948B2" w:rsidRDefault="00E948B2" w:rsidP="00E948B2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Autobody</w:t>
      </w:r>
      <w:proofErr w:type="spellEnd"/>
      <w:r>
        <w:rPr>
          <w:rFonts w:ascii="Times New Roman" w:hAnsi="Times New Roman"/>
          <w:sz w:val="24"/>
        </w:rPr>
        <w:t xml:space="preserve"> shops use a significant amount of paint thinner and solvent for cleaning spray equipment.  Up to 80 percent of used solvent can be reprocessed for reuse through an on-site recycling system.  Distillation is the most common method of solvent recycling.  On-site distillation will save money resulting from reduced purchases of virgin material as well as lowering disposal costs.  Regulatory requirements may also be lessened.  Other factors when considering a distillation unit include fire and electrical safety concerns and recycled product quality.      </w:t>
      </w:r>
    </w:p>
    <w:p w:rsidR="00E948B2" w:rsidRDefault="00E948B2" w:rsidP="00E948B2">
      <w:pPr>
        <w:rPr>
          <w:rFonts w:ascii="Times New Roman" w:hAnsi="Times New Roman"/>
          <w:b/>
          <w:sz w:val="24"/>
        </w:rPr>
      </w:pPr>
    </w:p>
    <w:p w:rsidR="00E948B2" w:rsidRPr="00E948B2" w:rsidRDefault="00E948B2" w:rsidP="00E948B2">
      <w:pPr>
        <w:rPr>
          <w:rFonts w:ascii="Times New Roman" w:hAnsi="Times New Roman"/>
          <w:b/>
          <w:sz w:val="24"/>
        </w:rPr>
      </w:pPr>
      <w:r w:rsidRPr="00E948B2">
        <w:rPr>
          <w:rFonts w:ascii="Times New Roman" w:hAnsi="Times New Roman"/>
          <w:b/>
          <w:sz w:val="24"/>
        </w:rPr>
        <w:t xml:space="preserve">How does </w:t>
      </w:r>
      <w:r>
        <w:rPr>
          <w:rFonts w:ascii="Times New Roman" w:hAnsi="Times New Roman"/>
          <w:b/>
          <w:sz w:val="24"/>
        </w:rPr>
        <w:t>o</w:t>
      </w:r>
      <w:r w:rsidRPr="00E948B2">
        <w:rPr>
          <w:rFonts w:ascii="Times New Roman" w:hAnsi="Times New Roman"/>
          <w:b/>
          <w:sz w:val="24"/>
        </w:rPr>
        <w:t xml:space="preserve">n-site </w:t>
      </w:r>
      <w:r>
        <w:rPr>
          <w:rFonts w:ascii="Times New Roman" w:hAnsi="Times New Roman"/>
          <w:b/>
          <w:sz w:val="24"/>
        </w:rPr>
        <w:t>d</w:t>
      </w:r>
      <w:r w:rsidRPr="00E948B2">
        <w:rPr>
          <w:rFonts w:ascii="Times New Roman" w:hAnsi="Times New Roman"/>
          <w:b/>
          <w:sz w:val="24"/>
        </w:rPr>
        <w:t xml:space="preserve">istillation </w:t>
      </w:r>
      <w:r>
        <w:rPr>
          <w:rFonts w:ascii="Times New Roman" w:hAnsi="Times New Roman"/>
          <w:b/>
          <w:sz w:val="24"/>
        </w:rPr>
        <w:t>e</w:t>
      </w:r>
      <w:r w:rsidRPr="00E948B2">
        <w:rPr>
          <w:rFonts w:ascii="Times New Roman" w:hAnsi="Times New Roman"/>
          <w:b/>
          <w:sz w:val="24"/>
        </w:rPr>
        <w:t xml:space="preserve">quipment </w:t>
      </w:r>
      <w:r>
        <w:rPr>
          <w:rFonts w:ascii="Times New Roman" w:hAnsi="Times New Roman"/>
          <w:b/>
          <w:sz w:val="24"/>
        </w:rPr>
        <w:t>w</w:t>
      </w:r>
      <w:r w:rsidRPr="00E948B2">
        <w:rPr>
          <w:rFonts w:ascii="Times New Roman" w:hAnsi="Times New Roman"/>
          <w:b/>
          <w:sz w:val="24"/>
        </w:rPr>
        <w:t>ork?</w:t>
      </w:r>
    </w:p>
    <w:p w:rsidR="00E948B2" w:rsidRDefault="00E948B2" w:rsidP="00E948B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Simple units operate by vaporizing solvent within a closed system, leaving behind paint residue and other contaminants in a sludge or solid material called “still bottoms”.  </w:t>
      </w:r>
      <w:r w:rsidRPr="00665FB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The vaporized solvent is captured when it condenses on a refrigerated heat exchanger and is then collected in a separate container.  Small stills can process batch runs of five gallons or less and can be very cost effective - especially when used in combination with gun washing equipment.  Gun washers reuse solvent for successive cleanings.  When the solvent is no longer effective it can be reclaimed using distillation equipment.    </w:t>
      </w:r>
    </w:p>
    <w:p w:rsidR="00E948B2" w:rsidRDefault="00E948B2" w:rsidP="00E948B2">
      <w:pPr>
        <w:rPr>
          <w:rFonts w:ascii="Times New Roman" w:hAnsi="Times New Roman"/>
          <w:b/>
          <w:sz w:val="24"/>
        </w:rPr>
      </w:pPr>
    </w:p>
    <w:p w:rsidR="00E948B2" w:rsidRPr="00E948B2" w:rsidRDefault="00E948B2" w:rsidP="00E948B2">
      <w:pPr>
        <w:rPr>
          <w:rFonts w:ascii="Times New Roman" w:hAnsi="Times New Roman"/>
          <w:b/>
          <w:sz w:val="24"/>
        </w:rPr>
      </w:pPr>
      <w:r w:rsidRPr="00E948B2">
        <w:rPr>
          <w:rFonts w:ascii="Times New Roman" w:hAnsi="Times New Roman"/>
          <w:b/>
          <w:sz w:val="24"/>
        </w:rPr>
        <w:t>Do the still bottoms have to be managed as a hazardous waste?</w:t>
      </w:r>
    </w:p>
    <w:p w:rsidR="00E948B2" w:rsidRDefault="00E948B2" w:rsidP="00E948B2">
      <w:pPr>
        <w:rPr>
          <w:rFonts w:ascii="Times New Roman" w:hAnsi="Times New Roman"/>
          <w:sz w:val="24"/>
        </w:rPr>
      </w:pPr>
      <w:r w:rsidRPr="00D70EFB">
        <w:rPr>
          <w:rFonts w:ascii="Times New Roman" w:hAnsi="Times New Roman"/>
          <w:sz w:val="24"/>
        </w:rPr>
        <w:t xml:space="preserve">Still </w:t>
      </w:r>
      <w:r>
        <w:rPr>
          <w:rFonts w:ascii="Times New Roman" w:hAnsi="Times New Roman"/>
          <w:sz w:val="24"/>
        </w:rPr>
        <w:t xml:space="preserve">bottoms (solid still bottoms are often called a “puck”) generally must be managed as hazardous waste because most solvents being used and recycled in </w:t>
      </w:r>
      <w:proofErr w:type="spellStart"/>
      <w:r>
        <w:rPr>
          <w:rFonts w:ascii="Times New Roman" w:hAnsi="Times New Roman"/>
          <w:sz w:val="24"/>
        </w:rPr>
        <w:t>autobody</w:t>
      </w:r>
      <w:proofErr w:type="spellEnd"/>
      <w:r>
        <w:rPr>
          <w:rFonts w:ascii="Times New Roman" w:hAnsi="Times New Roman"/>
          <w:sz w:val="24"/>
        </w:rPr>
        <w:t xml:space="preserve"> shops are specifically “listed” as hazardous waste or are ignitable.  Some common solvents used by </w:t>
      </w:r>
      <w:proofErr w:type="spellStart"/>
      <w:r>
        <w:rPr>
          <w:rFonts w:ascii="Times New Roman" w:hAnsi="Times New Roman"/>
          <w:sz w:val="24"/>
        </w:rPr>
        <w:t>autobody</w:t>
      </w:r>
      <w:proofErr w:type="spellEnd"/>
      <w:r>
        <w:rPr>
          <w:rFonts w:ascii="Times New Roman" w:hAnsi="Times New Roman"/>
          <w:sz w:val="24"/>
        </w:rPr>
        <w:t xml:space="preserve"> shops are identified by the following “F-listing” hazardous waste codes:    </w:t>
      </w:r>
    </w:p>
    <w:p w:rsidR="00E948B2" w:rsidRDefault="00E948B2" w:rsidP="00E948B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F003: xylene, acetone, methyl isobutyl ketone and methanol</w:t>
      </w:r>
    </w:p>
    <w:p w:rsidR="00E948B2" w:rsidRDefault="00E948B2" w:rsidP="00E948B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F005: toluene, methyl ethyl ketone and </w:t>
      </w:r>
      <w:proofErr w:type="spellStart"/>
      <w:r>
        <w:rPr>
          <w:rFonts w:ascii="Times New Roman" w:hAnsi="Times New Roman"/>
          <w:sz w:val="24"/>
        </w:rPr>
        <w:t>isobutanol</w:t>
      </w:r>
      <w:proofErr w:type="spellEnd"/>
    </w:p>
    <w:p w:rsidR="00E948B2" w:rsidRDefault="00E948B2" w:rsidP="00E948B2">
      <w:pPr>
        <w:rPr>
          <w:rFonts w:ascii="Times New Roman" w:hAnsi="Times New Roman"/>
          <w:sz w:val="24"/>
        </w:rPr>
      </w:pPr>
    </w:p>
    <w:p w:rsidR="00E948B2" w:rsidRDefault="00E948B2" w:rsidP="00E948B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Although less common, some shops may use petroleum mineral spirits, </w:t>
      </w:r>
      <w:proofErr w:type="spellStart"/>
      <w:r>
        <w:rPr>
          <w:rFonts w:ascii="Times New Roman" w:hAnsi="Times New Roman"/>
          <w:sz w:val="24"/>
        </w:rPr>
        <w:t>stoddard</w:t>
      </w:r>
      <w:proofErr w:type="spellEnd"/>
      <w:r>
        <w:rPr>
          <w:rFonts w:ascii="Times New Roman" w:hAnsi="Times New Roman"/>
          <w:sz w:val="24"/>
        </w:rPr>
        <w:t xml:space="preserve"> solvent or </w:t>
      </w:r>
      <w:proofErr w:type="spellStart"/>
      <w:r>
        <w:rPr>
          <w:rFonts w:ascii="Times New Roman" w:hAnsi="Times New Roman"/>
          <w:sz w:val="24"/>
        </w:rPr>
        <w:t>naptha</w:t>
      </w:r>
      <w:proofErr w:type="spellEnd"/>
      <w:r>
        <w:rPr>
          <w:rFonts w:ascii="Times New Roman" w:hAnsi="Times New Roman"/>
          <w:sz w:val="24"/>
        </w:rPr>
        <w:t xml:space="preserve"> to clean spray equipment.  When spent, these solvents or the still bottoms resulting from distillation of these </w:t>
      </w:r>
      <w:proofErr w:type="gramStart"/>
      <w:r>
        <w:rPr>
          <w:rFonts w:ascii="Times New Roman" w:hAnsi="Times New Roman"/>
          <w:sz w:val="24"/>
        </w:rPr>
        <w:t>solvents,</w:t>
      </w:r>
      <w:proofErr w:type="gramEnd"/>
      <w:r>
        <w:rPr>
          <w:rFonts w:ascii="Times New Roman" w:hAnsi="Times New Roman"/>
          <w:sz w:val="24"/>
        </w:rPr>
        <w:t xml:space="preserve"> are hazardous waste if they are greater than 5 % by weight petroleum distillate - identified by the VT02 hazardous waste code- or are ignitable.</w:t>
      </w:r>
    </w:p>
    <w:p w:rsidR="00E948B2" w:rsidRDefault="00E948B2" w:rsidP="00E948B2">
      <w:pPr>
        <w:rPr>
          <w:rFonts w:ascii="Times New Roman" w:hAnsi="Times New Roman"/>
          <w:sz w:val="24"/>
        </w:rPr>
      </w:pPr>
    </w:p>
    <w:p w:rsidR="00E948B2" w:rsidRPr="00D70EFB" w:rsidRDefault="00E948B2" w:rsidP="00E948B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To determine if a still bottom (or spent solvent) is regulated as hazardous waste, compare the constituents identified on the material data safety sheets (MSDS) for the solvent being used to see if any F-listed or petroleum-based solvents are identified.  For a complete list of F-listed wastes, see section 7-210 of Vermont’s Hazardous Waste Management Regulations. </w:t>
      </w:r>
    </w:p>
    <w:p w:rsidR="00E948B2" w:rsidRDefault="00E948B2" w:rsidP="00E948B2">
      <w:pPr>
        <w:rPr>
          <w:rFonts w:ascii="Times New Roman" w:hAnsi="Times New Roman"/>
          <w:b/>
          <w:sz w:val="24"/>
        </w:rPr>
      </w:pPr>
    </w:p>
    <w:p w:rsidR="00E948B2" w:rsidRPr="002675C1" w:rsidRDefault="00E948B2" w:rsidP="00E948B2">
      <w:pPr>
        <w:rPr>
          <w:rFonts w:ascii="Times New Roman" w:hAnsi="Times New Roman"/>
          <w:b/>
          <w:sz w:val="24"/>
        </w:rPr>
      </w:pPr>
      <w:r w:rsidRPr="002675C1">
        <w:rPr>
          <w:rFonts w:ascii="Times New Roman" w:hAnsi="Times New Roman"/>
          <w:b/>
          <w:sz w:val="24"/>
        </w:rPr>
        <w:t>Does recycled solvent “count” as hazardous waste when determining my generator status?</w:t>
      </w:r>
    </w:p>
    <w:p w:rsidR="00E948B2" w:rsidRDefault="00E948B2" w:rsidP="00E948B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weight of waste solvent destined for on-site recycling is counted only the “first time through” the recycling process when calculating monthly hazardous waste generation totals used to determine a facility’s “generator status”.  Simply put, generator status determines the level of regulation that a facility is subject to.  For example, if the weight of all hazardous waste generated at a facility changes from more than 220 lbs. in a month to less than that amount, the facility’s generator status changes from small quantity (“SQG”) to conditionally exempt (“CEG”) and it has fewer regulatory requirements to comply with.    </w:t>
      </w:r>
    </w:p>
    <w:p w:rsidR="00E948B2" w:rsidRDefault="00E948B2" w:rsidP="00E948B2">
      <w:pPr>
        <w:rPr>
          <w:rFonts w:ascii="Times New Roman" w:hAnsi="Times New Roman"/>
          <w:sz w:val="24"/>
        </w:rPr>
      </w:pPr>
    </w:p>
    <w:p w:rsidR="002675C1" w:rsidRDefault="002675C1" w:rsidP="00E948B2">
      <w:pPr>
        <w:rPr>
          <w:rFonts w:ascii="Times New Roman" w:hAnsi="Times New Roman"/>
          <w:sz w:val="24"/>
        </w:rPr>
      </w:pPr>
    </w:p>
    <w:p w:rsidR="002675C1" w:rsidRDefault="002675C1" w:rsidP="00E948B2">
      <w:pPr>
        <w:rPr>
          <w:rFonts w:ascii="Times New Roman" w:hAnsi="Times New Roman"/>
          <w:sz w:val="24"/>
        </w:rPr>
      </w:pPr>
    </w:p>
    <w:p w:rsidR="00E948B2" w:rsidRDefault="00E948B2" w:rsidP="00E948B2">
      <w:pPr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 xml:space="preserve">Since recycled solvent is processed again and again, after the first time through the recycling process its weight should </w:t>
      </w:r>
      <w:r w:rsidRPr="00057C10">
        <w:rPr>
          <w:rFonts w:ascii="Times New Roman" w:hAnsi="Times New Roman"/>
          <w:i/>
          <w:sz w:val="24"/>
        </w:rPr>
        <w:t>not</w:t>
      </w:r>
      <w:r>
        <w:rPr>
          <w:rFonts w:ascii="Times New Roman" w:hAnsi="Times New Roman"/>
          <w:sz w:val="24"/>
        </w:rPr>
        <w:t xml:space="preserve"> be added to the weight of other hazardous waste generated by the facility during the month.  This is important as it can make the difference in keeping the facility in a lower status category.  </w:t>
      </w:r>
    </w:p>
    <w:p w:rsidR="00E948B2" w:rsidRDefault="00E948B2" w:rsidP="00E948B2">
      <w:pPr>
        <w:rPr>
          <w:rFonts w:ascii="Times New Roman" w:hAnsi="Times New Roman"/>
          <w:b/>
          <w:sz w:val="24"/>
        </w:rPr>
      </w:pPr>
    </w:p>
    <w:p w:rsidR="00E948B2" w:rsidRDefault="00E948B2" w:rsidP="00E948B2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How must </w:t>
      </w:r>
      <w:proofErr w:type="spellStart"/>
      <w:r>
        <w:rPr>
          <w:rFonts w:ascii="Times New Roman" w:hAnsi="Times New Roman"/>
          <w:b/>
          <w:sz w:val="24"/>
        </w:rPr>
        <w:t>used</w:t>
      </w:r>
      <w:proofErr w:type="spellEnd"/>
      <w:r>
        <w:rPr>
          <w:rFonts w:ascii="Times New Roman" w:hAnsi="Times New Roman"/>
          <w:b/>
          <w:sz w:val="24"/>
        </w:rPr>
        <w:t xml:space="preserve"> solvent awaiting distillation be managed?</w:t>
      </w:r>
    </w:p>
    <w:p w:rsidR="00E948B2" w:rsidRPr="00613396" w:rsidRDefault="00E948B2" w:rsidP="00E948B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It is important to note that solvent that is partially used, and will be used again prior to recycling, is not considered a waste because it is still being used for its intended purpose.  However, once solvent can no longer be used, it is a waste and must either be transferred directly to the still for reclamation or  managed according to hazardous waste container management (and potentially other) requirements. </w:t>
      </w:r>
    </w:p>
    <w:p w:rsidR="00E948B2" w:rsidRDefault="00E948B2" w:rsidP="00E948B2">
      <w:pPr>
        <w:rPr>
          <w:rFonts w:ascii="Times New Roman" w:hAnsi="Times New Roman"/>
          <w:b/>
          <w:sz w:val="24"/>
        </w:rPr>
      </w:pPr>
    </w:p>
    <w:p w:rsidR="00E948B2" w:rsidRDefault="00E948B2" w:rsidP="00E948B2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Do other requirements apply?</w:t>
      </w:r>
    </w:p>
    <w:p w:rsidR="00E948B2" w:rsidRDefault="00E948B2" w:rsidP="00E948B2">
      <w:pPr>
        <w:rPr>
          <w:rFonts w:ascii="Times New Roman" w:hAnsi="Times New Roman"/>
          <w:sz w:val="24"/>
        </w:rPr>
      </w:pPr>
      <w:r w:rsidRPr="0043176C">
        <w:rPr>
          <w:rFonts w:ascii="Times New Roman" w:hAnsi="Times New Roman"/>
          <w:sz w:val="24"/>
        </w:rPr>
        <w:t xml:space="preserve">Because on-site distillation </w:t>
      </w:r>
      <w:r>
        <w:rPr>
          <w:rFonts w:ascii="Times New Roman" w:hAnsi="Times New Roman"/>
          <w:sz w:val="24"/>
        </w:rPr>
        <w:t xml:space="preserve">is a generator treatment activity, the facility must provide written notification of the activity to the DEC’s Hazardous Waste Program.  The notification must provide the following information:  </w:t>
      </w:r>
    </w:p>
    <w:p w:rsidR="00E948B2" w:rsidRDefault="00E948B2" w:rsidP="00E948B2">
      <w:pPr>
        <w:rPr>
          <w:rFonts w:ascii="Times New Roman" w:hAnsi="Times New Roman"/>
          <w:sz w:val="24"/>
        </w:rPr>
      </w:pPr>
    </w:p>
    <w:p w:rsidR="00E948B2" w:rsidRDefault="00E948B2" w:rsidP="00E948B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a) </w:t>
      </w:r>
      <w:proofErr w:type="gramStart"/>
      <w:r>
        <w:rPr>
          <w:rFonts w:ascii="Times New Roman" w:hAnsi="Times New Roman"/>
          <w:sz w:val="24"/>
        </w:rPr>
        <w:t>a</w:t>
      </w:r>
      <w:proofErr w:type="gramEnd"/>
      <w:r>
        <w:rPr>
          <w:rFonts w:ascii="Times New Roman" w:hAnsi="Times New Roman"/>
          <w:sz w:val="24"/>
        </w:rPr>
        <w:t xml:space="preserve"> simple description of the process;</w:t>
      </w:r>
    </w:p>
    <w:p w:rsidR="00E948B2" w:rsidRDefault="00E948B2" w:rsidP="00E948B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b) </w:t>
      </w:r>
      <w:proofErr w:type="gramStart"/>
      <w:r>
        <w:rPr>
          <w:rFonts w:ascii="Times New Roman" w:hAnsi="Times New Roman"/>
          <w:sz w:val="24"/>
        </w:rPr>
        <w:t>an</w:t>
      </w:r>
      <w:proofErr w:type="gramEnd"/>
      <w:r>
        <w:rPr>
          <w:rFonts w:ascii="Times New Roman" w:hAnsi="Times New Roman"/>
          <w:sz w:val="24"/>
        </w:rPr>
        <w:t xml:space="preserve"> estimate of the frequency that the distillation process will be used;</w:t>
      </w:r>
    </w:p>
    <w:p w:rsidR="00E948B2" w:rsidRDefault="00E948B2" w:rsidP="00E948B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c) </w:t>
      </w:r>
      <w:proofErr w:type="gramStart"/>
      <w:r>
        <w:rPr>
          <w:rFonts w:ascii="Times New Roman" w:hAnsi="Times New Roman"/>
          <w:sz w:val="24"/>
        </w:rPr>
        <w:t>the</w:t>
      </w:r>
      <w:proofErr w:type="gramEnd"/>
      <w:r>
        <w:rPr>
          <w:rFonts w:ascii="Times New Roman" w:hAnsi="Times New Roman"/>
          <w:sz w:val="24"/>
        </w:rPr>
        <w:t xml:space="preserve"> type and quantity of solvents to be distilled; and</w:t>
      </w:r>
    </w:p>
    <w:p w:rsidR="00E948B2" w:rsidRPr="0043176C" w:rsidRDefault="00E948B2" w:rsidP="00E948B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d) </w:t>
      </w:r>
      <w:proofErr w:type="gramStart"/>
      <w:r>
        <w:rPr>
          <w:rFonts w:ascii="Times New Roman" w:hAnsi="Times New Roman"/>
          <w:sz w:val="24"/>
        </w:rPr>
        <w:t>how</w:t>
      </w:r>
      <w:proofErr w:type="gramEnd"/>
      <w:r>
        <w:rPr>
          <w:rFonts w:ascii="Times New Roman" w:hAnsi="Times New Roman"/>
          <w:sz w:val="24"/>
        </w:rPr>
        <w:t xml:space="preserve"> the still bottoms will be managed.</w:t>
      </w:r>
    </w:p>
    <w:p w:rsidR="00BB7662" w:rsidRDefault="00BB7662" w:rsidP="00BB7662">
      <w:pPr>
        <w:autoSpaceDE w:val="0"/>
        <w:autoSpaceDN w:val="0"/>
        <w:adjustRightInd w:val="0"/>
        <w:rPr>
          <w:rFonts w:cs="Arial"/>
          <w:color w:val="231F20"/>
        </w:rPr>
      </w:pPr>
    </w:p>
    <w:sectPr w:rsidR="00BB76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4B8" w:rsidRDefault="00B174B8">
      <w:r>
        <w:separator/>
      </w:r>
    </w:p>
  </w:endnote>
  <w:endnote w:type="continuationSeparator" w:id="0">
    <w:p w:rsidR="00B174B8" w:rsidRDefault="00B17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BGPE P+ Garamon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79" w:rsidRDefault="006C0A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EE7" w:rsidRDefault="00B174B8">
    <w:pPr>
      <w:pStyle w:val="Footer"/>
      <w:tabs>
        <w:tab w:val="clear" w:pos="4320"/>
        <w:tab w:val="left" w:pos="5760"/>
      </w:tabs>
      <w:spacing w:before="40"/>
      <w:rPr>
        <w:rFonts w:cs="Arial"/>
        <w:sz w:val="20"/>
      </w:rPr>
    </w:pPr>
    <w:r>
      <w:rPr>
        <w:rFonts w:cs="Arial"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3C03BA" wp14:editId="3A67C685">
              <wp:simplePos x="0" y="0"/>
              <wp:positionH relativeFrom="column">
                <wp:posOffset>-28575</wp:posOffset>
              </wp:positionH>
              <wp:positionV relativeFrom="paragraph">
                <wp:posOffset>0</wp:posOffset>
              </wp:positionV>
              <wp:extent cx="6448425" cy="0"/>
              <wp:effectExtent l="9525" t="9525" r="9525" b="952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84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0" to="50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"/>
          </w:pict>
        </mc:Fallback>
      </mc:AlternateContent>
    </w:r>
    <w:r w:rsidR="006C0A79">
      <w:rPr>
        <w:rFonts w:cs="Arial"/>
        <w:sz w:val="20"/>
      </w:rPr>
      <w:t xml:space="preserve"> </w:t>
    </w:r>
    <w:r>
      <w:rPr>
        <w:rFonts w:cs="Arial"/>
        <w:sz w:val="20"/>
      </w:rPr>
      <w:t>•</w:t>
    </w:r>
    <w:r>
      <w:rPr>
        <w:rFonts w:ascii="Arial Narrow" w:hAnsi="Arial Narrow" w:cs="Arial"/>
        <w:sz w:val="20"/>
      </w:rPr>
      <w:t xml:space="preserve"> rev. </w:t>
    </w:r>
    <w:r w:rsidR="00A02828">
      <w:rPr>
        <w:rFonts w:ascii="Arial Narrow" w:hAnsi="Arial Narrow" w:cs="Arial"/>
        <w:sz w:val="20"/>
      </w:rPr>
      <w:t>10</w:t>
    </w:r>
    <w:r>
      <w:rPr>
        <w:rFonts w:ascii="Arial Narrow" w:hAnsi="Arial Narrow" w:cs="Arial"/>
        <w:sz w:val="20"/>
      </w:rPr>
      <w:t>/20</w:t>
    </w:r>
    <w:r w:rsidR="00A02828">
      <w:rPr>
        <w:rFonts w:ascii="Arial Narrow" w:hAnsi="Arial Narrow" w:cs="Arial"/>
        <w:sz w:val="20"/>
      </w:rPr>
      <w:t>12</w:t>
    </w:r>
    <w:r>
      <w:rPr>
        <w:rFonts w:ascii="Arial Narrow" w:hAnsi="Arial Narrow" w:cs="Arial"/>
        <w:sz w:val="20"/>
      </w:rPr>
      <w:t xml:space="preserve">   </w:t>
    </w:r>
    <w:hyperlink r:id="rId1" w:history="1">
      <w:r w:rsidRPr="00734234">
        <w:rPr>
          <w:rStyle w:val="Hyperlink"/>
          <w:rFonts w:ascii="Arial Narrow" w:hAnsi="Arial Narrow" w:cs="Arial"/>
          <w:sz w:val="20"/>
        </w:rPr>
        <w:t>http://www.anr.state.vt.us/dec/ead/sbcap/resources.htm</w:t>
      </w:r>
    </w:hyperlink>
    <w:r>
      <w:rPr>
        <w:rFonts w:ascii="Arial Narrow" w:hAnsi="Arial Narrow" w:cs="Arial"/>
        <w:sz w:val="20"/>
      </w:rPr>
      <w:t xml:space="preserve"> </w:t>
    </w:r>
    <w:r>
      <w:rPr>
        <w:rFonts w:ascii="Arial Narrow" w:hAnsi="Arial Narrow" w:cs="Arial"/>
        <w:sz w:val="20"/>
      </w:rPr>
      <w:tab/>
    </w:r>
    <w:r>
      <w:rPr>
        <w:rFonts w:ascii="Arial Narrow" w:hAnsi="Arial Narrow" w:cs="Arial"/>
        <w:sz w:val="20"/>
      </w:rPr>
      <w:tab/>
      <w:t xml:space="preserve">• </w:t>
    </w:r>
    <w:r>
      <w:rPr>
        <w:rStyle w:val="PageNumber"/>
        <w:rFonts w:ascii="Arial Narrow" w:hAnsi="Arial Narrow"/>
        <w:sz w:val="20"/>
      </w:rPr>
      <w:fldChar w:fldCharType="begin"/>
    </w:r>
    <w:r>
      <w:rPr>
        <w:rStyle w:val="PageNumber"/>
        <w:rFonts w:ascii="Arial Narrow" w:hAnsi="Arial Narrow"/>
        <w:sz w:val="20"/>
      </w:rPr>
      <w:instrText xml:space="preserve"> PAGE </w:instrText>
    </w:r>
    <w:r>
      <w:rPr>
        <w:rStyle w:val="PageNumber"/>
        <w:rFonts w:ascii="Arial Narrow" w:hAnsi="Arial Narrow"/>
        <w:sz w:val="20"/>
      </w:rPr>
      <w:fldChar w:fldCharType="separate"/>
    </w:r>
    <w:r w:rsidR="002675C1">
      <w:rPr>
        <w:rStyle w:val="PageNumber"/>
        <w:rFonts w:ascii="Arial Narrow" w:hAnsi="Arial Narrow"/>
        <w:noProof/>
        <w:sz w:val="20"/>
      </w:rPr>
      <w:t>1</w:t>
    </w:r>
    <w:r>
      <w:rPr>
        <w:rStyle w:val="PageNumber"/>
        <w:rFonts w:ascii="Arial Narrow" w:hAnsi="Arial Narrow"/>
        <w:sz w:val="20"/>
      </w:rPr>
      <w:fldChar w:fldCharType="end"/>
    </w:r>
    <w:r>
      <w:rPr>
        <w:rStyle w:val="PageNumber"/>
        <w:rFonts w:ascii="Arial Narrow" w:hAnsi="Arial Narrow"/>
        <w:sz w:val="20"/>
      </w:rPr>
      <w:t xml:space="preserve"> of </w:t>
    </w:r>
    <w:r>
      <w:rPr>
        <w:rStyle w:val="PageNumber"/>
        <w:rFonts w:ascii="Arial Narrow" w:hAnsi="Arial Narrow"/>
        <w:sz w:val="20"/>
      </w:rPr>
      <w:fldChar w:fldCharType="begin"/>
    </w:r>
    <w:r>
      <w:rPr>
        <w:rStyle w:val="PageNumber"/>
        <w:rFonts w:ascii="Arial Narrow" w:hAnsi="Arial Narrow"/>
        <w:sz w:val="20"/>
      </w:rPr>
      <w:instrText xml:space="preserve"> NUMPAGES </w:instrText>
    </w:r>
    <w:r>
      <w:rPr>
        <w:rStyle w:val="PageNumber"/>
        <w:rFonts w:ascii="Arial Narrow" w:hAnsi="Arial Narrow"/>
        <w:sz w:val="20"/>
      </w:rPr>
      <w:fldChar w:fldCharType="separate"/>
    </w:r>
    <w:r w:rsidR="002675C1">
      <w:rPr>
        <w:rStyle w:val="PageNumber"/>
        <w:rFonts w:ascii="Arial Narrow" w:hAnsi="Arial Narrow"/>
        <w:noProof/>
        <w:sz w:val="20"/>
      </w:rPr>
      <w:t>2</w:t>
    </w:r>
    <w:r>
      <w:rPr>
        <w:rStyle w:val="PageNumber"/>
        <w:rFonts w:ascii="Arial Narrow" w:hAnsi="Arial Narrow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79" w:rsidRDefault="006C0A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4B8" w:rsidRDefault="00B174B8">
      <w:r>
        <w:separator/>
      </w:r>
    </w:p>
  </w:footnote>
  <w:footnote w:type="continuationSeparator" w:id="0">
    <w:p w:rsidR="00B174B8" w:rsidRDefault="00B174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79" w:rsidRDefault="006C0A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79" w:rsidRDefault="006C0A7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79" w:rsidRDefault="006C0A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7"/>
  <w:drawingGridVerticalSpacing w:val="187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4B8"/>
    <w:rsid w:val="00054EE7"/>
    <w:rsid w:val="002675C1"/>
    <w:rsid w:val="004063B6"/>
    <w:rsid w:val="006C0A79"/>
    <w:rsid w:val="00851EF2"/>
    <w:rsid w:val="00A02828"/>
    <w:rsid w:val="00B174B8"/>
    <w:rsid w:val="00BB7662"/>
    <w:rsid w:val="00E9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216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 Narrow" w:hAnsi="Arial Narrow" w:cs="Arial"/>
      <w:b/>
      <w:bCs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FactSheetTitle">
    <w:name w:val="FactSheetTitle"/>
    <w:basedOn w:val="Heading1"/>
    <w:next w:val="Normal"/>
    <w:pPr>
      <w:jc w:val="center"/>
    </w:pPr>
    <w:rPr>
      <w:rFonts w:ascii="Arial Narrow" w:hAnsi="Arial Narrow"/>
      <w:sz w:val="4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PageNumber">
    <w:name w:val="page number"/>
    <w:basedOn w:val="DefaultParagraphFont"/>
    <w:semiHidden/>
  </w:style>
  <w:style w:type="paragraph" w:customStyle="1" w:styleId="Default">
    <w:name w:val="Default"/>
    <w:rsid w:val="00BB7662"/>
    <w:pPr>
      <w:autoSpaceDE w:val="0"/>
      <w:autoSpaceDN w:val="0"/>
      <w:adjustRightInd w:val="0"/>
    </w:pPr>
    <w:rPr>
      <w:rFonts w:ascii="OBGPE P+ Garamond" w:eastAsiaTheme="minorEastAsia" w:hAnsi="OBGPE P+ Garamond" w:cs="OBGPE P+ Garamon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216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 Narrow" w:hAnsi="Arial Narrow" w:cs="Arial"/>
      <w:b/>
      <w:bCs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FactSheetTitle">
    <w:name w:val="FactSheetTitle"/>
    <w:basedOn w:val="Heading1"/>
    <w:next w:val="Normal"/>
    <w:pPr>
      <w:jc w:val="center"/>
    </w:pPr>
    <w:rPr>
      <w:rFonts w:ascii="Arial Narrow" w:hAnsi="Arial Narrow"/>
      <w:sz w:val="4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PageNumber">
    <w:name w:val="page number"/>
    <w:basedOn w:val="DefaultParagraphFont"/>
    <w:semiHidden/>
  </w:style>
  <w:style w:type="paragraph" w:customStyle="1" w:styleId="Default">
    <w:name w:val="Default"/>
    <w:rsid w:val="00BB7662"/>
    <w:pPr>
      <w:autoSpaceDE w:val="0"/>
      <w:autoSpaceDN w:val="0"/>
      <w:adjustRightInd w:val="0"/>
    </w:pPr>
    <w:rPr>
      <w:rFonts w:ascii="OBGPE P+ Garamond" w:eastAsiaTheme="minorEastAsia" w:hAnsi="OBGPE P+ Garamond" w:cs="OBGPE P+ 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r.state.vt.us/dec/ead/sbcap/resource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Environmental Fact Sheet</vt:lpstr>
    </vt:vector>
  </TitlesOfParts>
  <Company>VTDEC</Company>
  <LinksUpToDate>false</LinksUpToDate>
  <CharactersWithSpaces>4536</CharactersWithSpaces>
  <SharedDoc>false</SharedDoc>
  <HLinks>
    <vt:vector size="12" baseType="variant">
      <vt:variant>
        <vt:i4>917575</vt:i4>
      </vt:variant>
      <vt:variant>
        <vt:i4>3</vt:i4>
      </vt:variant>
      <vt:variant>
        <vt:i4>0</vt:i4>
      </vt:variant>
      <vt:variant>
        <vt:i4>5</vt:i4>
      </vt:variant>
      <vt:variant>
        <vt:lpwstr>http://www.anr.state.vt.us/dec/factsheethome</vt:lpwstr>
      </vt:variant>
      <vt:variant>
        <vt:lpwstr/>
      </vt:variant>
      <vt:variant>
        <vt:i4>15</vt:i4>
      </vt:variant>
      <vt:variant>
        <vt:i4>-1</vt:i4>
      </vt:variant>
      <vt:variant>
        <vt:i4>1026</vt:i4>
      </vt:variant>
      <vt:variant>
        <vt:i4>1</vt:i4>
      </vt:variant>
      <vt:variant>
        <vt:lpwstr>D:\MyFiles\wp\FactSheets\DEC_logo_lzw.tif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Environmental Fact Sheet</dc:title>
  <dc:creator>STAFF</dc:creator>
  <cp:lastModifiedBy>Admin</cp:lastModifiedBy>
  <cp:revision>2</cp:revision>
  <cp:lastPrinted>2012-10-09T15:01:00Z</cp:lastPrinted>
  <dcterms:created xsi:type="dcterms:W3CDTF">2012-11-28T19:36:00Z</dcterms:created>
  <dcterms:modified xsi:type="dcterms:W3CDTF">2012-11-28T19:36:00Z</dcterms:modified>
</cp:coreProperties>
</file>