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C65FA" w:rsidRDefault="00B174B8" w:rsidP="008C65FA">
      <w:pPr>
        <w:pStyle w:val="Heading1"/>
        <w:rPr>
          <w:rFonts w:ascii="Arial Narrow" w:hAnsi="Arial Narrow"/>
          <w:sz w:val="40"/>
        </w:rPr>
      </w:pPr>
      <w:r>
        <w:rPr>
          <w:rFonts w:ascii="Arial Narrow" w:hAnsi="Arial Narrow"/>
          <w:noProof/>
          <w:sz w:val="40"/>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495300</wp:posOffset>
                </wp:positionV>
                <wp:extent cx="6400800" cy="0"/>
                <wp:effectExtent l="9525" t="9525" r="9525" b="952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B81DE" id="Line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9pt" to="50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19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"/>
            </w:pict>
          </mc:Fallback>
        </mc:AlternateContent>
      </w:r>
      <w:r>
        <w:rPr>
          <w:rFonts w:ascii="Arial Narrow" w:hAnsi="Arial Narrow"/>
          <w:noProof/>
          <w:sz w:val="40"/>
        </w:rPr>
        <w:drawing>
          <wp:anchor distT="0" distB="0" distL="114300" distR="114300" simplePos="0" relativeHeight="251656192" behindDoc="0" locked="0" layoutInCell="1" allowOverlap="1">
            <wp:simplePos x="0" y="0"/>
            <wp:positionH relativeFrom="column">
              <wp:posOffset>3429000</wp:posOffset>
            </wp:positionH>
            <wp:positionV relativeFrom="paragraph">
              <wp:posOffset>0</wp:posOffset>
            </wp:positionV>
            <wp:extent cx="2905125" cy="723900"/>
            <wp:effectExtent l="0" t="0" r="9525" b="0"/>
            <wp:wrapThrough wrapText="bothSides">
              <wp:wrapPolygon edited="0">
                <wp:start x="0" y="0"/>
                <wp:lineTo x="0" y="21032"/>
                <wp:lineTo x="21529" y="21032"/>
                <wp:lineTo x="21529" y="0"/>
                <wp:lineTo x="0" y="0"/>
              </wp:wrapPolygon>
            </wp:wrapThrough>
            <wp:docPr id="3" name="Picture 2" descr="D:\MyFiles\wp\FactSheets\DEC_logo_lz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Files\wp\FactSheets\DEC_logo_lzw.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512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40"/>
        </w:rPr>
        <w:t>Environmental Fact Sheet</w:t>
      </w:r>
    </w:p>
    <w:p w:rsidR="008C65FA" w:rsidRDefault="008C65FA" w:rsidP="008C65FA">
      <w:pPr>
        <w:pStyle w:val="Heading1"/>
        <w:rPr>
          <w:rFonts w:ascii="Arial Narrow" w:hAnsi="Arial Narrow"/>
          <w:sz w:val="40"/>
        </w:rPr>
      </w:pPr>
      <w:r w:rsidRPr="008C65FA">
        <w:rPr>
          <w:rFonts w:ascii="Arial Narrow" w:hAnsi="Arial Narrow"/>
        </w:rPr>
        <w:t>For Food &amp; Beverage Manufacturers</w:t>
      </w:r>
    </w:p>
    <w:p w:rsidR="008C65FA" w:rsidRPr="008C65FA" w:rsidRDefault="008C65FA" w:rsidP="008C65FA"/>
    <w:p w:rsidR="00A4114B" w:rsidRPr="00A4114B" w:rsidRDefault="00A4114B" w:rsidP="00A4114B">
      <w:pPr>
        <w:spacing w:after="120" w:line="256" w:lineRule="auto"/>
        <w:ind w:left="0"/>
        <w:rPr>
          <w:rFonts w:asciiTheme="minorHAnsi" w:eastAsia="Calibri" w:hAnsiTheme="minorHAnsi"/>
          <w:color w:val="000000"/>
          <w:kern w:val="24"/>
          <w:szCs w:val="22"/>
        </w:rPr>
      </w:pPr>
      <w:r w:rsidRPr="00A4114B">
        <w:rPr>
          <w:rFonts w:asciiTheme="minorHAnsi" w:eastAsia="Calibri" w:hAnsiTheme="minorHAnsi"/>
          <w:color w:val="000000"/>
          <w:kern w:val="24"/>
          <w:szCs w:val="22"/>
        </w:rPr>
        <w:t xml:space="preserve">This fact sheet gives a brief introduction to Act 148, Biochemical Oxygen Demand (BOD), and </w:t>
      </w:r>
      <w:r w:rsidR="00566D31">
        <w:rPr>
          <w:rFonts w:asciiTheme="minorHAnsi" w:eastAsia="Calibri" w:hAnsiTheme="minorHAnsi"/>
          <w:color w:val="000000"/>
          <w:kern w:val="24"/>
          <w:szCs w:val="22"/>
        </w:rPr>
        <w:t xml:space="preserve">Hazardous Waste Management. </w:t>
      </w:r>
      <w:r w:rsidRPr="00A4114B">
        <w:rPr>
          <w:rFonts w:asciiTheme="minorHAnsi" w:eastAsia="Calibri" w:hAnsiTheme="minorHAnsi"/>
          <w:color w:val="000000"/>
          <w:kern w:val="24"/>
          <w:szCs w:val="22"/>
        </w:rPr>
        <w:t>The information provided is tailored to food</w:t>
      </w:r>
      <w:r w:rsidR="008C65FA" w:rsidRPr="0084349B">
        <w:rPr>
          <w:rFonts w:asciiTheme="minorHAnsi" w:eastAsia="Calibri" w:hAnsiTheme="minorHAnsi"/>
          <w:color w:val="000000"/>
          <w:kern w:val="24"/>
          <w:szCs w:val="22"/>
        </w:rPr>
        <w:t xml:space="preserve"> and beverage</w:t>
      </w:r>
      <w:r w:rsidRPr="00A4114B">
        <w:rPr>
          <w:rFonts w:asciiTheme="minorHAnsi" w:eastAsia="Calibri" w:hAnsiTheme="minorHAnsi"/>
          <w:color w:val="000000"/>
          <w:kern w:val="24"/>
          <w:szCs w:val="22"/>
        </w:rPr>
        <w:t xml:space="preserve"> processors and manufacturers in Vermont. </w:t>
      </w:r>
    </w:p>
    <w:p w:rsidR="00A4114B" w:rsidRPr="00A4114B" w:rsidRDefault="00A4114B" w:rsidP="00A4114B">
      <w:pPr>
        <w:spacing w:line="256" w:lineRule="auto"/>
        <w:ind w:left="0"/>
        <w:rPr>
          <w:rFonts w:asciiTheme="minorHAnsi" w:eastAsia="Calibri" w:hAnsiTheme="minorHAnsi"/>
          <w:b/>
          <w:color w:val="000000"/>
          <w:kern w:val="24"/>
          <w:szCs w:val="22"/>
        </w:rPr>
      </w:pPr>
      <w:r w:rsidRPr="00A4114B">
        <w:rPr>
          <w:rFonts w:asciiTheme="minorHAnsi" w:eastAsia="Calibri" w:hAnsiTheme="minorHAnsi"/>
          <w:b/>
          <w:color w:val="000000"/>
          <w:kern w:val="24"/>
          <w:szCs w:val="22"/>
        </w:rPr>
        <w:t>What is Act 148?</w:t>
      </w:r>
    </w:p>
    <w:p w:rsidR="00A4114B" w:rsidRPr="00A4114B" w:rsidRDefault="00A4114B" w:rsidP="00A4114B">
      <w:pPr>
        <w:spacing w:after="100" w:afterAutospacing="1" w:line="256" w:lineRule="auto"/>
        <w:ind w:left="0"/>
        <w:rPr>
          <w:rFonts w:asciiTheme="minorHAnsi" w:eastAsia="Calibri" w:hAnsiTheme="minorHAnsi"/>
          <w:color w:val="000000"/>
          <w:kern w:val="24"/>
          <w:szCs w:val="22"/>
        </w:rPr>
      </w:pPr>
      <w:r w:rsidRPr="00A4114B">
        <w:rPr>
          <w:rFonts w:asciiTheme="minorHAnsi" w:eastAsia="Calibri" w:hAnsiTheme="minorHAnsi"/>
          <w:color w:val="000000"/>
          <w:kern w:val="24"/>
          <w:szCs w:val="22"/>
        </w:rPr>
        <w:t>Act 148, Vermont’s universal recycling law, was unanimously passed by</w:t>
      </w:r>
      <w:r w:rsidR="008C65FA" w:rsidRPr="0084349B">
        <w:rPr>
          <w:rFonts w:asciiTheme="minorHAnsi" w:eastAsia="Calibri" w:hAnsiTheme="minorHAnsi"/>
          <w:color w:val="000000"/>
          <w:kern w:val="24"/>
          <w:szCs w:val="22"/>
        </w:rPr>
        <w:t xml:space="preserve"> the</w:t>
      </w:r>
      <w:r w:rsidRPr="00A4114B">
        <w:rPr>
          <w:rFonts w:asciiTheme="minorHAnsi" w:eastAsia="Calibri" w:hAnsiTheme="minorHAnsi"/>
          <w:color w:val="000000"/>
          <w:kern w:val="24"/>
          <w:szCs w:val="22"/>
        </w:rPr>
        <w:t xml:space="preserve"> Vermont legislature in 2012. This law requires residents and businesses to divert all recyclables, yard debris, and food scraps from landfills by July 1, 2020.  Each year, there are more stringent regulations for what is banned from landfills.</w:t>
      </w:r>
    </w:p>
    <w:p w:rsidR="00A4114B" w:rsidRPr="00A4114B" w:rsidRDefault="00A4114B" w:rsidP="00A4114B">
      <w:pPr>
        <w:ind w:left="0"/>
        <w:rPr>
          <w:rFonts w:asciiTheme="minorHAnsi" w:hAnsiTheme="minorHAnsi"/>
          <w:b/>
          <w:color w:val="000000"/>
          <w:kern w:val="24"/>
          <w:szCs w:val="22"/>
        </w:rPr>
      </w:pPr>
      <w:r w:rsidRPr="00A4114B">
        <w:rPr>
          <w:rFonts w:asciiTheme="minorHAnsi" w:hAnsiTheme="minorHAnsi"/>
          <w:b/>
          <w:color w:val="000000"/>
          <w:kern w:val="24"/>
          <w:szCs w:val="22"/>
        </w:rPr>
        <w:t>Who is required to comply with Act 148?</w:t>
      </w:r>
    </w:p>
    <w:p w:rsidR="00A4114B" w:rsidRPr="00A4114B" w:rsidRDefault="00A4114B" w:rsidP="00A4114B">
      <w:pPr>
        <w:ind w:left="0"/>
        <w:rPr>
          <w:rFonts w:asciiTheme="minorHAnsi" w:hAnsiTheme="minorHAnsi"/>
          <w:color w:val="000000"/>
          <w:kern w:val="24"/>
          <w:szCs w:val="22"/>
        </w:rPr>
      </w:pPr>
      <w:r w:rsidRPr="00A4114B">
        <w:rPr>
          <w:rFonts w:asciiTheme="minorHAnsi" w:hAnsiTheme="minorHAnsi"/>
          <w:color w:val="000000"/>
          <w:kern w:val="24"/>
          <w:szCs w:val="22"/>
        </w:rPr>
        <w:t>As of July 1, 2016, all businesses that generate 2</w:t>
      </w:r>
      <w:r w:rsidR="002316C3">
        <w:rPr>
          <w:rFonts w:asciiTheme="minorHAnsi" w:hAnsiTheme="minorHAnsi"/>
          <w:color w:val="000000"/>
          <w:kern w:val="24"/>
          <w:szCs w:val="22"/>
        </w:rPr>
        <w:t>6</w:t>
      </w:r>
      <w:r w:rsidRPr="00A4114B">
        <w:rPr>
          <w:rFonts w:asciiTheme="minorHAnsi" w:hAnsiTheme="minorHAnsi"/>
          <w:color w:val="000000"/>
          <w:kern w:val="24"/>
          <w:szCs w:val="22"/>
        </w:rPr>
        <w:t xml:space="preserve"> tons/year (1/2 ton per week) or more of food scraps are required by law to separately collect and properly manage food scraps. You are exempt from composting food scraps if you do not have a compost facility within 20 miles of your facility. If your business generates less than ½ ton of food scraps per week, you are not yet required to separately collect food scraps; however, you will be required to do so in the near future. </w:t>
      </w:r>
    </w:p>
    <w:p w:rsidR="00A4114B" w:rsidRPr="00A4114B" w:rsidRDefault="00A4114B" w:rsidP="00A4114B">
      <w:pPr>
        <w:ind w:left="0"/>
        <w:rPr>
          <w:rFonts w:asciiTheme="minorHAnsi" w:hAnsiTheme="minorHAnsi"/>
          <w:szCs w:val="22"/>
        </w:rPr>
      </w:pPr>
    </w:p>
    <w:tbl>
      <w:tblPr>
        <w:tblW w:w="6712" w:type="dxa"/>
        <w:tblInd w:w="720" w:type="dxa"/>
        <w:tblCellMar>
          <w:left w:w="0" w:type="dxa"/>
          <w:right w:w="0" w:type="dxa"/>
        </w:tblCellMar>
        <w:tblLook w:val="04A0" w:firstRow="1" w:lastRow="0" w:firstColumn="1" w:lastColumn="0" w:noHBand="0" w:noVBand="1"/>
      </w:tblPr>
      <w:tblGrid>
        <w:gridCol w:w="2125"/>
        <w:gridCol w:w="4587"/>
      </w:tblGrid>
      <w:tr w:rsidR="00A4114B" w:rsidRPr="00A4114B" w:rsidTr="006877A8">
        <w:trPr>
          <w:trHeight w:val="352"/>
        </w:trPr>
        <w:tc>
          <w:tcPr>
            <w:tcW w:w="2125" w:type="dxa"/>
            <w:tcBorders>
              <w:top w:val="single" w:sz="8" w:space="0" w:color="000000"/>
              <w:left w:val="single" w:sz="8" w:space="0" w:color="000000"/>
              <w:bottom w:val="single" w:sz="8" w:space="0" w:color="000000"/>
              <w:right w:val="single" w:sz="8" w:space="0" w:color="000000"/>
            </w:tcBorders>
            <w:shd w:val="clear" w:color="auto" w:fill="C5E0B3"/>
            <w:tcMar>
              <w:top w:w="15" w:type="dxa"/>
              <w:left w:w="81" w:type="dxa"/>
              <w:bottom w:w="0" w:type="dxa"/>
              <w:right w:w="81" w:type="dxa"/>
            </w:tcMar>
            <w:hideMark/>
          </w:tcPr>
          <w:p w:rsidR="00A4114B" w:rsidRPr="00A4114B" w:rsidRDefault="00A4114B" w:rsidP="00A4114B">
            <w:pPr>
              <w:spacing w:line="256" w:lineRule="auto"/>
              <w:ind w:left="0"/>
              <w:jc w:val="center"/>
              <w:rPr>
                <w:rFonts w:asciiTheme="minorHAnsi" w:hAnsiTheme="minorHAnsi" w:cs="Arial"/>
                <w:sz w:val="20"/>
                <w:szCs w:val="22"/>
              </w:rPr>
            </w:pPr>
            <w:r w:rsidRPr="00A4114B">
              <w:rPr>
                <w:rFonts w:asciiTheme="minorHAnsi" w:eastAsia="Calibri" w:hAnsiTheme="minorHAnsi"/>
                <w:b/>
                <w:bCs/>
                <w:color w:val="000000"/>
                <w:kern w:val="24"/>
                <w:sz w:val="20"/>
                <w:szCs w:val="22"/>
              </w:rPr>
              <w:t>July 1</w:t>
            </w:r>
          </w:p>
        </w:tc>
        <w:tc>
          <w:tcPr>
            <w:tcW w:w="4587" w:type="dxa"/>
            <w:tcBorders>
              <w:top w:val="single" w:sz="8" w:space="0" w:color="000000"/>
              <w:left w:val="single" w:sz="8" w:space="0" w:color="000000"/>
              <w:bottom w:val="single" w:sz="8" w:space="0" w:color="000000"/>
              <w:right w:val="single" w:sz="8" w:space="0" w:color="000000"/>
            </w:tcBorders>
            <w:shd w:val="clear" w:color="auto" w:fill="C5E0B3"/>
            <w:tcMar>
              <w:top w:w="15" w:type="dxa"/>
              <w:left w:w="81" w:type="dxa"/>
              <w:bottom w:w="0" w:type="dxa"/>
              <w:right w:w="81" w:type="dxa"/>
            </w:tcMar>
            <w:hideMark/>
          </w:tcPr>
          <w:p w:rsidR="00A4114B" w:rsidRPr="00A4114B" w:rsidRDefault="00A4114B" w:rsidP="00A4114B">
            <w:pPr>
              <w:spacing w:line="256" w:lineRule="auto"/>
              <w:ind w:left="0"/>
              <w:rPr>
                <w:rFonts w:asciiTheme="minorHAnsi" w:hAnsiTheme="minorHAnsi" w:cs="Arial"/>
                <w:sz w:val="20"/>
                <w:szCs w:val="22"/>
              </w:rPr>
            </w:pPr>
            <w:r w:rsidRPr="00A4114B">
              <w:rPr>
                <w:rFonts w:asciiTheme="minorHAnsi" w:eastAsia="Calibri" w:hAnsiTheme="minorHAnsi"/>
                <w:b/>
                <w:bCs/>
                <w:color w:val="000000"/>
                <w:kern w:val="24"/>
                <w:sz w:val="20"/>
                <w:szCs w:val="22"/>
              </w:rPr>
              <w:t>Food Scrap Generation</w:t>
            </w:r>
          </w:p>
        </w:tc>
      </w:tr>
      <w:tr w:rsidR="00A4114B" w:rsidRPr="00A4114B" w:rsidTr="006877A8">
        <w:trPr>
          <w:trHeight w:val="352"/>
        </w:trPr>
        <w:tc>
          <w:tcPr>
            <w:tcW w:w="2125" w:type="dxa"/>
            <w:tcBorders>
              <w:top w:val="single" w:sz="8" w:space="0" w:color="000000"/>
              <w:left w:val="single" w:sz="8" w:space="0" w:color="000000"/>
              <w:bottom w:val="single" w:sz="8" w:space="0" w:color="000000"/>
              <w:right w:val="single" w:sz="8" w:space="0" w:color="000000"/>
            </w:tcBorders>
            <w:shd w:val="clear" w:color="auto" w:fill="E2EFD9"/>
            <w:tcMar>
              <w:top w:w="15" w:type="dxa"/>
              <w:left w:w="81" w:type="dxa"/>
              <w:bottom w:w="0" w:type="dxa"/>
              <w:right w:w="81" w:type="dxa"/>
            </w:tcMar>
            <w:hideMark/>
          </w:tcPr>
          <w:p w:rsidR="00A4114B" w:rsidRPr="00A4114B" w:rsidRDefault="00A4114B" w:rsidP="00A4114B">
            <w:pPr>
              <w:spacing w:line="256" w:lineRule="auto"/>
              <w:ind w:left="0"/>
              <w:jc w:val="center"/>
              <w:rPr>
                <w:rFonts w:asciiTheme="minorHAnsi" w:hAnsiTheme="minorHAnsi" w:cs="Arial"/>
                <w:sz w:val="20"/>
                <w:szCs w:val="22"/>
              </w:rPr>
            </w:pPr>
            <w:r w:rsidRPr="00A4114B">
              <w:rPr>
                <w:rFonts w:asciiTheme="minorHAnsi" w:eastAsia="Calibri" w:hAnsiTheme="minorHAnsi"/>
                <w:color w:val="000000"/>
                <w:kern w:val="24"/>
                <w:sz w:val="20"/>
                <w:szCs w:val="22"/>
              </w:rPr>
              <w:t>2014</w:t>
            </w:r>
          </w:p>
        </w:tc>
        <w:tc>
          <w:tcPr>
            <w:tcW w:w="4587" w:type="dxa"/>
            <w:tcBorders>
              <w:top w:val="single" w:sz="8" w:space="0" w:color="000000"/>
              <w:left w:val="single" w:sz="8" w:space="0" w:color="000000"/>
              <w:bottom w:val="single" w:sz="8" w:space="0" w:color="000000"/>
              <w:right w:val="single" w:sz="8" w:space="0" w:color="000000"/>
            </w:tcBorders>
            <w:shd w:val="clear" w:color="auto" w:fill="E2EFD9"/>
            <w:tcMar>
              <w:top w:w="15" w:type="dxa"/>
              <w:left w:w="81" w:type="dxa"/>
              <w:bottom w:w="0" w:type="dxa"/>
              <w:right w:w="81" w:type="dxa"/>
            </w:tcMar>
            <w:hideMark/>
          </w:tcPr>
          <w:p w:rsidR="00A4114B" w:rsidRPr="00A4114B" w:rsidRDefault="00A4114B" w:rsidP="00A4114B">
            <w:pPr>
              <w:spacing w:line="256" w:lineRule="auto"/>
              <w:ind w:left="0"/>
              <w:rPr>
                <w:rFonts w:asciiTheme="minorHAnsi" w:hAnsiTheme="minorHAnsi" w:cs="Arial"/>
                <w:sz w:val="20"/>
                <w:szCs w:val="22"/>
              </w:rPr>
            </w:pPr>
            <w:r w:rsidRPr="00A4114B">
              <w:rPr>
                <w:rFonts w:asciiTheme="minorHAnsi" w:eastAsia="Calibri" w:hAnsiTheme="minorHAnsi"/>
                <w:color w:val="000000"/>
                <w:kern w:val="24"/>
                <w:sz w:val="20"/>
                <w:szCs w:val="22"/>
              </w:rPr>
              <w:t>104 tons/year        (2 tons/week)</w:t>
            </w:r>
          </w:p>
        </w:tc>
      </w:tr>
      <w:tr w:rsidR="00A4114B" w:rsidRPr="00A4114B" w:rsidTr="006877A8">
        <w:trPr>
          <w:trHeight w:val="352"/>
        </w:trPr>
        <w:tc>
          <w:tcPr>
            <w:tcW w:w="2125" w:type="dxa"/>
            <w:tcBorders>
              <w:top w:val="single" w:sz="8" w:space="0" w:color="000000"/>
              <w:left w:val="single" w:sz="8" w:space="0" w:color="000000"/>
              <w:bottom w:val="single" w:sz="8" w:space="0" w:color="000000"/>
              <w:right w:val="single" w:sz="8" w:space="0" w:color="000000"/>
            </w:tcBorders>
            <w:shd w:val="clear" w:color="auto" w:fill="E2EFD9"/>
            <w:tcMar>
              <w:top w:w="15" w:type="dxa"/>
              <w:left w:w="81" w:type="dxa"/>
              <w:bottom w:w="0" w:type="dxa"/>
              <w:right w:w="81" w:type="dxa"/>
            </w:tcMar>
            <w:hideMark/>
          </w:tcPr>
          <w:p w:rsidR="00A4114B" w:rsidRPr="00A4114B" w:rsidRDefault="00A4114B" w:rsidP="00A4114B">
            <w:pPr>
              <w:spacing w:line="256" w:lineRule="auto"/>
              <w:ind w:left="0"/>
              <w:jc w:val="center"/>
              <w:rPr>
                <w:rFonts w:asciiTheme="minorHAnsi" w:hAnsiTheme="minorHAnsi" w:cs="Arial"/>
                <w:sz w:val="20"/>
                <w:szCs w:val="22"/>
              </w:rPr>
            </w:pPr>
            <w:r w:rsidRPr="00A4114B">
              <w:rPr>
                <w:rFonts w:asciiTheme="minorHAnsi" w:eastAsia="Calibri" w:hAnsiTheme="minorHAnsi"/>
                <w:color w:val="000000"/>
                <w:kern w:val="24"/>
                <w:sz w:val="20"/>
                <w:szCs w:val="22"/>
              </w:rPr>
              <w:t>2015</w:t>
            </w:r>
          </w:p>
        </w:tc>
        <w:tc>
          <w:tcPr>
            <w:tcW w:w="4587" w:type="dxa"/>
            <w:tcBorders>
              <w:top w:val="single" w:sz="8" w:space="0" w:color="000000"/>
              <w:left w:val="single" w:sz="8" w:space="0" w:color="000000"/>
              <w:bottom w:val="single" w:sz="8" w:space="0" w:color="000000"/>
              <w:right w:val="single" w:sz="8" w:space="0" w:color="000000"/>
            </w:tcBorders>
            <w:shd w:val="clear" w:color="auto" w:fill="E2EFD9"/>
            <w:tcMar>
              <w:top w:w="15" w:type="dxa"/>
              <w:left w:w="81" w:type="dxa"/>
              <w:bottom w:w="0" w:type="dxa"/>
              <w:right w:w="81" w:type="dxa"/>
            </w:tcMar>
            <w:hideMark/>
          </w:tcPr>
          <w:p w:rsidR="00A4114B" w:rsidRPr="00A4114B" w:rsidRDefault="00A4114B" w:rsidP="00A4114B">
            <w:pPr>
              <w:spacing w:line="256" w:lineRule="auto"/>
              <w:ind w:left="0"/>
              <w:rPr>
                <w:rFonts w:asciiTheme="minorHAnsi" w:hAnsiTheme="minorHAnsi" w:cs="Arial"/>
                <w:sz w:val="20"/>
                <w:szCs w:val="22"/>
              </w:rPr>
            </w:pPr>
            <w:r w:rsidRPr="00A4114B">
              <w:rPr>
                <w:rFonts w:asciiTheme="minorHAnsi" w:eastAsia="Calibri" w:hAnsiTheme="minorHAnsi"/>
                <w:color w:val="000000"/>
                <w:kern w:val="24"/>
                <w:sz w:val="20"/>
                <w:szCs w:val="22"/>
              </w:rPr>
              <w:t>52 tons/year          (1 ton/week)</w:t>
            </w:r>
          </w:p>
        </w:tc>
      </w:tr>
      <w:tr w:rsidR="00A4114B" w:rsidRPr="00A4114B" w:rsidTr="006877A8">
        <w:trPr>
          <w:trHeight w:val="352"/>
        </w:trPr>
        <w:tc>
          <w:tcPr>
            <w:tcW w:w="2125" w:type="dxa"/>
            <w:tcBorders>
              <w:top w:val="single" w:sz="8" w:space="0" w:color="000000"/>
              <w:left w:val="single" w:sz="8" w:space="0" w:color="000000"/>
              <w:bottom w:val="single" w:sz="8" w:space="0" w:color="000000"/>
              <w:right w:val="single" w:sz="8" w:space="0" w:color="000000"/>
            </w:tcBorders>
            <w:shd w:val="clear" w:color="auto" w:fill="E2EFD9"/>
            <w:tcMar>
              <w:top w:w="15" w:type="dxa"/>
              <w:left w:w="81" w:type="dxa"/>
              <w:bottom w:w="0" w:type="dxa"/>
              <w:right w:w="81" w:type="dxa"/>
            </w:tcMar>
            <w:hideMark/>
          </w:tcPr>
          <w:p w:rsidR="00A4114B" w:rsidRPr="00A4114B" w:rsidRDefault="00A4114B" w:rsidP="00A4114B">
            <w:pPr>
              <w:spacing w:line="256" w:lineRule="auto"/>
              <w:ind w:left="0"/>
              <w:jc w:val="center"/>
              <w:rPr>
                <w:rFonts w:asciiTheme="minorHAnsi" w:hAnsiTheme="minorHAnsi" w:cs="Arial"/>
                <w:sz w:val="20"/>
                <w:szCs w:val="22"/>
              </w:rPr>
            </w:pPr>
            <w:r w:rsidRPr="00A4114B">
              <w:rPr>
                <w:rFonts w:asciiTheme="minorHAnsi" w:eastAsia="Calibri" w:hAnsiTheme="minorHAnsi"/>
                <w:color w:val="000000"/>
                <w:kern w:val="24"/>
                <w:sz w:val="20"/>
                <w:szCs w:val="22"/>
              </w:rPr>
              <w:t>2016</w:t>
            </w:r>
          </w:p>
        </w:tc>
        <w:tc>
          <w:tcPr>
            <w:tcW w:w="4587" w:type="dxa"/>
            <w:tcBorders>
              <w:top w:val="single" w:sz="8" w:space="0" w:color="000000"/>
              <w:left w:val="single" w:sz="8" w:space="0" w:color="000000"/>
              <w:bottom w:val="single" w:sz="8" w:space="0" w:color="000000"/>
              <w:right w:val="single" w:sz="8" w:space="0" w:color="000000"/>
            </w:tcBorders>
            <w:shd w:val="clear" w:color="auto" w:fill="E2EFD9"/>
            <w:tcMar>
              <w:top w:w="15" w:type="dxa"/>
              <w:left w:w="81" w:type="dxa"/>
              <w:bottom w:w="0" w:type="dxa"/>
              <w:right w:w="81" w:type="dxa"/>
            </w:tcMar>
            <w:hideMark/>
          </w:tcPr>
          <w:p w:rsidR="00A4114B" w:rsidRPr="00A4114B" w:rsidRDefault="00A4114B" w:rsidP="00A4114B">
            <w:pPr>
              <w:spacing w:line="256" w:lineRule="auto"/>
              <w:ind w:left="0"/>
              <w:rPr>
                <w:rFonts w:asciiTheme="minorHAnsi" w:hAnsiTheme="minorHAnsi" w:cs="Arial"/>
                <w:sz w:val="20"/>
                <w:szCs w:val="22"/>
              </w:rPr>
            </w:pPr>
            <w:r w:rsidRPr="00A4114B">
              <w:rPr>
                <w:rFonts w:asciiTheme="minorHAnsi" w:eastAsia="Calibri" w:hAnsiTheme="minorHAnsi"/>
                <w:color w:val="000000"/>
                <w:kern w:val="24"/>
                <w:sz w:val="20"/>
                <w:szCs w:val="22"/>
              </w:rPr>
              <w:t>26 tons/year          (1/2 ton/week)</w:t>
            </w:r>
          </w:p>
        </w:tc>
      </w:tr>
      <w:tr w:rsidR="00A4114B" w:rsidRPr="00A4114B" w:rsidTr="006877A8">
        <w:trPr>
          <w:trHeight w:val="352"/>
        </w:trPr>
        <w:tc>
          <w:tcPr>
            <w:tcW w:w="2125" w:type="dxa"/>
            <w:tcBorders>
              <w:top w:val="single" w:sz="8" w:space="0" w:color="000000"/>
              <w:left w:val="single" w:sz="8" w:space="0" w:color="000000"/>
              <w:bottom w:val="single" w:sz="8" w:space="0" w:color="000000"/>
              <w:right w:val="single" w:sz="8" w:space="0" w:color="000000"/>
            </w:tcBorders>
            <w:shd w:val="clear" w:color="auto" w:fill="E2EFD9"/>
            <w:tcMar>
              <w:top w:w="15" w:type="dxa"/>
              <w:left w:w="81" w:type="dxa"/>
              <w:bottom w:w="0" w:type="dxa"/>
              <w:right w:w="81" w:type="dxa"/>
            </w:tcMar>
            <w:hideMark/>
          </w:tcPr>
          <w:p w:rsidR="00A4114B" w:rsidRPr="00A4114B" w:rsidRDefault="00A4114B" w:rsidP="00A4114B">
            <w:pPr>
              <w:spacing w:line="256" w:lineRule="auto"/>
              <w:ind w:left="0"/>
              <w:jc w:val="center"/>
              <w:rPr>
                <w:rFonts w:asciiTheme="minorHAnsi" w:hAnsiTheme="minorHAnsi" w:cs="Arial"/>
                <w:sz w:val="20"/>
                <w:szCs w:val="22"/>
              </w:rPr>
            </w:pPr>
            <w:r w:rsidRPr="00A4114B">
              <w:rPr>
                <w:rFonts w:asciiTheme="minorHAnsi" w:eastAsia="Calibri" w:hAnsiTheme="minorHAnsi"/>
                <w:color w:val="000000"/>
                <w:kern w:val="24"/>
                <w:sz w:val="20"/>
                <w:szCs w:val="22"/>
              </w:rPr>
              <w:t>2017</w:t>
            </w:r>
          </w:p>
        </w:tc>
        <w:tc>
          <w:tcPr>
            <w:tcW w:w="4587" w:type="dxa"/>
            <w:tcBorders>
              <w:top w:val="single" w:sz="8" w:space="0" w:color="000000"/>
              <w:left w:val="single" w:sz="8" w:space="0" w:color="000000"/>
              <w:bottom w:val="single" w:sz="8" w:space="0" w:color="000000"/>
              <w:right w:val="single" w:sz="8" w:space="0" w:color="000000"/>
            </w:tcBorders>
            <w:shd w:val="clear" w:color="auto" w:fill="E2EFD9"/>
            <w:tcMar>
              <w:top w:w="15" w:type="dxa"/>
              <w:left w:w="81" w:type="dxa"/>
              <w:bottom w:w="0" w:type="dxa"/>
              <w:right w:w="81" w:type="dxa"/>
            </w:tcMar>
            <w:hideMark/>
          </w:tcPr>
          <w:p w:rsidR="00A4114B" w:rsidRPr="00A4114B" w:rsidRDefault="00A4114B" w:rsidP="00A4114B">
            <w:pPr>
              <w:spacing w:line="256" w:lineRule="auto"/>
              <w:ind w:left="0"/>
              <w:rPr>
                <w:rFonts w:asciiTheme="minorHAnsi" w:hAnsiTheme="minorHAnsi" w:cs="Arial"/>
                <w:sz w:val="20"/>
                <w:szCs w:val="22"/>
              </w:rPr>
            </w:pPr>
            <w:r w:rsidRPr="00A4114B">
              <w:rPr>
                <w:rFonts w:asciiTheme="minorHAnsi" w:eastAsia="Calibri" w:hAnsiTheme="minorHAnsi"/>
                <w:color w:val="000000"/>
                <w:kern w:val="24"/>
                <w:sz w:val="20"/>
                <w:szCs w:val="22"/>
              </w:rPr>
              <w:t>18 tons/year          (1/3 ton/week)</w:t>
            </w:r>
          </w:p>
        </w:tc>
      </w:tr>
      <w:tr w:rsidR="00A4114B" w:rsidRPr="00A4114B" w:rsidTr="006877A8">
        <w:trPr>
          <w:trHeight w:val="352"/>
        </w:trPr>
        <w:tc>
          <w:tcPr>
            <w:tcW w:w="2125" w:type="dxa"/>
            <w:tcBorders>
              <w:top w:val="single" w:sz="8" w:space="0" w:color="000000"/>
              <w:left w:val="single" w:sz="8" w:space="0" w:color="000000"/>
              <w:bottom w:val="single" w:sz="8" w:space="0" w:color="000000"/>
              <w:right w:val="single" w:sz="8" w:space="0" w:color="000000"/>
            </w:tcBorders>
            <w:shd w:val="clear" w:color="auto" w:fill="E2EFD9"/>
            <w:tcMar>
              <w:top w:w="15" w:type="dxa"/>
              <w:left w:w="81" w:type="dxa"/>
              <w:bottom w:w="0" w:type="dxa"/>
              <w:right w:w="81" w:type="dxa"/>
            </w:tcMar>
            <w:hideMark/>
          </w:tcPr>
          <w:p w:rsidR="00A4114B" w:rsidRPr="00A4114B" w:rsidRDefault="00A4114B" w:rsidP="00A4114B">
            <w:pPr>
              <w:spacing w:line="256" w:lineRule="auto"/>
              <w:ind w:left="0"/>
              <w:jc w:val="center"/>
              <w:rPr>
                <w:rFonts w:asciiTheme="minorHAnsi" w:hAnsiTheme="minorHAnsi" w:cs="Arial"/>
                <w:sz w:val="20"/>
                <w:szCs w:val="22"/>
              </w:rPr>
            </w:pPr>
            <w:r w:rsidRPr="00A4114B">
              <w:rPr>
                <w:rFonts w:asciiTheme="minorHAnsi" w:eastAsia="Calibri" w:hAnsiTheme="minorHAnsi"/>
                <w:color w:val="000000"/>
                <w:kern w:val="24"/>
                <w:sz w:val="20"/>
                <w:szCs w:val="22"/>
              </w:rPr>
              <w:t>2018</w:t>
            </w:r>
          </w:p>
        </w:tc>
        <w:tc>
          <w:tcPr>
            <w:tcW w:w="4587" w:type="dxa"/>
            <w:tcBorders>
              <w:top w:val="single" w:sz="8" w:space="0" w:color="000000"/>
              <w:left w:val="single" w:sz="8" w:space="0" w:color="000000"/>
              <w:bottom w:val="single" w:sz="8" w:space="0" w:color="000000"/>
              <w:right w:val="single" w:sz="8" w:space="0" w:color="000000"/>
            </w:tcBorders>
            <w:shd w:val="clear" w:color="auto" w:fill="E2EFD9"/>
            <w:tcMar>
              <w:top w:w="15" w:type="dxa"/>
              <w:left w:w="81" w:type="dxa"/>
              <w:bottom w:w="0" w:type="dxa"/>
              <w:right w:w="81" w:type="dxa"/>
            </w:tcMar>
            <w:hideMark/>
          </w:tcPr>
          <w:p w:rsidR="00A4114B" w:rsidRPr="00A4114B" w:rsidRDefault="00A4114B" w:rsidP="00A4114B">
            <w:pPr>
              <w:spacing w:line="256" w:lineRule="auto"/>
              <w:ind w:left="0"/>
              <w:rPr>
                <w:rFonts w:asciiTheme="minorHAnsi" w:hAnsiTheme="minorHAnsi" w:cs="Arial"/>
                <w:sz w:val="20"/>
                <w:szCs w:val="22"/>
              </w:rPr>
            </w:pPr>
            <w:r w:rsidRPr="00A4114B">
              <w:rPr>
                <w:rFonts w:asciiTheme="minorHAnsi" w:eastAsia="Calibri" w:hAnsiTheme="minorHAnsi"/>
                <w:color w:val="000000"/>
                <w:kern w:val="24"/>
                <w:sz w:val="20"/>
                <w:szCs w:val="22"/>
              </w:rPr>
              <w:t>All food scraps banned from landfills</w:t>
            </w:r>
          </w:p>
        </w:tc>
      </w:tr>
    </w:tbl>
    <w:p w:rsidR="00A4114B" w:rsidRPr="00A4114B" w:rsidRDefault="00A4114B" w:rsidP="00A4114B">
      <w:pPr>
        <w:spacing w:after="160" w:line="259" w:lineRule="auto"/>
        <w:ind w:left="0"/>
        <w:rPr>
          <w:rFonts w:asciiTheme="minorHAnsi" w:eastAsia="Calibri" w:hAnsiTheme="minorHAnsi"/>
          <w:szCs w:val="22"/>
        </w:rPr>
      </w:pPr>
    </w:p>
    <w:p w:rsidR="00A4114B" w:rsidRPr="00A4114B" w:rsidRDefault="00A4114B" w:rsidP="00A4114B">
      <w:pPr>
        <w:spacing w:line="259" w:lineRule="auto"/>
        <w:ind w:left="0"/>
        <w:rPr>
          <w:rFonts w:asciiTheme="minorHAnsi" w:eastAsia="Calibri" w:hAnsiTheme="minorHAnsi"/>
          <w:b/>
          <w:szCs w:val="22"/>
        </w:rPr>
      </w:pPr>
      <w:r w:rsidRPr="00A4114B">
        <w:rPr>
          <w:rFonts w:asciiTheme="minorHAnsi" w:eastAsia="Calibri" w:hAnsiTheme="minorHAnsi"/>
          <w:b/>
          <w:szCs w:val="22"/>
        </w:rPr>
        <w:t>Could food that is “too good to waste” be donated to the food bank instead of being composted?</w:t>
      </w:r>
    </w:p>
    <w:p w:rsidR="00A4114B" w:rsidRPr="00A4114B" w:rsidRDefault="00A4114B" w:rsidP="00A4114B">
      <w:pPr>
        <w:spacing w:after="160" w:line="259" w:lineRule="auto"/>
        <w:ind w:left="0"/>
        <w:rPr>
          <w:rFonts w:asciiTheme="minorHAnsi" w:eastAsia="Calibri" w:hAnsiTheme="minorHAnsi"/>
          <w:szCs w:val="22"/>
        </w:rPr>
      </w:pPr>
      <w:r w:rsidRPr="00A4114B">
        <w:rPr>
          <w:rFonts w:asciiTheme="minorHAnsi" w:eastAsia="Calibri" w:hAnsiTheme="minorHAnsi"/>
          <w:szCs w:val="22"/>
        </w:rPr>
        <w:t>Yes! If possible, it is preferred that food scraps are donated to the food bank or to farmers for animal feed instead of being composted. Donation guidelines can be found at www.vermontfoodbank.org or on the Act 1</w:t>
      </w:r>
      <w:r w:rsidR="000E4885">
        <w:rPr>
          <w:rFonts w:asciiTheme="minorHAnsi" w:eastAsia="Calibri" w:hAnsiTheme="minorHAnsi"/>
          <w:szCs w:val="22"/>
        </w:rPr>
        <w:t>4</w:t>
      </w:r>
      <w:r w:rsidRPr="00A4114B">
        <w:rPr>
          <w:rFonts w:asciiTheme="minorHAnsi" w:eastAsia="Calibri" w:hAnsiTheme="minorHAnsi"/>
          <w:szCs w:val="22"/>
        </w:rPr>
        <w:t xml:space="preserve">8 webpage. </w:t>
      </w:r>
    </w:p>
    <w:p w:rsidR="00A4114B" w:rsidRPr="00A4114B" w:rsidRDefault="00A4114B" w:rsidP="006877A8">
      <w:pPr>
        <w:spacing w:line="259" w:lineRule="auto"/>
        <w:ind w:left="0"/>
        <w:rPr>
          <w:rFonts w:asciiTheme="minorHAnsi" w:hAnsiTheme="minorHAnsi"/>
          <w:b/>
          <w:color w:val="000000"/>
          <w:kern w:val="24"/>
          <w:szCs w:val="22"/>
        </w:rPr>
      </w:pPr>
      <w:r w:rsidRPr="00A4114B">
        <w:rPr>
          <w:rFonts w:asciiTheme="minorHAnsi" w:eastAsia="Calibri" w:hAnsiTheme="minorHAnsi"/>
          <w:b/>
          <w:szCs w:val="22"/>
        </w:rPr>
        <w:t xml:space="preserve">For more information, contact </w:t>
      </w:r>
      <w:r w:rsidRPr="00A4114B">
        <w:rPr>
          <w:rFonts w:asciiTheme="minorHAnsi" w:hAnsiTheme="minorHAnsi"/>
          <w:b/>
          <w:color w:val="000000"/>
          <w:kern w:val="24"/>
          <w:szCs w:val="22"/>
        </w:rPr>
        <w:t xml:space="preserve">Celia Riechel by email, </w:t>
      </w:r>
      <w:hyperlink r:id="rId8" w:history="1">
        <w:r w:rsidRPr="00A4114B">
          <w:rPr>
            <w:rFonts w:asciiTheme="minorHAnsi" w:hAnsiTheme="minorHAnsi"/>
            <w:b/>
            <w:color w:val="000000"/>
            <w:kern w:val="24"/>
            <w:szCs w:val="22"/>
            <w:u w:val="single"/>
          </w:rPr>
          <w:t>celia.riechel@vermont.gov</w:t>
        </w:r>
      </w:hyperlink>
      <w:r w:rsidRPr="00A4114B">
        <w:rPr>
          <w:rFonts w:asciiTheme="minorHAnsi" w:hAnsiTheme="minorHAnsi"/>
          <w:b/>
          <w:color w:val="000000"/>
          <w:kern w:val="24"/>
          <w:szCs w:val="22"/>
        </w:rPr>
        <w:t xml:space="preserve">, or by phone, 802-477-2669. </w:t>
      </w:r>
      <w:hyperlink r:id="rId9" w:history="1">
        <w:r w:rsidRPr="00A4114B">
          <w:rPr>
            <w:rFonts w:asciiTheme="minorHAnsi" w:hAnsiTheme="minorHAnsi"/>
            <w:b/>
            <w:color w:val="000000"/>
            <w:kern w:val="24"/>
            <w:szCs w:val="22"/>
          </w:rPr>
          <w:t>www.dec.vermont.gov/waste-management/solid/universal-recycling</w:t>
        </w:r>
      </w:hyperlink>
    </w:p>
    <w:p w:rsidR="00A4114B" w:rsidRPr="00A4114B" w:rsidRDefault="00A4114B" w:rsidP="00A4114B">
      <w:pPr>
        <w:spacing w:after="160" w:line="259" w:lineRule="auto"/>
        <w:ind w:left="0"/>
        <w:rPr>
          <w:rFonts w:asciiTheme="minorHAnsi" w:hAnsiTheme="minorHAnsi"/>
          <w:color w:val="000000"/>
          <w:kern w:val="24"/>
          <w:szCs w:val="22"/>
        </w:rPr>
      </w:pPr>
    </w:p>
    <w:p w:rsidR="00A4114B" w:rsidRPr="00A4114B" w:rsidRDefault="00A4114B" w:rsidP="00A4114B">
      <w:pPr>
        <w:ind w:left="0"/>
        <w:contextualSpacing/>
        <w:rPr>
          <w:rFonts w:asciiTheme="minorHAnsi" w:eastAsia="Calibri" w:hAnsiTheme="minorHAnsi"/>
          <w:b/>
          <w:szCs w:val="22"/>
        </w:rPr>
      </w:pPr>
      <w:r w:rsidRPr="00A4114B">
        <w:rPr>
          <w:rFonts w:asciiTheme="minorHAnsi" w:eastAsia="Calibri" w:hAnsiTheme="minorHAnsi"/>
          <w:b/>
          <w:szCs w:val="22"/>
        </w:rPr>
        <w:t xml:space="preserve">What is Biochemical </w:t>
      </w:r>
      <w:r w:rsidR="006877A8" w:rsidRPr="0084349B">
        <w:rPr>
          <w:rFonts w:asciiTheme="minorHAnsi" w:eastAsia="Calibri" w:hAnsiTheme="minorHAnsi"/>
          <w:b/>
          <w:szCs w:val="22"/>
        </w:rPr>
        <w:t>O</w:t>
      </w:r>
      <w:r w:rsidRPr="00A4114B">
        <w:rPr>
          <w:rFonts w:asciiTheme="minorHAnsi" w:eastAsia="Calibri" w:hAnsiTheme="minorHAnsi"/>
          <w:b/>
          <w:szCs w:val="22"/>
        </w:rPr>
        <w:t xml:space="preserve">xygen </w:t>
      </w:r>
      <w:r w:rsidR="006877A8" w:rsidRPr="0084349B">
        <w:rPr>
          <w:rFonts w:asciiTheme="minorHAnsi" w:eastAsia="Calibri" w:hAnsiTheme="minorHAnsi"/>
          <w:b/>
          <w:szCs w:val="22"/>
        </w:rPr>
        <w:t>D</w:t>
      </w:r>
      <w:r w:rsidRPr="00A4114B">
        <w:rPr>
          <w:rFonts w:asciiTheme="minorHAnsi" w:eastAsia="Calibri" w:hAnsiTheme="minorHAnsi"/>
          <w:b/>
          <w:szCs w:val="22"/>
        </w:rPr>
        <w:t>emand (BOD)?</w:t>
      </w:r>
    </w:p>
    <w:p w:rsidR="00A4114B" w:rsidRPr="00A4114B" w:rsidRDefault="00A4114B" w:rsidP="00A4114B">
      <w:pPr>
        <w:spacing w:after="160" w:line="259" w:lineRule="auto"/>
        <w:ind w:left="0"/>
        <w:rPr>
          <w:rFonts w:asciiTheme="minorHAnsi" w:eastAsia="Calibri" w:hAnsiTheme="minorHAnsi"/>
          <w:szCs w:val="22"/>
        </w:rPr>
      </w:pPr>
      <w:r w:rsidRPr="00A4114B">
        <w:rPr>
          <w:rFonts w:asciiTheme="minorHAnsi" w:eastAsia="Calibri" w:hAnsiTheme="minorHAnsi"/>
          <w:szCs w:val="22"/>
        </w:rPr>
        <w:t>BOD is the amount of dissolved oxygen in water that is required for micro-organisms to live and breakdown waste. It is important for septic and wastewater treatment facilities to maintain a certain level of dissolved oxygen in the water in order to function properly.</w:t>
      </w:r>
    </w:p>
    <w:p w:rsidR="00A4114B" w:rsidRPr="00A4114B" w:rsidRDefault="00A4114B" w:rsidP="00A4114B">
      <w:pPr>
        <w:spacing w:line="259" w:lineRule="auto"/>
        <w:ind w:left="0"/>
        <w:rPr>
          <w:rFonts w:asciiTheme="minorHAnsi" w:eastAsia="Calibri" w:hAnsiTheme="minorHAnsi"/>
          <w:b/>
          <w:szCs w:val="22"/>
        </w:rPr>
      </w:pPr>
      <w:r w:rsidRPr="00A4114B">
        <w:rPr>
          <w:rFonts w:asciiTheme="minorHAnsi" w:eastAsia="Calibri" w:hAnsiTheme="minorHAnsi"/>
          <w:b/>
          <w:szCs w:val="22"/>
        </w:rPr>
        <w:t>How does BOD affect food processors/manufacturers?</w:t>
      </w:r>
    </w:p>
    <w:p w:rsidR="00A4114B" w:rsidRPr="00A4114B" w:rsidRDefault="00A4114B" w:rsidP="00A4114B">
      <w:pPr>
        <w:spacing w:after="160" w:line="259" w:lineRule="auto"/>
        <w:ind w:left="0"/>
        <w:rPr>
          <w:rFonts w:asciiTheme="minorHAnsi" w:eastAsia="Calibri" w:hAnsiTheme="minorHAnsi"/>
          <w:szCs w:val="22"/>
        </w:rPr>
      </w:pPr>
      <w:r w:rsidRPr="00A4114B">
        <w:rPr>
          <w:rFonts w:asciiTheme="minorHAnsi" w:eastAsia="Calibri" w:hAnsiTheme="minorHAnsi"/>
          <w:szCs w:val="22"/>
        </w:rPr>
        <w:t>Depending on the nature of your business, you may be sending high strength wastewater into your water treatment system. High strength wastewater contains a high concentration of spent liquid or solid waste</w:t>
      </w:r>
      <w:r w:rsidR="00567C7E" w:rsidRPr="0084349B">
        <w:rPr>
          <w:rFonts w:asciiTheme="minorHAnsi" w:eastAsia="Calibri" w:hAnsiTheme="minorHAnsi"/>
          <w:szCs w:val="22"/>
        </w:rPr>
        <w:t>, which</w:t>
      </w:r>
      <w:r w:rsidRPr="00A4114B">
        <w:rPr>
          <w:rFonts w:asciiTheme="minorHAnsi" w:eastAsia="Calibri" w:hAnsiTheme="minorHAnsi"/>
          <w:szCs w:val="22"/>
        </w:rPr>
        <w:t xml:space="preserve"> can deplete dissolved oxygen levels. Depending on the volume of high strength wastewater that is produced as well as the capacity of the wastewater treatment facility, your business may need a wastewater pretreatment permit.</w:t>
      </w:r>
    </w:p>
    <w:p w:rsidR="008C65FA" w:rsidRPr="0084349B" w:rsidRDefault="00854C43" w:rsidP="008C65FA">
      <w:pPr>
        <w:ind w:left="0"/>
        <w:rPr>
          <w:rFonts w:asciiTheme="minorHAnsi" w:hAnsiTheme="minorHAnsi"/>
          <w:b/>
          <w:szCs w:val="22"/>
        </w:rPr>
      </w:pPr>
      <w:r>
        <w:rPr>
          <w:rFonts w:asciiTheme="minorHAnsi" w:hAnsiTheme="minorHAnsi"/>
          <w:b/>
          <w:color w:val="000000"/>
          <w:kern w:val="24"/>
          <w:szCs w:val="22"/>
        </w:rPr>
        <w:lastRenderedPageBreak/>
        <w:t xml:space="preserve">Do I need a </w:t>
      </w:r>
      <w:r w:rsidR="00A4114B" w:rsidRPr="00A4114B">
        <w:rPr>
          <w:rFonts w:asciiTheme="minorHAnsi" w:hAnsiTheme="minorHAnsi"/>
          <w:b/>
          <w:color w:val="000000"/>
          <w:kern w:val="24"/>
          <w:szCs w:val="22"/>
        </w:rPr>
        <w:t>pretreatment permit</w:t>
      </w:r>
      <w:r>
        <w:rPr>
          <w:rFonts w:asciiTheme="minorHAnsi" w:hAnsiTheme="minorHAnsi"/>
          <w:b/>
          <w:color w:val="000000"/>
          <w:kern w:val="24"/>
          <w:szCs w:val="22"/>
        </w:rPr>
        <w:t xml:space="preserve"> for my wastewater discharge</w:t>
      </w:r>
      <w:r w:rsidR="00A4114B" w:rsidRPr="00A4114B">
        <w:rPr>
          <w:rFonts w:asciiTheme="minorHAnsi" w:hAnsiTheme="minorHAnsi"/>
          <w:b/>
          <w:color w:val="000000"/>
          <w:kern w:val="24"/>
          <w:szCs w:val="22"/>
        </w:rPr>
        <w:t>?</w:t>
      </w:r>
    </w:p>
    <w:p w:rsidR="00A4114B" w:rsidRPr="00A4114B" w:rsidRDefault="00A4114B" w:rsidP="008C65FA">
      <w:pPr>
        <w:ind w:left="0"/>
        <w:rPr>
          <w:rFonts w:asciiTheme="minorHAnsi" w:hAnsiTheme="minorHAnsi"/>
          <w:b/>
          <w:szCs w:val="22"/>
        </w:rPr>
      </w:pPr>
      <w:r w:rsidRPr="00A4114B">
        <w:rPr>
          <w:rFonts w:asciiTheme="minorHAnsi" w:hAnsiTheme="minorHAnsi"/>
          <w:color w:val="000000"/>
          <w:kern w:val="24"/>
          <w:szCs w:val="22"/>
        </w:rPr>
        <w:t>According to federal and Vermont regulations, you need to obtain a pretreatment permit if:</w:t>
      </w:r>
    </w:p>
    <w:p w:rsidR="00A4114B" w:rsidRPr="00A4114B" w:rsidRDefault="003154E3" w:rsidP="00A4114B">
      <w:pPr>
        <w:numPr>
          <w:ilvl w:val="0"/>
          <w:numId w:val="1"/>
        </w:numPr>
        <w:spacing w:after="160" w:line="259" w:lineRule="auto"/>
        <w:ind w:left="922"/>
        <w:contextualSpacing/>
        <w:rPr>
          <w:rFonts w:asciiTheme="minorHAnsi" w:hAnsiTheme="minorHAnsi"/>
          <w:szCs w:val="22"/>
        </w:rPr>
      </w:pPr>
      <w:r>
        <w:rPr>
          <w:rFonts w:asciiTheme="minorHAnsi" w:hAnsiTheme="minorHAnsi"/>
          <w:color w:val="000000"/>
          <w:kern w:val="24"/>
          <w:szCs w:val="22"/>
        </w:rPr>
        <w:t xml:space="preserve">Total wastewater discharge </w:t>
      </w:r>
      <w:r w:rsidR="00A4114B" w:rsidRPr="00A4114B">
        <w:rPr>
          <w:rFonts w:asciiTheme="minorHAnsi" w:hAnsiTheme="minorHAnsi"/>
          <w:color w:val="000000"/>
          <w:kern w:val="24"/>
          <w:szCs w:val="22"/>
        </w:rPr>
        <w:t>exceeds 25,000 gallons per day</w:t>
      </w:r>
    </w:p>
    <w:p w:rsidR="00A4114B" w:rsidRPr="00A4114B" w:rsidRDefault="003154E3" w:rsidP="00A4114B">
      <w:pPr>
        <w:numPr>
          <w:ilvl w:val="0"/>
          <w:numId w:val="1"/>
        </w:numPr>
        <w:spacing w:after="160" w:line="259" w:lineRule="auto"/>
        <w:ind w:left="922"/>
        <w:contextualSpacing/>
        <w:rPr>
          <w:rFonts w:asciiTheme="minorHAnsi" w:hAnsiTheme="minorHAnsi"/>
          <w:szCs w:val="22"/>
        </w:rPr>
      </w:pPr>
      <w:r>
        <w:rPr>
          <w:rFonts w:asciiTheme="minorHAnsi" w:hAnsiTheme="minorHAnsi"/>
          <w:color w:val="000000"/>
          <w:kern w:val="24"/>
          <w:szCs w:val="22"/>
        </w:rPr>
        <w:t>Total wastewater discharge</w:t>
      </w:r>
      <w:r w:rsidR="00A4114B" w:rsidRPr="00A4114B">
        <w:rPr>
          <w:rFonts w:asciiTheme="minorHAnsi" w:hAnsiTheme="minorHAnsi"/>
          <w:color w:val="000000"/>
          <w:kern w:val="24"/>
          <w:szCs w:val="22"/>
        </w:rPr>
        <w:t xml:space="preserve"> is greater than 5% of wastewater treatment facility’s </w:t>
      </w:r>
      <w:r w:rsidR="00854C43">
        <w:rPr>
          <w:rFonts w:asciiTheme="minorHAnsi" w:hAnsiTheme="minorHAnsi"/>
          <w:color w:val="000000"/>
          <w:kern w:val="24"/>
          <w:szCs w:val="22"/>
        </w:rPr>
        <w:t xml:space="preserve">designed </w:t>
      </w:r>
      <w:r w:rsidR="00A4114B" w:rsidRPr="00A4114B">
        <w:rPr>
          <w:rFonts w:asciiTheme="minorHAnsi" w:hAnsiTheme="minorHAnsi"/>
          <w:color w:val="000000"/>
          <w:kern w:val="24"/>
          <w:szCs w:val="22"/>
        </w:rPr>
        <w:t>hydraulic capacity</w:t>
      </w:r>
    </w:p>
    <w:p w:rsidR="00A4114B" w:rsidRPr="00A4114B" w:rsidRDefault="00A4114B" w:rsidP="00A4114B">
      <w:pPr>
        <w:numPr>
          <w:ilvl w:val="0"/>
          <w:numId w:val="1"/>
        </w:numPr>
        <w:spacing w:after="160" w:line="259" w:lineRule="auto"/>
        <w:ind w:left="922"/>
        <w:contextualSpacing/>
        <w:rPr>
          <w:rFonts w:asciiTheme="minorHAnsi" w:hAnsiTheme="minorHAnsi"/>
          <w:szCs w:val="22"/>
        </w:rPr>
      </w:pPr>
      <w:r w:rsidRPr="00A4114B">
        <w:rPr>
          <w:rFonts w:asciiTheme="minorHAnsi" w:hAnsiTheme="minorHAnsi"/>
          <w:color w:val="000000"/>
          <w:kern w:val="24"/>
          <w:szCs w:val="22"/>
        </w:rPr>
        <w:t>BOD of the discharge is greater than 5% of the designed organic treatment capacity of your wastewater treatment facility</w:t>
      </w:r>
    </w:p>
    <w:p w:rsidR="00A4114B" w:rsidRPr="0084349B" w:rsidRDefault="00A4114B" w:rsidP="008C65FA">
      <w:pPr>
        <w:numPr>
          <w:ilvl w:val="0"/>
          <w:numId w:val="1"/>
        </w:numPr>
        <w:spacing w:after="160" w:line="259" w:lineRule="auto"/>
        <w:ind w:left="922"/>
        <w:contextualSpacing/>
        <w:rPr>
          <w:rFonts w:asciiTheme="minorHAnsi" w:hAnsiTheme="minorHAnsi"/>
          <w:szCs w:val="22"/>
        </w:rPr>
      </w:pPr>
      <w:r w:rsidRPr="00A4114B">
        <w:rPr>
          <w:rFonts w:asciiTheme="minorHAnsi" w:hAnsiTheme="minorHAnsi"/>
          <w:szCs w:val="22"/>
        </w:rPr>
        <w:t xml:space="preserve">Discharge can impact proper operation of treatment process </w:t>
      </w:r>
    </w:p>
    <w:p w:rsidR="008C65FA" w:rsidRPr="00A4114B" w:rsidRDefault="008C65FA" w:rsidP="008C65FA">
      <w:pPr>
        <w:spacing w:after="160" w:line="259" w:lineRule="auto"/>
        <w:ind w:left="922"/>
        <w:contextualSpacing/>
        <w:rPr>
          <w:rFonts w:asciiTheme="minorHAnsi" w:hAnsiTheme="minorHAnsi"/>
          <w:szCs w:val="22"/>
        </w:rPr>
      </w:pPr>
    </w:p>
    <w:p w:rsidR="007D73C2" w:rsidRPr="0084349B" w:rsidRDefault="00A4114B" w:rsidP="008C65FA">
      <w:pPr>
        <w:spacing w:line="259" w:lineRule="auto"/>
        <w:ind w:left="0"/>
        <w:rPr>
          <w:rFonts w:asciiTheme="minorHAnsi" w:eastAsia="Calibri" w:hAnsiTheme="minorHAnsi"/>
          <w:b/>
          <w:szCs w:val="22"/>
        </w:rPr>
      </w:pPr>
      <w:r w:rsidRPr="00A4114B">
        <w:rPr>
          <w:rFonts w:asciiTheme="minorHAnsi" w:eastAsia="Calibri" w:hAnsiTheme="minorHAnsi"/>
          <w:b/>
          <w:szCs w:val="22"/>
        </w:rPr>
        <w:t>As my business grows, will I need to apply for a pretreatment permit?</w:t>
      </w:r>
    </w:p>
    <w:p w:rsidR="00A4114B" w:rsidRPr="0084349B" w:rsidRDefault="00463077" w:rsidP="008C65FA">
      <w:pPr>
        <w:spacing w:line="259" w:lineRule="auto"/>
        <w:ind w:left="0"/>
        <w:rPr>
          <w:rFonts w:asciiTheme="minorHAnsi" w:eastAsia="Calibri" w:hAnsiTheme="minorHAnsi"/>
          <w:b/>
          <w:szCs w:val="22"/>
        </w:rPr>
      </w:pPr>
      <w:r w:rsidRPr="0084349B">
        <w:rPr>
          <w:rFonts w:asciiTheme="minorHAnsi" w:eastAsia="Calibri" w:hAnsiTheme="minorHAnsi"/>
          <w:szCs w:val="22"/>
        </w:rPr>
        <w:t>When you first open your business, y</w:t>
      </w:r>
      <w:r w:rsidR="00AF301C" w:rsidRPr="0084349B">
        <w:rPr>
          <w:rFonts w:asciiTheme="minorHAnsi" w:eastAsia="Calibri" w:hAnsiTheme="minorHAnsi"/>
          <w:szCs w:val="22"/>
        </w:rPr>
        <w:t xml:space="preserve">our initial production levels may not necessitate </w:t>
      </w:r>
      <w:r w:rsidR="00A4114B" w:rsidRPr="00A4114B">
        <w:rPr>
          <w:rFonts w:asciiTheme="minorHAnsi" w:eastAsia="Calibri" w:hAnsiTheme="minorHAnsi"/>
          <w:szCs w:val="22"/>
        </w:rPr>
        <w:t xml:space="preserve">a pretreatment </w:t>
      </w:r>
      <w:r w:rsidRPr="0084349B">
        <w:rPr>
          <w:rFonts w:asciiTheme="minorHAnsi" w:eastAsia="Calibri" w:hAnsiTheme="minorHAnsi"/>
          <w:szCs w:val="22"/>
        </w:rPr>
        <w:t>permit.</w:t>
      </w:r>
      <w:r w:rsidR="00A4114B" w:rsidRPr="00A4114B">
        <w:rPr>
          <w:rFonts w:asciiTheme="minorHAnsi" w:eastAsia="Calibri" w:hAnsiTheme="minorHAnsi"/>
          <w:szCs w:val="22"/>
        </w:rPr>
        <w:t xml:space="preserve"> However, </w:t>
      </w:r>
      <w:r w:rsidR="00AF301C" w:rsidRPr="0084349B">
        <w:rPr>
          <w:rFonts w:asciiTheme="minorHAnsi" w:eastAsia="Calibri" w:hAnsiTheme="minorHAnsi"/>
          <w:szCs w:val="22"/>
        </w:rPr>
        <w:t>as your business grows, if you generate</w:t>
      </w:r>
      <w:r w:rsidR="00A4114B" w:rsidRPr="00A4114B">
        <w:rPr>
          <w:rFonts w:asciiTheme="minorHAnsi" w:eastAsia="Calibri" w:hAnsiTheme="minorHAnsi"/>
          <w:szCs w:val="22"/>
        </w:rPr>
        <w:t xml:space="preserve"> a larger </w:t>
      </w:r>
      <w:r w:rsidR="00A06F83" w:rsidRPr="0084349B">
        <w:rPr>
          <w:rFonts w:asciiTheme="minorHAnsi" w:eastAsia="Calibri" w:hAnsiTheme="minorHAnsi"/>
          <w:szCs w:val="22"/>
        </w:rPr>
        <w:t>quantity of high strength waste</w:t>
      </w:r>
      <w:r w:rsidR="00A4114B" w:rsidRPr="00A4114B">
        <w:rPr>
          <w:rFonts w:asciiTheme="minorHAnsi" w:eastAsia="Calibri" w:hAnsiTheme="minorHAnsi"/>
          <w:szCs w:val="22"/>
        </w:rPr>
        <w:t xml:space="preserve">water, you may be required to obtain a pretreatment permit. </w:t>
      </w:r>
    </w:p>
    <w:p w:rsidR="008C65FA" w:rsidRPr="00A4114B" w:rsidRDefault="008C65FA" w:rsidP="008C65FA">
      <w:pPr>
        <w:spacing w:line="259" w:lineRule="auto"/>
        <w:ind w:left="0"/>
        <w:rPr>
          <w:rFonts w:asciiTheme="minorHAnsi" w:eastAsia="Calibri" w:hAnsiTheme="minorHAnsi"/>
          <w:szCs w:val="22"/>
        </w:rPr>
      </w:pPr>
    </w:p>
    <w:p w:rsidR="00A4114B" w:rsidRPr="00A4114B" w:rsidRDefault="00A4114B" w:rsidP="008C65FA">
      <w:pPr>
        <w:spacing w:line="259" w:lineRule="auto"/>
        <w:ind w:left="0"/>
        <w:rPr>
          <w:rFonts w:asciiTheme="minorHAnsi" w:eastAsia="Calibri" w:hAnsiTheme="minorHAnsi"/>
          <w:b/>
          <w:szCs w:val="22"/>
        </w:rPr>
      </w:pPr>
      <w:r w:rsidRPr="00A4114B">
        <w:rPr>
          <w:rFonts w:asciiTheme="minorHAnsi" w:eastAsia="Calibri" w:hAnsiTheme="minorHAnsi"/>
          <w:b/>
          <w:szCs w:val="22"/>
        </w:rPr>
        <w:t>Why is it important to use</w:t>
      </w:r>
      <w:r w:rsidR="002C64A3">
        <w:rPr>
          <w:rFonts w:asciiTheme="minorHAnsi" w:eastAsia="Calibri" w:hAnsiTheme="minorHAnsi"/>
          <w:b/>
          <w:szCs w:val="22"/>
        </w:rPr>
        <w:t xml:space="preserve"> pollution prevention strategies for my facility’s </w:t>
      </w:r>
      <w:r w:rsidRPr="00A4114B">
        <w:rPr>
          <w:rFonts w:asciiTheme="minorHAnsi" w:eastAsia="Calibri" w:hAnsiTheme="minorHAnsi"/>
          <w:b/>
          <w:szCs w:val="22"/>
        </w:rPr>
        <w:t>w</w:t>
      </w:r>
      <w:r w:rsidR="00854C43">
        <w:rPr>
          <w:rFonts w:asciiTheme="minorHAnsi" w:eastAsia="Calibri" w:hAnsiTheme="minorHAnsi"/>
          <w:b/>
          <w:szCs w:val="22"/>
        </w:rPr>
        <w:t>astew</w:t>
      </w:r>
      <w:r w:rsidRPr="00A4114B">
        <w:rPr>
          <w:rFonts w:asciiTheme="minorHAnsi" w:eastAsia="Calibri" w:hAnsiTheme="minorHAnsi"/>
          <w:b/>
          <w:szCs w:val="22"/>
        </w:rPr>
        <w:t xml:space="preserve">ater </w:t>
      </w:r>
      <w:r w:rsidR="002C64A3">
        <w:rPr>
          <w:rFonts w:asciiTheme="minorHAnsi" w:eastAsia="Calibri" w:hAnsiTheme="minorHAnsi"/>
          <w:b/>
          <w:szCs w:val="22"/>
        </w:rPr>
        <w:t>discharge</w:t>
      </w:r>
      <w:r w:rsidRPr="00A4114B">
        <w:rPr>
          <w:rFonts w:asciiTheme="minorHAnsi" w:eastAsia="Calibri" w:hAnsiTheme="minorHAnsi"/>
          <w:b/>
          <w:szCs w:val="22"/>
        </w:rPr>
        <w:t>?</w:t>
      </w:r>
    </w:p>
    <w:p w:rsidR="00A4114B" w:rsidRPr="0084349B" w:rsidRDefault="002C64A3" w:rsidP="008C65FA">
      <w:pPr>
        <w:spacing w:line="259" w:lineRule="auto"/>
        <w:ind w:left="0"/>
        <w:rPr>
          <w:rFonts w:asciiTheme="minorHAnsi" w:eastAsia="Calibri" w:hAnsiTheme="minorHAnsi"/>
          <w:szCs w:val="22"/>
        </w:rPr>
      </w:pPr>
      <w:r>
        <w:rPr>
          <w:rFonts w:asciiTheme="minorHAnsi" w:eastAsia="Calibri" w:hAnsiTheme="minorHAnsi"/>
          <w:szCs w:val="22"/>
        </w:rPr>
        <w:t xml:space="preserve">Good wastewater pollution prevention = preventing high strength materials (liquid and solid) from entering the discharge. </w:t>
      </w:r>
      <w:r w:rsidR="00A4114B" w:rsidRPr="00A4114B">
        <w:rPr>
          <w:rFonts w:asciiTheme="minorHAnsi" w:eastAsia="Calibri" w:hAnsiTheme="minorHAnsi"/>
          <w:szCs w:val="22"/>
        </w:rPr>
        <w:t>Septic and wastewater treatment facilities are not designed to handle large quantities of solid or liquid food waste. Disposing of food and drink down the drain can lead to plugging pumps/pipes, septic system failure, increased need for system ma</w:t>
      </w:r>
      <w:r>
        <w:rPr>
          <w:rFonts w:asciiTheme="minorHAnsi" w:eastAsia="Calibri" w:hAnsiTheme="minorHAnsi"/>
          <w:szCs w:val="22"/>
        </w:rPr>
        <w:t>intenance, and potential fines.</w:t>
      </w:r>
    </w:p>
    <w:p w:rsidR="008C65FA" w:rsidRPr="00A4114B" w:rsidRDefault="008C65FA" w:rsidP="008C65FA">
      <w:pPr>
        <w:spacing w:line="259" w:lineRule="auto"/>
        <w:ind w:left="0"/>
        <w:rPr>
          <w:rFonts w:asciiTheme="minorHAnsi" w:eastAsia="Calibri" w:hAnsiTheme="minorHAnsi"/>
          <w:szCs w:val="22"/>
        </w:rPr>
      </w:pPr>
    </w:p>
    <w:p w:rsidR="00A4114B" w:rsidRPr="0084349B" w:rsidRDefault="00A4114B" w:rsidP="00A4114B">
      <w:pPr>
        <w:spacing w:after="160" w:line="259" w:lineRule="auto"/>
        <w:ind w:left="0"/>
        <w:rPr>
          <w:rFonts w:asciiTheme="minorHAnsi" w:hAnsiTheme="minorHAnsi"/>
          <w:b/>
          <w:color w:val="000000"/>
          <w:kern w:val="24"/>
          <w:szCs w:val="22"/>
        </w:rPr>
      </w:pPr>
      <w:r w:rsidRPr="00A4114B">
        <w:rPr>
          <w:rFonts w:asciiTheme="minorHAnsi" w:eastAsia="Calibri" w:hAnsiTheme="minorHAnsi"/>
          <w:b/>
          <w:szCs w:val="22"/>
        </w:rPr>
        <w:t xml:space="preserve">For more information, contact </w:t>
      </w:r>
      <w:r w:rsidRPr="00A4114B">
        <w:rPr>
          <w:rFonts w:asciiTheme="minorHAnsi" w:hAnsiTheme="minorHAnsi"/>
          <w:b/>
          <w:color w:val="000000"/>
          <w:kern w:val="24"/>
          <w:szCs w:val="22"/>
        </w:rPr>
        <w:t xml:space="preserve">Eamon Twohig by email, </w:t>
      </w:r>
      <w:hyperlink r:id="rId10" w:history="1">
        <w:r w:rsidRPr="00A4114B">
          <w:rPr>
            <w:rFonts w:asciiTheme="minorHAnsi" w:hAnsiTheme="minorHAnsi"/>
            <w:b/>
            <w:color w:val="000000"/>
            <w:kern w:val="24"/>
            <w:szCs w:val="22"/>
            <w:u w:val="single"/>
          </w:rPr>
          <w:t>eamon.twohig@vermont.gov</w:t>
        </w:r>
      </w:hyperlink>
      <w:r w:rsidRPr="00A4114B">
        <w:rPr>
          <w:rFonts w:asciiTheme="minorHAnsi" w:hAnsiTheme="minorHAnsi"/>
          <w:b/>
          <w:color w:val="000000"/>
          <w:kern w:val="24"/>
          <w:szCs w:val="22"/>
        </w:rPr>
        <w:t>, or by phone, 802-490-6189.</w:t>
      </w:r>
      <w:r w:rsidRPr="00A4114B">
        <w:rPr>
          <w:rFonts w:asciiTheme="minorHAnsi" w:eastAsia="Calibri" w:hAnsiTheme="minorHAnsi"/>
          <w:b/>
          <w:szCs w:val="22"/>
        </w:rPr>
        <w:t xml:space="preserve"> </w:t>
      </w:r>
      <w:hyperlink r:id="rId11" w:history="1">
        <w:r w:rsidRPr="00A4114B">
          <w:rPr>
            <w:rFonts w:asciiTheme="minorHAnsi" w:hAnsiTheme="minorHAnsi"/>
            <w:b/>
            <w:color w:val="000000"/>
            <w:kern w:val="24"/>
            <w:szCs w:val="22"/>
          </w:rPr>
          <w:t>www.dec.vermont.gov/watershed/wastewater</w:t>
        </w:r>
      </w:hyperlink>
    </w:p>
    <w:p w:rsidR="008C65FA" w:rsidRPr="00A4114B" w:rsidRDefault="008C65FA" w:rsidP="00A4114B">
      <w:pPr>
        <w:spacing w:after="160" w:line="259" w:lineRule="auto"/>
        <w:ind w:left="0"/>
        <w:rPr>
          <w:rFonts w:asciiTheme="minorHAnsi" w:eastAsia="Calibri" w:hAnsiTheme="minorHAnsi"/>
          <w:szCs w:val="22"/>
        </w:rPr>
      </w:pPr>
    </w:p>
    <w:p w:rsidR="008C65FA" w:rsidRPr="00A4114B" w:rsidRDefault="008C65FA" w:rsidP="008C65FA">
      <w:pPr>
        <w:spacing w:line="259" w:lineRule="auto"/>
        <w:ind w:left="0"/>
        <w:rPr>
          <w:rFonts w:asciiTheme="minorHAnsi" w:eastAsia="Calibri" w:hAnsiTheme="minorHAnsi"/>
          <w:szCs w:val="22"/>
        </w:rPr>
      </w:pPr>
    </w:p>
    <w:p w:rsidR="00A4114B" w:rsidRPr="00A4114B" w:rsidRDefault="00A4114B" w:rsidP="00A4114B">
      <w:pPr>
        <w:spacing w:line="259" w:lineRule="auto"/>
        <w:ind w:left="0"/>
        <w:rPr>
          <w:rFonts w:asciiTheme="minorHAnsi" w:eastAsia="Calibri" w:hAnsiTheme="minorHAnsi"/>
          <w:b/>
          <w:szCs w:val="22"/>
        </w:rPr>
      </w:pPr>
      <w:r w:rsidRPr="00A4114B">
        <w:rPr>
          <w:rFonts w:asciiTheme="minorHAnsi" w:eastAsia="Calibri" w:hAnsiTheme="minorHAnsi"/>
          <w:b/>
          <w:szCs w:val="22"/>
        </w:rPr>
        <w:t>Do food processors need to be concerned about producing hazardous waste?</w:t>
      </w:r>
    </w:p>
    <w:p w:rsidR="00A4114B" w:rsidRDefault="00A4114B" w:rsidP="00A4114B">
      <w:pPr>
        <w:spacing w:after="160" w:line="259" w:lineRule="auto"/>
        <w:ind w:left="0"/>
        <w:rPr>
          <w:rFonts w:asciiTheme="minorHAnsi" w:eastAsia="Calibri" w:hAnsiTheme="minorHAnsi"/>
          <w:szCs w:val="22"/>
        </w:rPr>
      </w:pPr>
      <w:r w:rsidRPr="00A4114B">
        <w:rPr>
          <w:rFonts w:asciiTheme="minorHAnsi" w:eastAsia="Calibri" w:hAnsiTheme="minorHAnsi"/>
          <w:szCs w:val="22"/>
        </w:rPr>
        <w:t xml:space="preserve">While you may not be generating a lot of hazardous waste, it is possible that you have certain chemicals onsite that are used for machinery, cleaning, </w:t>
      </w:r>
      <w:r w:rsidR="00566D31">
        <w:rPr>
          <w:rFonts w:asciiTheme="minorHAnsi" w:eastAsia="Calibri" w:hAnsiTheme="minorHAnsi"/>
          <w:szCs w:val="22"/>
        </w:rPr>
        <w:t>testing,</w:t>
      </w:r>
      <w:r w:rsidR="002A26F9">
        <w:rPr>
          <w:rFonts w:asciiTheme="minorHAnsi" w:eastAsia="Calibri" w:hAnsiTheme="minorHAnsi"/>
          <w:szCs w:val="22"/>
        </w:rPr>
        <w:t xml:space="preserve"> printing,</w:t>
      </w:r>
      <w:r w:rsidR="00566D31">
        <w:rPr>
          <w:rFonts w:asciiTheme="minorHAnsi" w:eastAsia="Calibri" w:hAnsiTheme="minorHAnsi"/>
          <w:szCs w:val="22"/>
        </w:rPr>
        <w:t xml:space="preserve"> </w:t>
      </w:r>
      <w:r w:rsidRPr="00A4114B">
        <w:rPr>
          <w:rFonts w:asciiTheme="minorHAnsi" w:eastAsia="Calibri" w:hAnsiTheme="minorHAnsi"/>
          <w:szCs w:val="22"/>
        </w:rPr>
        <w:t>painting or maintenance that qualify as hazardous waste</w:t>
      </w:r>
      <w:r w:rsidR="00566D31">
        <w:rPr>
          <w:rFonts w:asciiTheme="minorHAnsi" w:eastAsia="Calibri" w:hAnsiTheme="minorHAnsi"/>
          <w:szCs w:val="22"/>
        </w:rPr>
        <w:t xml:space="preserve"> when disposed</w:t>
      </w:r>
      <w:r w:rsidRPr="00A4114B">
        <w:rPr>
          <w:rFonts w:asciiTheme="minorHAnsi" w:eastAsia="Calibri" w:hAnsiTheme="minorHAnsi"/>
          <w:szCs w:val="22"/>
        </w:rPr>
        <w:t>.</w:t>
      </w:r>
      <w:r w:rsidR="00566D31">
        <w:rPr>
          <w:rFonts w:asciiTheme="minorHAnsi" w:eastAsia="Calibri" w:hAnsiTheme="minorHAnsi"/>
          <w:szCs w:val="22"/>
        </w:rPr>
        <w:t xml:space="preserve"> </w:t>
      </w:r>
    </w:p>
    <w:p w:rsidR="00566D31" w:rsidRPr="002A26F9" w:rsidRDefault="00566D31" w:rsidP="00A4114B">
      <w:pPr>
        <w:spacing w:after="160" w:line="259" w:lineRule="auto"/>
        <w:ind w:left="0"/>
        <w:rPr>
          <w:rFonts w:asciiTheme="minorHAnsi" w:eastAsia="Calibri" w:hAnsiTheme="minorHAnsi"/>
          <w:b/>
          <w:szCs w:val="22"/>
        </w:rPr>
      </w:pPr>
      <w:r w:rsidRPr="002A26F9">
        <w:rPr>
          <w:rFonts w:asciiTheme="minorHAnsi" w:eastAsia="Calibri" w:hAnsiTheme="minorHAnsi"/>
          <w:b/>
          <w:szCs w:val="22"/>
        </w:rPr>
        <w:t>What are the regulatory requirements for facilities that produce hazardous waste?</w:t>
      </w:r>
    </w:p>
    <w:p w:rsidR="00566D31" w:rsidRDefault="00566D31" w:rsidP="00A4114B">
      <w:pPr>
        <w:spacing w:after="160" w:line="259" w:lineRule="auto"/>
        <w:ind w:left="0"/>
        <w:rPr>
          <w:rFonts w:asciiTheme="minorHAnsi" w:eastAsia="Calibri" w:hAnsiTheme="minorHAnsi"/>
          <w:szCs w:val="22"/>
        </w:rPr>
      </w:pPr>
      <w:r>
        <w:rPr>
          <w:rFonts w:asciiTheme="minorHAnsi" w:eastAsia="Calibri" w:hAnsiTheme="minorHAnsi"/>
          <w:szCs w:val="22"/>
        </w:rPr>
        <w:t xml:space="preserve">Facilities must identify all hazardous waste, quantify how much hazardous waste is generated each month and how much is stored onsite to determine your “generator status,” register with the VTDEC Hazardous Waste Management Program, and manage hazardous waste according to the Vermont Hazardous Waste Management Regulations (Regulations). </w:t>
      </w:r>
    </w:p>
    <w:p w:rsidR="00566D31" w:rsidRDefault="00B740CD" w:rsidP="00A4114B">
      <w:pPr>
        <w:spacing w:after="160" w:line="259" w:lineRule="auto"/>
        <w:ind w:left="0"/>
        <w:rPr>
          <w:rFonts w:asciiTheme="minorHAnsi" w:eastAsia="Calibri" w:hAnsiTheme="minorHAnsi"/>
          <w:szCs w:val="22"/>
        </w:rPr>
      </w:pPr>
      <w:r>
        <w:rPr>
          <w:rFonts w:asciiTheme="minorHAnsi" w:eastAsia="Calibri" w:hAnsiTheme="minorHAnsi"/>
          <w:szCs w:val="22"/>
        </w:rPr>
        <w:t xml:space="preserve">Though each operation is unique and must determine their amounts of waste individually, small businesses and those that deal primarily with non-hazardous materials like food most often fall into the least-regulated generator status of Conditionally Exempt Generator (CEG). </w:t>
      </w:r>
    </w:p>
    <w:p w:rsidR="00566D31" w:rsidRPr="00A4114B" w:rsidRDefault="00566D31" w:rsidP="00A4114B">
      <w:pPr>
        <w:spacing w:after="160" w:line="259" w:lineRule="auto"/>
        <w:ind w:left="0"/>
        <w:rPr>
          <w:rFonts w:asciiTheme="minorHAnsi" w:eastAsia="Calibri" w:hAnsiTheme="minorHAnsi"/>
          <w:szCs w:val="22"/>
        </w:rPr>
      </w:pPr>
    </w:p>
    <w:p w:rsidR="00A4114B" w:rsidRPr="00A4114B" w:rsidRDefault="00A4114B" w:rsidP="00A4114B">
      <w:pPr>
        <w:spacing w:line="259" w:lineRule="auto"/>
        <w:ind w:left="0"/>
        <w:rPr>
          <w:rFonts w:asciiTheme="minorHAnsi" w:eastAsia="Calibri" w:hAnsiTheme="minorHAnsi"/>
          <w:szCs w:val="22"/>
        </w:rPr>
      </w:pPr>
    </w:p>
    <w:p w:rsidR="00A4114B" w:rsidRPr="00A4114B" w:rsidRDefault="00A4114B" w:rsidP="00A4114B">
      <w:pPr>
        <w:spacing w:after="160" w:line="259" w:lineRule="auto"/>
        <w:ind w:left="0"/>
        <w:rPr>
          <w:rFonts w:asciiTheme="minorHAnsi" w:eastAsia="Calibri" w:hAnsiTheme="minorHAnsi"/>
          <w:b/>
          <w:szCs w:val="22"/>
        </w:rPr>
      </w:pPr>
      <w:r w:rsidRPr="00A4114B">
        <w:rPr>
          <w:rFonts w:asciiTheme="minorHAnsi" w:eastAsia="Calibri" w:hAnsiTheme="minorHAnsi"/>
          <w:b/>
          <w:szCs w:val="22"/>
        </w:rPr>
        <w:t xml:space="preserve">To determine if you have hazardous waste, check with Vermont’s Hazardous Waste Management Regulations at </w:t>
      </w:r>
      <w:hyperlink r:id="rId12" w:history="1">
        <w:r w:rsidRPr="00A4114B">
          <w:rPr>
            <w:rFonts w:asciiTheme="minorHAnsi" w:hAnsiTheme="minorHAnsi"/>
            <w:b/>
            <w:color w:val="000000"/>
            <w:kern w:val="24"/>
            <w:szCs w:val="22"/>
          </w:rPr>
          <w:t>www.dec.vermont.gov/waste-management/hazardous</w:t>
        </w:r>
      </w:hyperlink>
      <w:r w:rsidRPr="00A4114B">
        <w:rPr>
          <w:rFonts w:asciiTheme="minorHAnsi" w:hAnsiTheme="minorHAnsi"/>
          <w:b/>
          <w:color w:val="000000"/>
          <w:kern w:val="24"/>
          <w:szCs w:val="22"/>
        </w:rPr>
        <w:t xml:space="preserve">. For more information, contact </w:t>
      </w:r>
      <w:r w:rsidR="00C53357">
        <w:rPr>
          <w:rFonts w:asciiTheme="minorHAnsi" w:hAnsiTheme="minorHAnsi"/>
          <w:b/>
          <w:color w:val="000000"/>
          <w:kern w:val="24"/>
          <w:szCs w:val="22"/>
        </w:rPr>
        <w:t>Lynn Metcalf</w:t>
      </w:r>
      <w:r w:rsidRPr="00A4114B">
        <w:rPr>
          <w:rFonts w:asciiTheme="minorHAnsi" w:hAnsiTheme="minorHAnsi"/>
          <w:b/>
          <w:color w:val="000000"/>
          <w:kern w:val="24"/>
          <w:szCs w:val="22"/>
        </w:rPr>
        <w:t xml:space="preserve"> by ema</w:t>
      </w:r>
      <w:hyperlink r:id="rId13" w:history="1">
        <w:r w:rsidR="00C53357" w:rsidRPr="00CE5933">
          <w:rPr>
            <w:rStyle w:val="Hyperlink"/>
            <w:rFonts w:asciiTheme="minorHAnsi" w:hAnsiTheme="minorHAnsi"/>
            <w:b/>
            <w:kern w:val="24"/>
            <w:szCs w:val="22"/>
          </w:rPr>
          <w:t>lynn.metcalf@vermont.gov</w:t>
        </w:r>
      </w:hyperlink>
      <w:r w:rsidRPr="00A4114B">
        <w:rPr>
          <w:rFonts w:asciiTheme="minorHAnsi" w:hAnsiTheme="minorHAnsi"/>
          <w:b/>
          <w:color w:val="000000"/>
          <w:kern w:val="24"/>
          <w:szCs w:val="22"/>
        </w:rPr>
        <w:t>, or by phone, 802-52</w:t>
      </w:r>
      <w:r w:rsidR="00C53357">
        <w:rPr>
          <w:rFonts w:asciiTheme="minorHAnsi" w:hAnsiTheme="minorHAnsi"/>
          <w:b/>
          <w:color w:val="000000"/>
          <w:kern w:val="24"/>
          <w:szCs w:val="22"/>
        </w:rPr>
        <w:t>2-0469</w:t>
      </w:r>
      <w:r w:rsidRPr="00A4114B">
        <w:rPr>
          <w:rFonts w:asciiTheme="minorHAnsi" w:hAnsiTheme="minorHAnsi"/>
          <w:b/>
          <w:color w:val="000000"/>
          <w:kern w:val="24"/>
          <w:szCs w:val="22"/>
        </w:rPr>
        <w:t xml:space="preserve">. </w:t>
      </w:r>
    </w:p>
    <w:p w:rsidR="00A4114B" w:rsidRDefault="00A4114B" w:rsidP="006877A8">
      <w:pPr>
        <w:autoSpaceDE w:val="0"/>
        <w:autoSpaceDN w:val="0"/>
        <w:adjustRightInd w:val="0"/>
        <w:ind w:left="0"/>
        <w:rPr>
          <w:rFonts w:cs="Arial"/>
          <w:b/>
          <w:bCs/>
          <w:color w:val="000000"/>
          <w:sz w:val="36"/>
          <w:szCs w:val="36"/>
        </w:rPr>
      </w:pPr>
    </w:p>
    <w:sectPr w:rsidR="00A4114B">
      <w:footerReference w:type="default" r:id="rId14"/>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835" w:rsidRDefault="00A44835">
      <w:r>
        <w:separator/>
      </w:r>
    </w:p>
  </w:endnote>
  <w:endnote w:type="continuationSeparator" w:id="0">
    <w:p w:rsidR="00A44835" w:rsidRDefault="00A4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BGPE P+ Garamond">
    <w:altName w:val="Garamon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EE7" w:rsidRDefault="00B174B8" w:rsidP="009C5698">
    <w:pPr>
      <w:pStyle w:val="Footer"/>
      <w:tabs>
        <w:tab w:val="clear" w:pos="4320"/>
        <w:tab w:val="left" w:pos="5760"/>
      </w:tabs>
      <w:spacing w:before="40"/>
      <w:ind w:left="0"/>
      <w:rPr>
        <w:rFonts w:cs="Arial"/>
        <w:sz w:val="20"/>
      </w:rPr>
    </w:pPr>
    <w:r>
      <w:rPr>
        <w:rFonts w:cs="Arial"/>
        <w:noProof/>
        <w:sz w:val="20"/>
      </w:rPr>
      <mc:AlternateContent>
        <mc:Choice Requires="wps">
          <w:drawing>
            <wp:anchor distT="0" distB="0" distL="114300" distR="114300" simplePos="0" relativeHeight="251658240" behindDoc="0" locked="0" layoutInCell="1" allowOverlap="1" wp14:anchorId="237E9355" wp14:editId="49E6DE79">
              <wp:simplePos x="0" y="0"/>
              <wp:positionH relativeFrom="column">
                <wp:posOffset>-28575</wp:posOffset>
              </wp:positionH>
              <wp:positionV relativeFrom="paragraph">
                <wp:posOffset>0</wp:posOffset>
              </wp:positionV>
              <wp:extent cx="6448425"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F5667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0" to="5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"/>
          </w:pict>
        </mc:Fallback>
      </mc:AlternateContent>
    </w:r>
    <w:r>
      <w:rPr>
        <w:rFonts w:cs="Arial"/>
        <w:sz w:val="20"/>
      </w:rPr>
      <w:t>•</w:t>
    </w:r>
    <w:r>
      <w:rPr>
        <w:rFonts w:ascii="Arial Narrow" w:hAnsi="Arial Narrow" w:cs="Arial"/>
        <w:sz w:val="20"/>
      </w:rPr>
      <w:t xml:space="preserve"> rev. </w:t>
    </w:r>
    <w:r w:rsidR="009C5698">
      <w:rPr>
        <w:rFonts w:ascii="Arial Narrow" w:hAnsi="Arial Narrow" w:cs="Arial"/>
        <w:sz w:val="20"/>
      </w:rPr>
      <w:t>8</w:t>
    </w:r>
    <w:r>
      <w:rPr>
        <w:rFonts w:ascii="Arial Narrow" w:hAnsi="Arial Narrow" w:cs="Arial"/>
        <w:sz w:val="20"/>
      </w:rPr>
      <w:t>/20</w:t>
    </w:r>
    <w:r w:rsidR="00A02828">
      <w:rPr>
        <w:rFonts w:ascii="Arial Narrow" w:hAnsi="Arial Narrow" w:cs="Arial"/>
        <w:sz w:val="20"/>
      </w:rPr>
      <w:t>1</w:t>
    </w:r>
    <w:r w:rsidR="009C5698">
      <w:rPr>
        <w:rFonts w:ascii="Arial Narrow" w:hAnsi="Arial Narrow" w:cs="Arial"/>
        <w:sz w:val="20"/>
      </w:rPr>
      <w:t>6</w:t>
    </w:r>
    <w:r w:rsidR="009C5698">
      <w:rPr>
        <w:rFonts w:ascii="Arial Narrow" w:hAnsi="Arial Narrow" w:cs="Arial"/>
        <w:sz w:val="20"/>
      </w:rPr>
      <w:tab/>
    </w:r>
    <w:r w:rsidR="009C5698">
      <w:rPr>
        <w:rFonts w:ascii="Arial Narrow" w:hAnsi="Arial Narrow" w:cs="Arial"/>
        <w:sz w:val="20"/>
      </w:rPr>
      <w:tab/>
    </w:r>
    <w:r w:rsidR="009C5698">
      <w:rPr>
        <w:rFonts w:ascii="Arial Narrow" w:hAnsi="Arial Narrow" w:cs="Arial"/>
        <w:sz w:val="20"/>
      </w:rPr>
      <w:tab/>
      <w:t xml:space="preserve">    </w:t>
    </w:r>
    <w:r>
      <w:rPr>
        <w:rFonts w:ascii="Arial Narrow" w:hAnsi="Arial Narrow" w:cs="Arial"/>
        <w:sz w:val="20"/>
      </w:rPr>
      <w:t xml:space="preserve">• </w:t>
    </w:r>
    <w:r>
      <w:rPr>
        <w:rStyle w:val="PageNumber"/>
        <w:rFonts w:ascii="Arial Narrow" w:hAnsi="Arial Narrow"/>
        <w:sz w:val="20"/>
      </w:rPr>
      <w:fldChar w:fldCharType="begin"/>
    </w:r>
    <w:r>
      <w:rPr>
        <w:rStyle w:val="PageNumber"/>
        <w:rFonts w:ascii="Arial Narrow" w:hAnsi="Arial Narrow"/>
        <w:sz w:val="20"/>
      </w:rPr>
      <w:instrText xml:space="preserve"> PAGE </w:instrText>
    </w:r>
    <w:r>
      <w:rPr>
        <w:rStyle w:val="PageNumber"/>
        <w:rFonts w:ascii="Arial Narrow" w:hAnsi="Arial Narrow"/>
        <w:sz w:val="20"/>
      </w:rPr>
      <w:fldChar w:fldCharType="separate"/>
    </w:r>
    <w:r w:rsidR="00EA21A2">
      <w:rPr>
        <w:rStyle w:val="PageNumber"/>
        <w:rFonts w:ascii="Arial Narrow" w:hAnsi="Arial Narrow"/>
        <w:noProof/>
        <w:sz w:val="20"/>
      </w:rPr>
      <w:t>1</w:t>
    </w:r>
    <w:r>
      <w:rPr>
        <w:rStyle w:val="PageNumber"/>
        <w:rFonts w:ascii="Arial Narrow" w:hAnsi="Arial Narrow"/>
        <w:sz w:val="20"/>
      </w:rPr>
      <w:fldChar w:fldCharType="end"/>
    </w:r>
    <w:r>
      <w:rPr>
        <w:rStyle w:val="PageNumber"/>
        <w:rFonts w:ascii="Arial Narrow" w:hAnsi="Arial Narrow"/>
        <w:sz w:val="20"/>
      </w:rPr>
      <w:t xml:space="preserve"> of </w:t>
    </w:r>
    <w:r>
      <w:rPr>
        <w:rStyle w:val="PageNumber"/>
        <w:rFonts w:ascii="Arial Narrow" w:hAnsi="Arial Narrow"/>
        <w:sz w:val="20"/>
      </w:rPr>
      <w:fldChar w:fldCharType="begin"/>
    </w:r>
    <w:r>
      <w:rPr>
        <w:rStyle w:val="PageNumber"/>
        <w:rFonts w:ascii="Arial Narrow" w:hAnsi="Arial Narrow"/>
        <w:sz w:val="20"/>
      </w:rPr>
      <w:instrText xml:space="preserve"> NUMPAGES </w:instrText>
    </w:r>
    <w:r>
      <w:rPr>
        <w:rStyle w:val="PageNumber"/>
        <w:rFonts w:ascii="Arial Narrow" w:hAnsi="Arial Narrow"/>
        <w:sz w:val="20"/>
      </w:rPr>
      <w:fldChar w:fldCharType="separate"/>
    </w:r>
    <w:r w:rsidR="00EA21A2">
      <w:rPr>
        <w:rStyle w:val="PageNumber"/>
        <w:rFonts w:ascii="Arial Narrow" w:hAnsi="Arial Narrow"/>
        <w:noProof/>
        <w:sz w:val="20"/>
      </w:rPr>
      <w:t>2</w:t>
    </w:r>
    <w:r>
      <w:rPr>
        <w:rStyle w:val="PageNumber"/>
        <w:rFonts w:ascii="Arial Narrow" w:hAnsi="Arial Narro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835" w:rsidRDefault="00A44835">
      <w:r>
        <w:separator/>
      </w:r>
    </w:p>
  </w:footnote>
  <w:footnote w:type="continuationSeparator" w:id="0">
    <w:p w:rsidR="00A44835" w:rsidRDefault="00A44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402D"/>
    <w:multiLevelType w:val="hybridMultilevel"/>
    <w:tmpl w:val="87D21188"/>
    <w:lvl w:ilvl="0" w:tplc="FB302C68">
      <w:start w:val="1"/>
      <w:numFmt w:val="bullet"/>
      <w:lvlText w:val="•"/>
      <w:lvlJc w:val="left"/>
      <w:pPr>
        <w:tabs>
          <w:tab w:val="num" w:pos="720"/>
        </w:tabs>
        <w:ind w:left="720" w:hanging="360"/>
      </w:pPr>
      <w:rPr>
        <w:rFonts w:ascii="Arial" w:hAnsi="Arial" w:hint="default"/>
      </w:rPr>
    </w:lvl>
    <w:lvl w:ilvl="1" w:tplc="0B0881AA" w:tentative="1">
      <w:start w:val="1"/>
      <w:numFmt w:val="bullet"/>
      <w:lvlText w:val="•"/>
      <w:lvlJc w:val="left"/>
      <w:pPr>
        <w:tabs>
          <w:tab w:val="num" w:pos="1440"/>
        </w:tabs>
        <w:ind w:left="1440" w:hanging="360"/>
      </w:pPr>
      <w:rPr>
        <w:rFonts w:ascii="Arial" w:hAnsi="Arial" w:hint="default"/>
      </w:rPr>
    </w:lvl>
    <w:lvl w:ilvl="2" w:tplc="BB567D3A" w:tentative="1">
      <w:start w:val="1"/>
      <w:numFmt w:val="bullet"/>
      <w:lvlText w:val="•"/>
      <w:lvlJc w:val="left"/>
      <w:pPr>
        <w:tabs>
          <w:tab w:val="num" w:pos="2160"/>
        </w:tabs>
        <w:ind w:left="2160" w:hanging="360"/>
      </w:pPr>
      <w:rPr>
        <w:rFonts w:ascii="Arial" w:hAnsi="Arial" w:hint="default"/>
      </w:rPr>
    </w:lvl>
    <w:lvl w:ilvl="3" w:tplc="B2ECBC72" w:tentative="1">
      <w:start w:val="1"/>
      <w:numFmt w:val="bullet"/>
      <w:lvlText w:val="•"/>
      <w:lvlJc w:val="left"/>
      <w:pPr>
        <w:tabs>
          <w:tab w:val="num" w:pos="2880"/>
        </w:tabs>
        <w:ind w:left="2880" w:hanging="360"/>
      </w:pPr>
      <w:rPr>
        <w:rFonts w:ascii="Arial" w:hAnsi="Arial" w:hint="default"/>
      </w:rPr>
    </w:lvl>
    <w:lvl w:ilvl="4" w:tplc="F2543A2C" w:tentative="1">
      <w:start w:val="1"/>
      <w:numFmt w:val="bullet"/>
      <w:lvlText w:val="•"/>
      <w:lvlJc w:val="left"/>
      <w:pPr>
        <w:tabs>
          <w:tab w:val="num" w:pos="3600"/>
        </w:tabs>
        <w:ind w:left="3600" w:hanging="360"/>
      </w:pPr>
      <w:rPr>
        <w:rFonts w:ascii="Arial" w:hAnsi="Arial" w:hint="default"/>
      </w:rPr>
    </w:lvl>
    <w:lvl w:ilvl="5" w:tplc="0160059E" w:tentative="1">
      <w:start w:val="1"/>
      <w:numFmt w:val="bullet"/>
      <w:lvlText w:val="•"/>
      <w:lvlJc w:val="left"/>
      <w:pPr>
        <w:tabs>
          <w:tab w:val="num" w:pos="4320"/>
        </w:tabs>
        <w:ind w:left="4320" w:hanging="360"/>
      </w:pPr>
      <w:rPr>
        <w:rFonts w:ascii="Arial" w:hAnsi="Arial" w:hint="default"/>
      </w:rPr>
    </w:lvl>
    <w:lvl w:ilvl="6" w:tplc="CB1EFD0A" w:tentative="1">
      <w:start w:val="1"/>
      <w:numFmt w:val="bullet"/>
      <w:lvlText w:val="•"/>
      <w:lvlJc w:val="left"/>
      <w:pPr>
        <w:tabs>
          <w:tab w:val="num" w:pos="5040"/>
        </w:tabs>
        <w:ind w:left="5040" w:hanging="360"/>
      </w:pPr>
      <w:rPr>
        <w:rFonts w:ascii="Arial" w:hAnsi="Arial" w:hint="default"/>
      </w:rPr>
    </w:lvl>
    <w:lvl w:ilvl="7" w:tplc="F0B4BA3A" w:tentative="1">
      <w:start w:val="1"/>
      <w:numFmt w:val="bullet"/>
      <w:lvlText w:val="•"/>
      <w:lvlJc w:val="left"/>
      <w:pPr>
        <w:tabs>
          <w:tab w:val="num" w:pos="5760"/>
        </w:tabs>
        <w:ind w:left="5760" w:hanging="360"/>
      </w:pPr>
      <w:rPr>
        <w:rFonts w:ascii="Arial" w:hAnsi="Arial" w:hint="default"/>
      </w:rPr>
    </w:lvl>
    <w:lvl w:ilvl="8" w:tplc="DD302F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E4F275B"/>
    <w:multiLevelType w:val="hybridMultilevel"/>
    <w:tmpl w:val="320659AC"/>
    <w:lvl w:ilvl="0" w:tplc="71E27E7A">
      <w:start w:val="1"/>
      <w:numFmt w:val="bullet"/>
      <w:lvlText w:val="•"/>
      <w:lvlJc w:val="left"/>
      <w:pPr>
        <w:tabs>
          <w:tab w:val="num" w:pos="720"/>
        </w:tabs>
        <w:ind w:left="720" w:hanging="360"/>
      </w:pPr>
      <w:rPr>
        <w:rFonts w:ascii="Arial" w:hAnsi="Arial" w:hint="default"/>
      </w:rPr>
    </w:lvl>
    <w:lvl w:ilvl="1" w:tplc="9AB808B2" w:tentative="1">
      <w:start w:val="1"/>
      <w:numFmt w:val="bullet"/>
      <w:lvlText w:val="•"/>
      <w:lvlJc w:val="left"/>
      <w:pPr>
        <w:tabs>
          <w:tab w:val="num" w:pos="1440"/>
        </w:tabs>
        <w:ind w:left="1440" w:hanging="360"/>
      </w:pPr>
      <w:rPr>
        <w:rFonts w:ascii="Arial" w:hAnsi="Arial" w:hint="default"/>
      </w:rPr>
    </w:lvl>
    <w:lvl w:ilvl="2" w:tplc="D5DA8FA0" w:tentative="1">
      <w:start w:val="1"/>
      <w:numFmt w:val="bullet"/>
      <w:lvlText w:val="•"/>
      <w:lvlJc w:val="left"/>
      <w:pPr>
        <w:tabs>
          <w:tab w:val="num" w:pos="2160"/>
        </w:tabs>
        <w:ind w:left="2160" w:hanging="360"/>
      </w:pPr>
      <w:rPr>
        <w:rFonts w:ascii="Arial" w:hAnsi="Arial" w:hint="default"/>
      </w:rPr>
    </w:lvl>
    <w:lvl w:ilvl="3" w:tplc="749C24B2" w:tentative="1">
      <w:start w:val="1"/>
      <w:numFmt w:val="bullet"/>
      <w:lvlText w:val="•"/>
      <w:lvlJc w:val="left"/>
      <w:pPr>
        <w:tabs>
          <w:tab w:val="num" w:pos="2880"/>
        </w:tabs>
        <w:ind w:left="2880" w:hanging="360"/>
      </w:pPr>
      <w:rPr>
        <w:rFonts w:ascii="Arial" w:hAnsi="Arial" w:hint="default"/>
      </w:rPr>
    </w:lvl>
    <w:lvl w:ilvl="4" w:tplc="1FF41E36" w:tentative="1">
      <w:start w:val="1"/>
      <w:numFmt w:val="bullet"/>
      <w:lvlText w:val="•"/>
      <w:lvlJc w:val="left"/>
      <w:pPr>
        <w:tabs>
          <w:tab w:val="num" w:pos="3600"/>
        </w:tabs>
        <w:ind w:left="3600" w:hanging="360"/>
      </w:pPr>
      <w:rPr>
        <w:rFonts w:ascii="Arial" w:hAnsi="Arial" w:hint="default"/>
      </w:rPr>
    </w:lvl>
    <w:lvl w:ilvl="5" w:tplc="56A0C236" w:tentative="1">
      <w:start w:val="1"/>
      <w:numFmt w:val="bullet"/>
      <w:lvlText w:val="•"/>
      <w:lvlJc w:val="left"/>
      <w:pPr>
        <w:tabs>
          <w:tab w:val="num" w:pos="4320"/>
        </w:tabs>
        <w:ind w:left="4320" w:hanging="360"/>
      </w:pPr>
      <w:rPr>
        <w:rFonts w:ascii="Arial" w:hAnsi="Arial" w:hint="default"/>
      </w:rPr>
    </w:lvl>
    <w:lvl w:ilvl="6" w:tplc="38FC8A6E" w:tentative="1">
      <w:start w:val="1"/>
      <w:numFmt w:val="bullet"/>
      <w:lvlText w:val="•"/>
      <w:lvlJc w:val="left"/>
      <w:pPr>
        <w:tabs>
          <w:tab w:val="num" w:pos="5040"/>
        </w:tabs>
        <w:ind w:left="5040" w:hanging="360"/>
      </w:pPr>
      <w:rPr>
        <w:rFonts w:ascii="Arial" w:hAnsi="Arial" w:hint="default"/>
      </w:rPr>
    </w:lvl>
    <w:lvl w:ilvl="7" w:tplc="28DC064A" w:tentative="1">
      <w:start w:val="1"/>
      <w:numFmt w:val="bullet"/>
      <w:lvlText w:val="•"/>
      <w:lvlJc w:val="left"/>
      <w:pPr>
        <w:tabs>
          <w:tab w:val="num" w:pos="5760"/>
        </w:tabs>
        <w:ind w:left="5760" w:hanging="360"/>
      </w:pPr>
      <w:rPr>
        <w:rFonts w:ascii="Arial" w:hAnsi="Arial" w:hint="default"/>
      </w:rPr>
    </w:lvl>
    <w:lvl w:ilvl="8" w:tplc="BC80F4B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7"/>
  <w:drawingGridVerticalSpacing w:val="187"/>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4B8"/>
    <w:rsid w:val="00054EE7"/>
    <w:rsid w:val="000E4885"/>
    <w:rsid w:val="002316C3"/>
    <w:rsid w:val="002675C1"/>
    <w:rsid w:val="002A26F9"/>
    <w:rsid w:val="002C64A3"/>
    <w:rsid w:val="003154E3"/>
    <w:rsid w:val="004063B6"/>
    <w:rsid w:val="00416CFE"/>
    <w:rsid w:val="00436156"/>
    <w:rsid w:val="00463077"/>
    <w:rsid w:val="00566D31"/>
    <w:rsid w:val="00567C7E"/>
    <w:rsid w:val="005B3960"/>
    <w:rsid w:val="00617CAB"/>
    <w:rsid w:val="006877A8"/>
    <w:rsid w:val="006C0A79"/>
    <w:rsid w:val="007D73C2"/>
    <w:rsid w:val="007F1CFB"/>
    <w:rsid w:val="0084349B"/>
    <w:rsid w:val="00851EF2"/>
    <w:rsid w:val="00854C43"/>
    <w:rsid w:val="008C65FA"/>
    <w:rsid w:val="009C5698"/>
    <w:rsid w:val="00A02828"/>
    <w:rsid w:val="00A06F83"/>
    <w:rsid w:val="00A4114B"/>
    <w:rsid w:val="00A44835"/>
    <w:rsid w:val="00AF301C"/>
    <w:rsid w:val="00B174B8"/>
    <w:rsid w:val="00B740CD"/>
    <w:rsid w:val="00BB7662"/>
    <w:rsid w:val="00C53357"/>
    <w:rsid w:val="00DB332C"/>
    <w:rsid w:val="00E948B2"/>
    <w:rsid w:val="00EA21A2"/>
    <w:rsid w:val="00ED4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01E9787-A182-40BE-BDDD-321843C2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ind w:left="216"/>
    </w:pPr>
    <w:rPr>
      <w:rFonts w:ascii="Arial" w:hAnsi="Arial"/>
      <w:sz w:val="22"/>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3">
    <w:name w:val="heading 3"/>
    <w:basedOn w:val="Normal"/>
    <w:next w:val="Normal"/>
    <w:qFormat/>
    <w:pPr>
      <w:keepNext/>
      <w:spacing w:before="240" w:after="60"/>
      <w:outlineLvl w:val="2"/>
    </w:pPr>
    <w:rPr>
      <w:rFonts w:ascii="Arial Narrow" w:hAnsi="Arial Narrow" w:cs="Arial"/>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FactSheetTitle">
    <w:name w:val="FactSheetTitle"/>
    <w:basedOn w:val="Heading1"/>
    <w:next w:val="Normal"/>
    <w:pPr>
      <w:jc w:val="center"/>
    </w:pPr>
    <w:rPr>
      <w:rFonts w:ascii="Arial Narrow" w:hAnsi="Arial Narrow"/>
      <w:sz w:val="40"/>
    </w:r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character" w:styleId="PageNumber">
    <w:name w:val="page number"/>
    <w:basedOn w:val="DefaultParagraphFont"/>
    <w:semiHidden/>
  </w:style>
  <w:style w:type="paragraph" w:customStyle="1" w:styleId="Default">
    <w:name w:val="Default"/>
    <w:rsid w:val="00BB7662"/>
    <w:pPr>
      <w:autoSpaceDE w:val="0"/>
      <w:autoSpaceDN w:val="0"/>
      <w:adjustRightInd w:val="0"/>
    </w:pPr>
    <w:rPr>
      <w:rFonts w:ascii="OBGPE P+ Garamond" w:eastAsiaTheme="minorEastAsia" w:hAnsi="OBGPE P+ Garamond" w:cs="OBGPE P+ Garamond"/>
      <w:color w:val="000000"/>
      <w:sz w:val="24"/>
      <w:szCs w:val="24"/>
    </w:rPr>
  </w:style>
  <w:style w:type="paragraph" w:styleId="BalloonText">
    <w:name w:val="Balloon Text"/>
    <w:basedOn w:val="Normal"/>
    <w:link w:val="BalloonTextChar"/>
    <w:uiPriority w:val="99"/>
    <w:semiHidden/>
    <w:unhideWhenUsed/>
    <w:rsid w:val="000E48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8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ia.riechel@vermont.gov" TargetMode="External"/><Relationship Id="rId13" Type="http://schemas.openxmlformats.org/officeDocument/2006/relationships/hyperlink" Target="mailto:lynn.metcalf@vermont.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ec.vermont.gov/waste-management/hazardo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c.vermont.gov/watershed/wastewat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amon.twohig@vermont.gov" TargetMode="External"/><Relationship Id="rId4" Type="http://schemas.openxmlformats.org/officeDocument/2006/relationships/webSettings" Target="webSettings.xml"/><Relationship Id="rId9" Type="http://schemas.openxmlformats.org/officeDocument/2006/relationships/hyperlink" Target="http://www.dec.vermont.gov/waste-management/solid/universal-recycl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50F0E735.dotm</Template>
  <TotalTime>0</TotalTime>
  <Pages>2</Pages>
  <Words>799</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Environmental Fact Sheet</vt:lpstr>
    </vt:vector>
  </TitlesOfParts>
  <Company>VTDEC</Company>
  <LinksUpToDate>false</LinksUpToDate>
  <CharactersWithSpaces>5777</CharactersWithSpaces>
  <SharedDoc>false</SharedDoc>
  <HLinks>
    <vt:vector size="12" baseType="variant">
      <vt:variant>
        <vt:i4>917575</vt:i4>
      </vt:variant>
      <vt:variant>
        <vt:i4>3</vt:i4>
      </vt:variant>
      <vt:variant>
        <vt:i4>0</vt:i4>
      </vt:variant>
      <vt:variant>
        <vt:i4>5</vt:i4>
      </vt:variant>
      <vt:variant>
        <vt:lpwstr>http://www.anr.state.vt.us/dec/factsheethome</vt:lpwstr>
      </vt:variant>
      <vt:variant>
        <vt:lpwstr/>
      </vt:variant>
      <vt:variant>
        <vt:i4>15</vt:i4>
      </vt:variant>
      <vt:variant>
        <vt:i4>-1</vt:i4>
      </vt:variant>
      <vt:variant>
        <vt:i4>1026</vt:i4>
      </vt:variant>
      <vt:variant>
        <vt:i4>1</vt:i4>
      </vt:variant>
      <vt:variant>
        <vt:lpwstr>D:\MyFiles\wp\FactSheets\DEC_logo_lzw.tif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Fact Sheet</dc:title>
  <dc:creator>STAFF</dc:creator>
  <cp:lastModifiedBy>Metcalf, Lynn</cp:lastModifiedBy>
  <cp:revision>2</cp:revision>
  <cp:lastPrinted>2016-08-02T12:58:00Z</cp:lastPrinted>
  <dcterms:created xsi:type="dcterms:W3CDTF">2016-12-05T19:07:00Z</dcterms:created>
  <dcterms:modified xsi:type="dcterms:W3CDTF">2016-12-05T19:07:00Z</dcterms:modified>
</cp:coreProperties>
</file>