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13D3" w14:textId="77777777" w:rsidR="004F44F4" w:rsidRPr="002703A6" w:rsidRDefault="004F44F4" w:rsidP="004F44F4">
      <w:pPr>
        <w:pStyle w:val="BodyTextIndent"/>
        <w:tabs>
          <w:tab w:val="clear" w:pos="720"/>
        </w:tabs>
        <w:rPr>
          <w:rFonts w:ascii="Tahoma" w:hAnsi="Tahoma" w:cs="Tahoma"/>
          <w:b/>
          <w:sz w:val="18"/>
          <w:szCs w:val="18"/>
        </w:rPr>
      </w:pPr>
      <w:r w:rsidRPr="002703A6">
        <w:rPr>
          <w:rFonts w:ascii="Tahoma" w:hAnsi="Tahoma" w:cs="Tahoma"/>
          <w:b/>
          <w:sz w:val="18"/>
          <w:szCs w:val="18"/>
        </w:rPr>
        <w:t>Submittal of Source Evaluation Report</w:t>
      </w:r>
    </w:p>
    <w:p w14:paraId="643E66E8" w14:textId="77777777" w:rsidR="004F44F4" w:rsidRPr="002703A6" w:rsidRDefault="004F44F4" w:rsidP="004F44F4">
      <w:pPr>
        <w:pStyle w:val="BodyTextIndent"/>
        <w:tabs>
          <w:tab w:val="clear" w:pos="720"/>
        </w:tabs>
        <w:rPr>
          <w:rFonts w:ascii="Tahoma" w:hAnsi="Tahoma" w:cs="Tahoma"/>
          <w:sz w:val="18"/>
          <w:szCs w:val="18"/>
        </w:rPr>
      </w:pPr>
    </w:p>
    <w:p w14:paraId="48FEC9A4" w14:textId="77777777" w:rsidR="004F44F4" w:rsidRPr="002703A6" w:rsidRDefault="004F44F4" w:rsidP="004F44F4">
      <w:pPr>
        <w:pStyle w:val="BodyTextIndent"/>
        <w:tabs>
          <w:tab w:val="clear" w:pos="720"/>
        </w:tabs>
        <w:rPr>
          <w:rFonts w:ascii="Tahoma" w:hAnsi="Tahoma" w:cs="Tahoma"/>
          <w:sz w:val="18"/>
          <w:szCs w:val="18"/>
        </w:rPr>
      </w:pPr>
      <w:r>
        <w:rPr>
          <w:rFonts w:ascii="Tahoma" w:hAnsi="Tahoma" w:cs="Tahoma"/>
          <w:sz w:val="18"/>
          <w:szCs w:val="18"/>
        </w:rPr>
        <w:t xml:space="preserve">The Report shall contain </w:t>
      </w:r>
      <w:proofErr w:type="gramStart"/>
      <w:r>
        <w:rPr>
          <w:rFonts w:ascii="Tahoma" w:hAnsi="Tahoma" w:cs="Tahoma"/>
          <w:sz w:val="18"/>
          <w:szCs w:val="18"/>
        </w:rPr>
        <w:t>all of</w:t>
      </w:r>
      <w:proofErr w:type="gramEnd"/>
      <w:r>
        <w:rPr>
          <w:rFonts w:ascii="Tahoma" w:hAnsi="Tahoma" w:cs="Tahoma"/>
          <w:sz w:val="18"/>
          <w:szCs w:val="18"/>
        </w:rPr>
        <w:t xml:space="preserve"> the information below, organized in the following manner, unless exempted by the Division:</w:t>
      </w:r>
    </w:p>
    <w:p w14:paraId="718A7FFA" w14:textId="77777777" w:rsidR="004F44F4" w:rsidRPr="002703A6" w:rsidRDefault="004F44F4" w:rsidP="004F44F4">
      <w:pPr>
        <w:pStyle w:val="BodyTextIndent"/>
        <w:tabs>
          <w:tab w:val="clear" w:pos="720"/>
        </w:tabs>
        <w:rPr>
          <w:rFonts w:ascii="Tahoma" w:hAnsi="Tahoma" w:cs="Tahoma"/>
          <w:sz w:val="18"/>
          <w:szCs w:val="18"/>
        </w:rPr>
      </w:pPr>
    </w:p>
    <w:p w14:paraId="695C8D22" w14:textId="2D1E10E9" w:rsidR="004F44F4" w:rsidRDefault="004F44F4" w:rsidP="004F44F4">
      <w:pPr>
        <w:pStyle w:val="BodyTextIndent"/>
        <w:numPr>
          <w:ilvl w:val="0"/>
          <w:numId w:val="1"/>
        </w:numPr>
        <w:tabs>
          <w:tab w:val="clear" w:pos="720"/>
        </w:tabs>
        <w:ind w:left="360"/>
        <w:rPr>
          <w:rFonts w:ascii="Tahoma" w:hAnsi="Tahoma" w:cs="Tahoma"/>
          <w:sz w:val="18"/>
          <w:szCs w:val="18"/>
        </w:rPr>
      </w:pPr>
      <w:r w:rsidRPr="002703A6">
        <w:rPr>
          <w:rFonts w:ascii="Tahoma" w:hAnsi="Tahoma" w:cs="Tahoma"/>
          <w:sz w:val="18"/>
          <w:szCs w:val="18"/>
        </w:rPr>
        <w:t>Site: Documentation of ownership or control of the source location</w:t>
      </w:r>
      <w:r>
        <w:rPr>
          <w:rFonts w:ascii="Tahoma" w:hAnsi="Tahoma" w:cs="Tahoma"/>
          <w:sz w:val="18"/>
          <w:szCs w:val="18"/>
        </w:rPr>
        <w:t>,</w:t>
      </w:r>
      <w:r w:rsidRPr="002703A6">
        <w:rPr>
          <w:rFonts w:ascii="Tahoma" w:hAnsi="Tahoma" w:cs="Tahoma"/>
          <w:sz w:val="18"/>
          <w:szCs w:val="18"/>
        </w:rPr>
        <w:t xml:space="preserve"> and source isolation zone if one is required.  Include the deed’s town, </w:t>
      </w:r>
      <w:proofErr w:type="gramStart"/>
      <w:r w:rsidRPr="002703A6">
        <w:rPr>
          <w:rFonts w:ascii="Tahoma" w:hAnsi="Tahoma" w:cs="Tahoma"/>
          <w:sz w:val="18"/>
          <w:szCs w:val="18"/>
        </w:rPr>
        <w:t>book</w:t>
      </w:r>
      <w:proofErr w:type="gramEnd"/>
      <w:r w:rsidRPr="002703A6">
        <w:rPr>
          <w:rFonts w:ascii="Tahoma" w:hAnsi="Tahoma" w:cs="Tahoma"/>
          <w:sz w:val="18"/>
          <w:szCs w:val="18"/>
        </w:rPr>
        <w:t xml:space="preserve"> and page numbers</w:t>
      </w:r>
      <w:r>
        <w:rPr>
          <w:rFonts w:ascii="Tahoma" w:hAnsi="Tahoma" w:cs="Tahoma"/>
          <w:sz w:val="18"/>
          <w:szCs w:val="18"/>
        </w:rPr>
        <w:t>.</w:t>
      </w:r>
    </w:p>
    <w:p w14:paraId="7A7C9A78" w14:textId="77777777" w:rsidR="001F0CD3" w:rsidRDefault="001F0CD3" w:rsidP="001F0CD3">
      <w:pPr>
        <w:pStyle w:val="BodyTextIndent"/>
        <w:tabs>
          <w:tab w:val="clear" w:pos="720"/>
        </w:tabs>
        <w:ind w:left="360" w:firstLine="0"/>
        <w:rPr>
          <w:rFonts w:ascii="Tahoma" w:hAnsi="Tahoma" w:cs="Tahoma"/>
          <w:sz w:val="18"/>
          <w:szCs w:val="18"/>
        </w:rPr>
      </w:pPr>
    </w:p>
    <w:p w14:paraId="653BE1F5" w14:textId="66906352" w:rsidR="001A4748" w:rsidRDefault="001A4748" w:rsidP="001A4748">
      <w:pPr>
        <w:pStyle w:val="BodyTextIndent"/>
        <w:numPr>
          <w:ilvl w:val="0"/>
          <w:numId w:val="1"/>
        </w:numPr>
        <w:tabs>
          <w:tab w:val="clear" w:pos="720"/>
        </w:tabs>
        <w:ind w:left="360"/>
        <w:rPr>
          <w:rFonts w:ascii="Tahoma" w:hAnsi="Tahoma" w:cs="Tahoma"/>
          <w:sz w:val="18"/>
          <w:szCs w:val="18"/>
        </w:rPr>
      </w:pPr>
      <w:r w:rsidRPr="002703A6">
        <w:rPr>
          <w:rFonts w:ascii="Tahoma" w:hAnsi="Tahoma" w:cs="Tahoma"/>
          <w:sz w:val="18"/>
          <w:szCs w:val="18"/>
        </w:rPr>
        <w:t>Source Construction:  Submit as-built engineering plans for Source Construction (Well Completion Report, spring box/tile details, or surface water intake structure)</w:t>
      </w:r>
      <w:r>
        <w:rPr>
          <w:rFonts w:ascii="Tahoma" w:hAnsi="Tahoma" w:cs="Tahoma"/>
          <w:sz w:val="18"/>
          <w:szCs w:val="18"/>
        </w:rPr>
        <w:t>.</w:t>
      </w:r>
    </w:p>
    <w:p w14:paraId="4C3F31B5" w14:textId="77777777" w:rsidR="001F0CD3" w:rsidRPr="002703A6" w:rsidRDefault="001F0CD3" w:rsidP="001F0CD3">
      <w:pPr>
        <w:pStyle w:val="BodyTextIndent"/>
        <w:tabs>
          <w:tab w:val="clear" w:pos="720"/>
        </w:tabs>
        <w:ind w:left="0" w:firstLine="0"/>
        <w:rPr>
          <w:rFonts w:ascii="Tahoma" w:hAnsi="Tahoma" w:cs="Tahoma"/>
          <w:sz w:val="18"/>
          <w:szCs w:val="18"/>
        </w:rPr>
      </w:pPr>
    </w:p>
    <w:p w14:paraId="66B70EA1" w14:textId="77777777" w:rsidR="001A4748" w:rsidRPr="002703A6" w:rsidRDefault="001A4748" w:rsidP="001A4748">
      <w:pPr>
        <w:pStyle w:val="BodyTextIndent"/>
        <w:numPr>
          <w:ilvl w:val="0"/>
          <w:numId w:val="1"/>
        </w:numPr>
        <w:tabs>
          <w:tab w:val="clear" w:pos="720"/>
        </w:tabs>
        <w:ind w:left="360"/>
        <w:rPr>
          <w:rFonts w:ascii="Tahoma" w:hAnsi="Tahoma" w:cs="Tahoma"/>
          <w:sz w:val="18"/>
          <w:szCs w:val="18"/>
        </w:rPr>
      </w:pPr>
      <w:r w:rsidRPr="002703A6">
        <w:rPr>
          <w:rFonts w:ascii="Tahoma" w:hAnsi="Tahoma" w:cs="Tahoma"/>
          <w:sz w:val="18"/>
          <w:szCs w:val="18"/>
        </w:rPr>
        <w:t>Interference Analysis:  1.   Analysis and determination of interference effects on existing sources or uses of water.  If undue adverse interference is present or calculated, describe the method of resolution.  Show interference monitoring data and all calculations;</w:t>
      </w:r>
    </w:p>
    <w:p w14:paraId="17B91E31" w14:textId="77777777" w:rsidR="001A4748" w:rsidRPr="002703A6" w:rsidRDefault="001A4748" w:rsidP="001A4748">
      <w:pPr>
        <w:pStyle w:val="BodyTextIndent"/>
        <w:numPr>
          <w:ilvl w:val="0"/>
          <w:numId w:val="4"/>
        </w:numPr>
        <w:tabs>
          <w:tab w:val="clear" w:pos="720"/>
        </w:tabs>
        <w:ind w:left="360" w:firstLine="0"/>
        <w:rPr>
          <w:rFonts w:ascii="Tahoma" w:hAnsi="Tahoma" w:cs="Tahoma"/>
          <w:sz w:val="18"/>
          <w:szCs w:val="18"/>
        </w:rPr>
      </w:pPr>
      <w:r w:rsidRPr="002703A6">
        <w:rPr>
          <w:rFonts w:ascii="Tahoma" w:hAnsi="Tahoma" w:cs="Tahoma"/>
          <w:sz w:val="18"/>
          <w:szCs w:val="18"/>
        </w:rPr>
        <w:t>Analysis and determination of no undue adverse effect on wetlands under the Vermont wetland rules or on other water resources hydrologically interconnected with the source of withdrawal;</w:t>
      </w:r>
    </w:p>
    <w:p w14:paraId="33C80043" w14:textId="77777777" w:rsidR="001A4748" w:rsidRPr="002703A6" w:rsidRDefault="001A4748" w:rsidP="001A4748">
      <w:pPr>
        <w:pStyle w:val="BodyTextIndent"/>
        <w:numPr>
          <w:ilvl w:val="0"/>
          <w:numId w:val="4"/>
        </w:numPr>
        <w:tabs>
          <w:tab w:val="clear" w:pos="720"/>
        </w:tabs>
        <w:ind w:left="720"/>
        <w:rPr>
          <w:rFonts w:ascii="Tahoma" w:hAnsi="Tahoma" w:cs="Tahoma"/>
          <w:sz w:val="18"/>
          <w:szCs w:val="18"/>
        </w:rPr>
      </w:pPr>
      <w:r w:rsidRPr="002703A6">
        <w:rPr>
          <w:rFonts w:ascii="Tahoma" w:hAnsi="Tahoma" w:cs="Tahoma"/>
          <w:sz w:val="18"/>
          <w:szCs w:val="18"/>
        </w:rPr>
        <w:t xml:space="preserve">Submit completed Production Well and Observation Well ID Sheets.  These can be found at: </w:t>
      </w:r>
      <w:hyperlink r:id="rId7" w:history="1">
        <w:r w:rsidRPr="002703A6">
          <w:rPr>
            <w:rStyle w:val="Hyperlink"/>
            <w:rFonts w:ascii="Tahoma" w:hAnsi="Tahoma" w:cs="Tahoma"/>
            <w:sz w:val="18"/>
            <w:szCs w:val="18"/>
          </w:rPr>
          <w:t>http://www.drinkingwater.vt.gov/pcwsapps.htm</w:t>
        </w:r>
      </w:hyperlink>
      <w:r w:rsidRPr="002703A6">
        <w:rPr>
          <w:rFonts w:ascii="Tahoma" w:hAnsi="Tahoma" w:cs="Tahoma"/>
          <w:sz w:val="18"/>
          <w:szCs w:val="18"/>
        </w:rPr>
        <w:t xml:space="preserve"> </w:t>
      </w:r>
    </w:p>
    <w:p w14:paraId="56B6B2D8" w14:textId="77777777" w:rsidR="001A4748" w:rsidRPr="002703A6" w:rsidRDefault="001A4748" w:rsidP="001A4748">
      <w:pPr>
        <w:pStyle w:val="BodyTextIndent"/>
        <w:tabs>
          <w:tab w:val="clear" w:pos="720"/>
        </w:tabs>
        <w:ind w:left="0" w:firstLine="0"/>
        <w:rPr>
          <w:rFonts w:ascii="Tahoma" w:hAnsi="Tahoma" w:cs="Tahoma"/>
          <w:sz w:val="18"/>
          <w:szCs w:val="18"/>
        </w:rPr>
      </w:pPr>
    </w:p>
    <w:p w14:paraId="39F7DC3D" w14:textId="2739A3DC" w:rsidR="001A4748" w:rsidRDefault="001A4748" w:rsidP="001A4748">
      <w:pPr>
        <w:numPr>
          <w:ilvl w:val="0"/>
          <w:numId w:val="1"/>
        </w:numPr>
        <w:ind w:left="360"/>
        <w:rPr>
          <w:rFonts w:ascii="Tahoma" w:hAnsi="Tahoma" w:cs="Tahoma"/>
          <w:sz w:val="18"/>
          <w:szCs w:val="18"/>
        </w:rPr>
      </w:pPr>
      <w:r>
        <w:rPr>
          <w:rFonts w:ascii="Tahoma" w:hAnsi="Tahoma" w:cs="Tahoma"/>
          <w:sz w:val="18"/>
          <w:szCs w:val="18"/>
        </w:rPr>
        <w:t xml:space="preserve">Surface waters: </w:t>
      </w:r>
      <w:r w:rsidRPr="002703A6">
        <w:rPr>
          <w:rFonts w:ascii="Tahoma" w:hAnsi="Tahoma" w:cs="Tahoma"/>
          <w:sz w:val="18"/>
          <w:szCs w:val="18"/>
        </w:rPr>
        <w:t xml:space="preserve">An evaluation and determination of undue adverse </w:t>
      </w:r>
      <w:r>
        <w:rPr>
          <w:rFonts w:ascii="Tahoma" w:hAnsi="Tahoma" w:cs="Tahoma"/>
          <w:sz w:val="18"/>
          <w:szCs w:val="18"/>
        </w:rPr>
        <w:t xml:space="preserve">impacts to any surface waters (i.e. streams, brooks, rivers, ponds, reservoirs, lakes) </w:t>
      </w:r>
      <w:proofErr w:type="gramStart"/>
      <w:r>
        <w:rPr>
          <w:rFonts w:ascii="Tahoma" w:hAnsi="Tahoma" w:cs="Tahoma"/>
          <w:sz w:val="18"/>
          <w:szCs w:val="18"/>
        </w:rPr>
        <w:t>in the area of</w:t>
      </w:r>
      <w:proofErr w:type="gramEnd"/>
      <w:r>
        <w:rPr>
          <w:rFonts w:ascii="Tahoma" w:hAnsi="Tahoma" w:cs="Tahoma"/>
          <w:sz w:val="18"/>
          <w:szCs w:val="18"/>
        </w:rPr>
        <w:t xml:space="preserve"> influence.</w:t>
      </w:r>
    </w:p>
    <w:p w14:paraId="694FE398" w14:textId="77777777" w:rsidR="001F0CD3" w:rsidRDefault="001F0CD3" w:rsidP="001F0CD3">
      <w:pPr>
        <w:ind w:left="360"/>
        <w:rPr>
          <w:rFonts w:ascii="Tahoma" w:hAnsi="Tahoma" w:cs="Tahoma"/>
          <w:sz w:val="18"/>
          <w:szCs w:val="18"/>
        </w:rPr>
      </w:pPr>
    </w:p>
    <w:p w14:paraId="43D8352E" w14:textId="50BDC4FE" w:rsidR="001A4748" w:rsidRPr="002703A6" w:rsidRDefault="001A4748" w:rsidP="001A4748">
      <w:pPr>
        <w:pStyle w:val="BodyTextIndent"/>
        <w:numPr>
          <w:ilvl w:val="0"/>
          <w:numId w:val="1"/>
        </w:numPr>
        <w:tabs>
          <w:tab w:val="clear" w:pos="720"/>
        </w:tabs>
        <w:ind w:left="360"/>
        <w:rPr>
          <w:rFonts w:ascii="Tahoma" w:hAnsi="Tahoma" w:cs="Tahoma"/>
          <w:sz w:val="18"/>
          <w:szCs w:val="18"/>
        </w:rPr>
      </w:pPr>
      <w:r w:rsidRPr="002703A6">
        <w:rPr>
          <w:rFonts w:ascii="Tahoma" w:hAnsi="Tahoma" w:cs="Tahoma"/>
          <w:sz w:val="18"/>
          <w:szCs w:val="18"/>
        </w:rPr>
        <w:t>Source Yield:  For wells</w:t>
      </w:r>
      <w:r w:rsidR="001F0CD3">
        <w:rPr>
          <w:rFonts w:ascii="Tahoma" w:hAnsi="Tahoma" w:cs="Tahoma"/>
          <w:sz w:val="18"/>
          <w:szCs w:val="18"/>
        </w:rPr>
        <w:t>:</w:t>
      </w:r>
      <w:r w:rsidRPr="002703A6">
        <w:rPr>
          <w:rFonts w:ascii="Tahoma" w:hAnsi="Tahoma" w:cs="Tahoma"/>
          <w:sz w:val="18"/>
          <w:szCs w:val="18"/>
        </w:rPr>
        <w:t xml:space="preserve"> submit analysis for determination of safe yield</w:t>
      </w:r>
      <w:r>
        <w:rPr>
          <w:rFonts w:ascii="Tahoma" w:hAnsi="Tahoma" w:cs="Tahoma"/>
          <w:sz w:val="18"/>
          <w:szCs w:val="18"/>
        </w:rPr>
        <w:t xml:space="preserve"> that satisfies the project demands</w:t>
      </w:r>
      <w:r w:rsidRPr="002703A6">
        <w:rPr>
          <w:rFonts w:ascii="Tahoma" w:hAnsi="Tahoma" w:cs="Tahoma"/>
          <w:sz w:val="18"/>
          <w:szCs w:val="18"/>
        </w:rPr>
        <w:t xml:space="preserve">, submit constant rate, step test, and other pumping test data; </w:t>
      </w:r>
    </w:p>
    <w:p w14:paraId="587CF5A9" w14:textId="10561EF1" w:rsidR="001A4748" w:rsidRPr="002703A6" w:rsidRDefault="001A4748" w:rsidP="001A4748">
      <w:pPr>
        <w:pStyle w:val="BodyTextIndent"/>
        <w:tabs>
          <w:tab w:val="clear" w:pos="720"/>
        </w:tabs>
        <w:ind w:left="360" w:firstLine="0"/>
        <w:rPr>
          <w:rFonts w:ascii="Tahoma" w:hAnsi="Tahoma" w:cs="Tahoma"/>
          <w:sz w:val="18"/>
          <w:szCs w:val="18"/>
        </w:rPr>
      </w:pPr>
      <w:r w:rsidRPr="002703A6">
        <w:rPr>
          <w:rFonts w:ascii="Tahoma" w:hAnsi="Tahoma" w:cs="Tahoma"/>
          <w:sz w:val="18"/>
          <w:szCs w:val="18"/>
        </w:rPr>
        <w:t>For springs</w:t>
      </w:r>
      <w:r w:rsidR="001F0CD3">
        <w:rPr>
          <w:rFonts w:ascii="Tahoma" w:hAnsi="Tahoma" w:cs="Tahoma"/>
          <w:sz w:val="18"/>
          <w:szCs w:val="18"/>
        </w:rPr>
        <w:t>:</w:t>
      </w:r>
      <w:r w:rsidRPr="002703A6">
        <w:rPr>
          <w:rFonts w:ascii="Tahoma" w:hAnsi="Tahoma" w:cs="Tahoma"/>
          <w:sz w:val="18"/>
          <w:szCs w:val="18"/>
        </w:rPr>
        <w:t xml:space="preserve"> submit high and low flow analysis; </w:t>
      </w:r>
    </w:p>
    <w:p w14:paraId="4CE926F7" w14:textId="09FE01DB" w:rsidR="001A4748" w:rsidRPr="002703A6" w:rsidRDefault="001A4748" w:rsidP="001F0CD3">
      <w:pPr>
        <w:pStyle w:val="BodyTextIndent"/>
        <w:tabs>
          <w:tab w:val="clear" w:pos="720"/>
        </w:tabs>
        <w:ind w:left="360" w:firstLine="0"/>
        <w:rPr>
          <w:rFonts w:ascii="Tahoma" w:hAnsi="Tahoma" w:cs="Tahoma"/>
          <w:sz w:val="18"/>
          <w:szCs w:val="18"/>
        </w:rPr>
      </w:pPr>
      <w:r w:rsidRPr="002703A6">
        <w:rPr>
          <w:rFonts w:ascii="Tahoma" w:hAnsi="Tahoma" w:cs="Tahoma"/>
          <w:sz w:val="18"/>
          <w:szCs w:val="18"/>
        </w:rPr>
        <w:t>For surface water withdrawals</w:t>
      </w:r>
      <w:r w:rsidR="001F0CD3">
        <w:rPr>
          <w:rFonts w:ascii="Tahoma" w:hAnsi="Tahoma" w:cs="Tahoma"/>
          <w:sz w:val="18"/>
          <w:szCs w:val="18"/>
        </w:rPr>
        <w:t>:</w:t>
      </w:r>
      <w:r w:rsidRPr="002703A6">
        <w:rPr>
          <w:rFonts w:ascii="Tahoma" w:hAnsi="Tahoma" w:cs="Tahoma"/>
          <w:sz w:val="18"/>
          <w:szCs w:val="18"/>
        </w:rPr>
        <w:t xml:space="preserve"> submit safe yield analysis.</w:t>
      </w:r>
    </w:p>
    <w:p w14:paraId="1E9F402C" w14:textId="77777777" w:rsidR="004F44F4" w:rsidRPr="002703A6" w:rsidRDefault="004F44F4" w:rsidP="004F44F4">
      <w:pPr>
        <w:pStyle w:val="BodyTextIndent"/>
        <w:tabs>
          <w:tab w:val="clear" w:pos="720"/>
        </w:tabs>
        <w:ind w:left="360" w:firstLine="0"/>
        <w:rPr>
          <w:rFonts w:ascii="Tahoma" w:hAnsi="Tahoma" w:cs="Tahoma"/>
          <w:sz w:val="18"/>
          <w:szCs w:val="18"/>
        </w:rPr>
      </w:pPr>
    </w:p>
    <w:p w14:paraId="5E6DA443" w14:textId="77777777" w:rsidR="004F44F4" w:rsidRPr="002703A6" w:rsidRDefault="004F44F4" w:rsidP="004F44F4">
      <w:pPr>
        <w:pStyle w:val="BodyTextIndent"/>
        <w:numPr>
          <w:ilvl w:val="0"/>
          <w:numId w:val="1"/>
        </w:numPr>
        <w:tabs>
          <w:tab w:val="clear" w:pos="720"/>
        </w:tabs>
        <w:ind w:left="360"/>
        <w:rPr>
          <w:rFonts w:ascii="Tahoma" w:hAnsi="Tahoma" w:cs="Tahoma"/>
          <w:sz w:val="18"/>
          <w:szCs w:val="18"/>
        </w:rPr>
      </w:pPr>
      <w:r w:rsidRPr="002703A6">
        <w:rPr>
          <w:rFonts w:ascii="Tahoma" w:hAnsi="Tahoma" w:cs="Tahoma"/>
          <w:sz w:val="18"/>
          <w:szCs w:val="18"/>
        </w:rPr>
        <w:t xml:space="preserve">Water Quality: </w:t>
      </w:r>
      <w:r>
        <w:rPr>
          <w:rFonts w:ascii="Tahoma" w:hAnsi="Tahoma" w:cs="Tahoma"/>
          <w:sz w:val="18"/>
          <w:szCs w:val="18"/>
        </w:rPr>
        <w:t xml:space="preserve">1. </w:t>
      </w:r>
      <w:r w:rsidRPr="002703A6">
        <w:rPr>
          <w:rFonts w:ascii="Tahoma" w:hAnsi="Tahoma" w:cs="Tahoma"/>
          <w:sz w:val="18"/>
          <w:szCs w:val="18"/>
        </w:rPr>
        <w:t xml:space="preserve">Attach results of all required water quality testing.  Initial source testing water samples are to be collected immediately following the end of the Constant Rate Discharge Test, or immediately following the Peak Instantaneous Flow Test.  If yield testing is not required, then the source is to be flushed and purged (run to waste) for several hours or for 2-3 well volumes prior to taking the water quality samples.  The source sample shall NOT contain a disinfectant; </w:t>
      </w:r>
    </w:p>
    <w:p w14:paraId="2F4374BC" w14:textId="77777777" w:rsidR="004F44F4" w:rsidRPr="002703A6" w:rsidRDefault="004F44F4" w:rsidP="004F44F4">
      <w:pPr>
        <w:pStyle w:val="BodyTextIndent"/>
        <w:numPr>
          <w:ilvl w:val="0"/>
          <w:numId w:val="3"/>
        </w:numPr>
        <w:tabs>
          <w:tab w:val="clear" w:pos="720"/>
        </w:tabs>
        <w:ind w:left="720"/>
        <w:rPr>
          <w:rFonts w:ascii="Tahoma" w:hAnsi="Tahoma" w:cs="Tahoma"/>
          <w:sz w:val="18"/>
          <w:szCs w:val="18"/>
        </w:rPr>
      </w:pPr>
      <w:r w:rsidRPr="002703A6">
        <w:rPr>
          <w:rFonts w:ascii="Tahoma" w:hAnsi="Tahoma" w:cs="Tahoma"/>
          <w:sz w:val="18"/>
          <w:szCs w:val="18"/>
        </w:rPr>
        <w:t xml:space="preserve">When </w:t>
      </w:r>
      <w:r w:rsidRPr="002703A6">
        <w:rPr>
          <w:rFonts w:ascii="Tahoma" w:hAnsi="Tahoma" w:cs="Tahoma"/>
          <w:b/>
          <w:sz w:val="18"/>
          <w:szCs w:val="18"/>
        </w:rPr>
        <w:t>initial source water quality sampling</w:t>
      </w:r>
      <w:r w:rsidRPr="002703A6">
        <w:rPr>
          <w:rFonts w:ascii="Tahoma" w:hAnsi="Tahoma" w:cs="Tahoma"/>
          <w:sz w:val="18"/>
          <w:szCs w:val="18"/>
        </w:rPr>
        <w:t xml:space="preserve"> is performed the f</w:t>
      </w:r>
      <w:r>
        <w:rPr>
          <w:rFonts w:ascii="Tahoma" w:hAnsi="Tahoma" w:cs="Tahoma"/>
          <w:sz w:val="18"/>
          <w:szCs w:val="18"/>
        </w:rPr>
        <w:t>ollowing information is</w:t>
      </w:r>
      <w:r w:rsidRPr="002703A6">
        <w:rPr>
          <w:rFonts w:ascii="Tahoma" w:hAnsi="Tahoma" w:cs="Tahoma"/>
          <w:sz w:val="18"/>
          <w:szCs w:val="18"/>
        </w:rPr>
        <w:t xml:space="preserve"> to be included on the testing laboratory’s report and chain of custody forms: </w:t>
      </w:r>
    </w:p>
    <w:p w14:paraId="49E21455" w14:textId="77777777" w:rsidR="004F44F4" w:rsidRPr="002703A6" w:rsidRDefault="004F44F4" w:rsidP="004F44F4">
      <w:pPr>
        <w:ind w:left="720"/>
        <w:rPr>
          <w:rFonts w:ascii="Tahoma" w:hAnsi="Tahoma" w:cs="Tahoma"/>
          <w:sz w:val="18"/>
          <w:szCs w:val="18"/>
        </w:rPr>
      </w:pPr>
      <w:proofErr w:type="spellStart"/>
      <w:r w:rsidRPr="002703A6">
        <w:rPr>
          <w:rFonts w:ascii="Tahoma" w:hAnsi="Tahoma" w:cs="Tahoma"/>
          <w:sz w:val="18"/>
          <w:szCs w:val="18"/>
        </w:rPr>
        <w:t>i</w:t>
      </w:r>
      <w:proofErr w:type="spellEnd"/>
      <w:r w:rsidRPr="002703A6">
        <w:rPr>
          <w:rFonts w:ascii="Tahoma" w:hAnsi="Tahoma" w:cs="Tahoma"/>
          <w:sz w:val="18"/>
          <w:szCs w:val="18"/>
        </w:rPr>
        <w:t xml:space="preserve">.    </w:t>
      </w:r>
      <w:r w:rsidRPr="002703A6">
        <w:rPr>
          <w:rFonts w:ascii="Tahoma" w:hAnsi="Tahoma" w:cs="Tahoma"/>
          <w:i/>
          <w:sz w:val="18"/>
          <w:szCs w:val="18"/>
        </w:rPr>
        <w:t>Water System ID #</w:t>
      </w:r>
      <w:r w:rsidRPr="002703A6">
        <w:rPr>
          <w:rFonts w:ascii="Tahoma" w:hAnsi="Tahoma" w:cs="Tahoma"/>
          <w:sz w:val="18"/>
          <w:szCs w:val="18"/>
        </w:rPr>
        <w:t>:  This is the WSID # (i.e. WSID 5001, WSID 20345).</w:t>
      </w:r>
    </w:p>
    <w:p w14:paraId="0132D806" w14:textId="77777777" w:rsidR="004F44F4" w:rsidRPr="002703A6" w:rsidRDefault="004F44F4" w:rsidP="004F44F4">
      <w:pPr>
        <w:numPr>
          <w:ilvl w:val="0"/>
          <w:numId w:val="2"/>
        </w:numPr>
        <w:ind w:left="1080" w:hanging="360"/>
        <w:rPr>
          <w:rFonts w:ascii="Tahoma" w:hAnsi="Tahoma" w:cs="Tahoma"/>
          <w:sz w:val="18"/>
          <w:szCs w:val="18"/>
        </w:rPr>
      </w:pPr>
      <w:r w:rsidRPr="002703A6">
        <w:rPr>
          <w:rFonts w:ascii="Tahoma" w:hAnsi="Tahoma" w:cs="Tahoma"/>
          <w:i/>
          <w:sz w:val="18"/>
          <w:szCs w:val="18"/>
        </w:rPr>
        <w:t>Facility ID #</w:t>
      </w:r>
      <w:r w:rsidRPr="002703A6">
        <w:rPr>
          <w:rFonts w:ascii="Tahoma" w:hAnsi="Tahoma" w:cs="Tahoma"/>
          <w:sz w:val="18"/>
          <w:szCs w:val="18"/>
        </w:rPr>
        <w:t>:  This is the well/spring</w:t>
      </w:r>
      <w:r>
        <w:rPr>
          <w:rFonts w:ascii="Tahoma" w:hAnsi="Tahoma" w:cs="Tahoma"/>
          <w:sz w:val="18"/>
          <w:szCs w:val="18"/>
        </w:rPr>
        <w:t>/intake</w:t>
      </w:r>
      <w:r w:rsidRPr="002703A6">
        <w:rPr>
          <w:rFonts w:ascii="Tahoma" w:hAnsi="Tahoma" w:cs="Tahoma"/>
          <w:sz w:val="18"/>
          <w:szCs w:val="18"/>
        </w:rPr>
        <w:t xml:space="preserve"> number assigned by the Division (i.e. WL001</w:t>
      </w:r>
      <w:r>
        <w:rPr>
          <w:rFonts w:ascii="Tahoma" w:hAnsi="Tahoma" w:cs="Tahoma"/>
          <w:sz w:val="18"/>
          <w:szCs w:val="18"/>
        </w:rPr>
        <w:t>, IN001</w:t>
      </w:r>
      <w:r w:rsidRPr="002703A6">
        <w:rPr>
          <w:rFonts w:ascii="Tahoma" w:hAnsi="Tahoma" w:cs="Tahoma"/>
          <w:sz w:val="18"/>
          <w:szCs w:val="18"/>
        </w:rPr>
        <w:t>).</w:t>
      </w:r>
    </w:p>
    <w:p w14:paraId="16961B2D" w14:textId="77777777" w:rsidR="004F44F4" w:rsidRPr="002703A6" w:rsidRDefault="004F44F4" w:rsidP="004F44F4">
      <w:pPr>
        <w:numPr>
          <w:ilvl w:val="0"/>
          <w:numId w:val="2"/>
        </w:numPr>
        <w:ind w:left="1080" w:hanging="360"/>
        <w:rPr>
          <w:rFonts w:ascii="Tahoma" w:hAnsi="Tahoma" w:cs="Tahoma"/>
          <w:sz w:val="18"/>
          <w:szCs w:val="18"/>
        </w:rPr>
      </w:pPr>
      <w:r w:rsidRPr="002703A6">
        <w:rPr>
          <w:rFonts w:ascii="Tahoma" w:hAnsi="Tahoma" w:cs="Tahoma"/>
          <w:i/>
          <w:sz w:val="18"/>
          <w:szCs w:val="18"/>
        </w:rPr>
        <w:t>Sample Point #</w:t>
      </w:r>
      <w:r w:rsidRPr="002703A6">
        <w:rPr>
          <w:rFonts w:ascii="Tahoma" w:hAnsi="Tahoma" w:cs="Tahoma"/>
          <w:sz w:val="18"/>
          <w:szCs w:val="18"/>
        </w:rPr>
        <w:t>:  This is the Raw Water sample point number assigned by the Division (i.e. RW001).</w:t>
      </w:r>
    </w:p>
    <w:p w14:paraId="179D3B48" w14:textId="77777777" w:rsidR="004F44F4" w:rsidRPr="002703A6" w:rsidRDefault="004F44F4" w:rsidP="004F44F4">
      <w:pPr>
        <w:numPr>
          <w:ilvl w:val="0"/>
          <w:numId w:val="2"/>
        </w:numPr>
        <w:ind w:left="1080" w:hanging="360"/>
        <w:rPr>
          <w:rFonts w:ascii="Tahoma" w:hAnsi="Tahoma" w:cs="Tahoma"/>
          <w:sz w:val="18"/>
          <w:szCs w:val="18"/>
        </w:rPr>
      </w:pPr>
      <w:r w:rsidRPr="002703A6">
        <w:rPr>
          <w:rFonts w:ascii="Tahoma" w:hAnsi="Tahoma" w:cs="Tahoma"/>
          <w:i/>
          <w:sz w:val="18"/>
          <w:szCs w:val="18"/>
        </w:rPr>
        <w:t>Sample Type</w:t>
      </w:r>
      <w:r w:rsidRPr="002703A6">
        <w:rPr>
          <w:rFonts w:ascii="Tahoma" w:hAnsi="Tahoma" w:cs="Tahoma"/>
          <w:sz w:val="18"/>
          <w:szCs w:val="18"/>
        </w:rPr>
        <w:t>: Write “Special”.</w:t>
      </w:r>
    </w:p>
    <w:p w14:paraId="05F80566" w14:textId="77777777" w:rsidR="004F44F4" w:rsidRPr="002703A6" w:rsidRDefault="004F44F4" w:rsidP="004F44F4">
      <w:pPr>
        <w:numPr>
          <w:ilvl w:val="0"/>
          <w:numId w:val="2"/>
        </w:numPr>
        <w:ind w:left="1080" w:hanging="360"/>
        <w:rPr>
          <w:rFonts w:ascii="Tahoma" w:hAnsi="Tahoma" w:cs="Tahoma"/>
          <w:sz w:val="18"/>
          <w:szCs w:val="18"/>
        </w:rPr>
      </w:pPr>
      <w:r w:rsidRPr="002703A6">
        <w:rPr>
          <w:rFonts w:ascii="Tahoma" w:hAnsi="Tahoma" w:cs="Tahoma"/>
          <w:i/>
          <w:sz w:val="18"/>
          <w:szCs w:val="18"/>
        </w:rPr>
        <w:t>Description</w:t>
      </w:r>
      <w:r w:rsidRPr="002703A6">
        <w:rPr>
          <w:rFonts w:ascii="Tahoma" w:hAnsi="Tahoma" w:cs="Tahoma"/>
          <w:sz w:val="18"/>
          <w:szCs w:val="18"/>
        </w:rPr>
        <w:t>:  Write “</w:t>
      </w:r>
      <w:r w:rsidRPr="006C6CA6">
        <w:rPr>
          <w:rFonts w:ascii="Tahoma" w:hAnsi="Tahoma" w:cs="Tahoma"/>
          <w:b/>
          <w:sz w:val="18"/>
          <w:szCs w:val="18"/>
        </w:rPr>
        <w:t>Raw Water, Initial</w:t>
      </w:r>
      <w:r>
        <w:rPr>
          <w:rFonts w:ascii="Tahoma" w:hAnsi="Tahoma" w:cs="Tahoma"/>
          <w:b/>
          <w:sz w:val="18"/>
          <w:szCs w:val="18"/>
        </w:rPr>
        <w:t>,</w:t>
      </w:r>
      <w:r w:rsidRPr="006C6CA6">
        <w:rPr>
          <w:rFonts w:ascii="Tahoma" w:hAnsi="Tahoma" w:cs="Tahoma"/>
          <w:b/>
          <w:sz w:val="18"/>
          <w:szCs w:val="18"/>
        </w:rPr>
        <w:t xml:space="preserve"> Source Water Permitting for</w:t>
      </w:r>
      <w:r w:rsidRPr="002703A6">
        <w:rPr>
          <w:rFonts w:ascii="Tahoma" w:hAnsi="Tahoma" w:cs="Tahoma"/>
          <w:sz w:val="18"/>
          <w:szCs w:val="18"/>
        </w:rPr>
        <w:t xml:space="preserve"> (insert Project Identification # here)”.  </w:t>
      </w:r>
      <w:r>
        <w:rPr>
          <w:rFonts w:ascii="Tahoma" w:hAnsi="Tahoma" w:cs="Tahoma"/>
          <w:sz w:val="18"/>
          <w:szCs w:val="18"/>
        </w:rPr>
        <w:t>(</w:t>
      </w:r>
      <w:r w:rsidRPr="002703A6">
        <w:rPr>
          <w:rFonts w:ascii="Tahoma" w:hAnsi="Tahoma" w:cs="Tahoma"/>
          <w:sz w:val="18"/>
          <w:szCs w:val="18"/>
        </w:rPr>
        <w:t>This is the PID # assigned by the Division (i.e. S-2878-13.0)</w:t>
      </w:r>
      <w:r>
        <w:rPr>
          <w:rFonts w:ascii="Tahoma" w:hAnsi="Tahoma" w:cs="Tahoma"/>
          <w:sz w:val="18"/>
          <w:szCs w:val="18"/>
        </w:rPr>
        <w:t>)</w:t>
      </w:r>
      <w:r w:rsidRPr="002703A6">
        <w:rPr>
          <w:rFonts w:ascii="Tahoma" w:hAnsi="Tahoma" w:cs="Tahoma"/>
          <w:sz w:val="18"/>
          <w:szCs w:val="18"/>
        </w:rPr>
        <w:t>.</w:t>
      </w:r>
    </w:p>
    <w:p w14:paraId="1FBF672E" w14:textId="0A7C975F" w:rsidR="004F44F4" w:rsidRPr="001F0CD3" w:rsidRDefault="004F44F4" w:rsidP="001F0CD3">
      <w:pPr>
        <w:pStyle w:val="BodyTextIndent"/>
        <w:numPr>
          <w:ilvl w:val="0"/>
          <w:numId w:val="3"/>
        </w:numPr>
        <w:tabs>
          <w:tab w:val="clear" w:pos="720"/>
        </w:tabs>
        <w:ind w:left="720"/>
        <w:rPr>
          <w:rFonts w:ascii="Tahoma" w:hAnsi="Tahoma" w:cs="Tahoma"/>
          <w:sz w:val="18"/>
          <w:szCs w:val="18"/>
        </w:rPr>
      </w:pPr>
      <w:r w:rsidRPr="002703A6">
        <w:rPr>
          <w:rFonts w:ascii="Tahoma" w:hAnsi="Tahoma" w:cs="Tahoma"/>
          <w:sz w:val="18"/>
          <w:szCs w:val="18"/>
        </w:rPr>
        <w:t>For Microscopic Particulate Analysis (MPA) testing, the laboratory sampl</w:t>
      </w:r>
      <w:r>
        <w:rPr>
          <w:rFonts w:ascii="Tahoma" w:hAnsi="Tahoma" w:cs="Tahoma"/>
          <w:sz w:val="18"/>
          <w:szCs w:val="18"/>
        </w:rPr>
        <w:t>ing protocols shall be followed.</w:t>
      </w:r>
    </w:p>
    <w:p w14:paraId="6AA42FB4" w14:textId="77777777" w:rsidR="004F44F4" w:rsidRPr="002703A6" w:rsidRDefault="004F44F4" w:rsidP="001F0CD3">
      <w:pPr>
        <w:rPr>
          <w:rFonts w:ascii="Tahoma" w:hAnsi="Tahoma" w:cs="Tahoma"/>
          <w:sz w:val="18"/>
          <w:szCs w:val="18"/>
        </w:rPr>
      </w:pPr>
    </w:p>
    <w:p w14:paraId="719BCB7B" w14:textId="77777777" w:rsidR="001F0CD3" w:rsidRPr="001F0CD3" w:rsidRDefault="004F44F4" w:rsidP="004F44F4">
      <w:pPr>
        <w:numPr>
          <w:ilvl w:val="0"/>
          <w:numId w:val="1"/>
        </w:numPr>
        <w:ind w:left="360"/>
        <w:rPr>
          <w:rFonts w:ascii="Tahoma" w:hAnsi="Tahoma" w:cs="Tahoma"/>
          <w:sz w:val="18"/>
          <w:szCs w:val="18"/>
          <w:u w:val="single"/>
        </w:rPr>
      </w:pPr>
      <w:r>
        <w:rPr>
          <w:rFonts w:ascii="Tahoma" w:hAnsi="Tahoma" w:cs="Tahoma"/>
          <w:sz w:val="18"/>
          <w:szCs w:val="18"/>
        </w:rPr>
        <w:t xml:space="preserve">Source Protection Area (SPA): </w:t>
      </w:r>
    </w:p>
    <w:p w14:paraId="37C706D3" w14:textId="6918A5C1" w:rsidR="004F44F4" w:rsidRPr="002703A6" w:rsidRDefault="004F44F4" w:rsidP="001F0CD3">
      <w:pPr>
        <w:ind w:left="360"/>
        <w:rPr>
          <w:rFonts w:ascii="Tahoma" w:hAnsi="Tahoma" w:cs="Tahoma"/>
          <w:sz w:val="18"/>
          <w:szCs w:val="18"/>
          <w:u w:val="single"/>
        </w:rPr>
      </w:pPr>
      <w:r>
        <w:rPr>
          <w:rFonts w:ascii="Tahoma" w:hAnsi="Tahoma" w:cs="Tahoma"/>
          <w:sz w:val="18"/>
          <w:szCs w:val="18"/>
        </w:rPr>
        <w:t xml:space="preserve">1. </w:t>
      </w:r>
      <w:r w:rsidRPr="002703A6">
        <w:rPr>
          <w:rFonts w:ascii="Tahoma" w:hAnsi="Tahoma" w:cs="Tahoma"/>
          <w:sz w:val="18"/>
          <w:szCs w:val="18"/>
        </w:rPr>
        <w:t>For Public Community (PCWS) and Non-Transient, Non-Community (NTNC) water systems submit an analysis and map of the Source Protection Area (SPA) and the Zones within it.</w:t>
      </w:r>
    </w:p>
    <w:p w14:paraId="695D9ED9" w14:textId="77777777" w:rsidR="004F44F4" w:rsidRPr="002703A6" w:rsidRDefault="004F44F4" w:rsidP="004F44F4">
      <w:pPr>
        <w:numPr>
          <w:ilvl w:val="0"/>
          <w:numId w:val="5"/>
        </w:numPr>
        <w:rPr>
          <w:rFonts w:ascii="Tahoma" w:hAnsi="Tahoma" w:cs="Tahoma"/>
          <w:sz w:val="18"/>
          <w:szCs w:val="18"/>
          <w:u w:val="single"/>
        </w:rPr>
      </w:pPr>
      <w:r w:rsidRPr="002703A6">
        <w:rPr>
          <w:rFonts w:ascii="Tahoma" w:hAnsi="Tahoma" w:cs="Tahoma"/>
          <w:sz w:val="18"/>
          <w:szCs w:val="18"/>
        </w:rPr>
        <w:t>List of land owners within the SPA and their associated contact information;</w:t>
      </w:r>
      <w:r>
        <w:rPr>
          <w:rFonts w:ascii="Tahoma" w:hAnsi="Tahoma" w:cs="Tahoma"/>
          <w:sz w:val="18"/>
          <w:szCs w:val="18"/>
        </w:rPr>
        <w:t xml:space="preserve"> </w:t>
      </w:r>
      <w:r w:rsidRPr="002703A6">
        <w:rPr>
          <w:rFonts w:ascii="Tahoma" w:hAnsi="Tahoma" w:cs="Tahoma"/>
          <w:sz w:val="18"/>
          <w:szCs w:val="18"/>
        </w:rPr>
        <w:t>Submit a tax map if available.</w:t>
      </w:r>
    </w:p>
    <w:p w14:paraId="47A3CEA3" w14:textId="77777777" w:rsidR="004F44F4" w:rsidRPr="002703A6" w:rsidRDefault="004F44F4" w:rsidP="004F44F4">
      <w:pPr>
        <w:ind w:firstLine="360"/>
        <w:rPr>
          <w:rFonts w:ascii="Tahoma" w:hAnsi="Tahoma" w:cs="Tahoma"/>
          <w:sz w:val="18"/>
          <w:szCs w:val="18"/>
        </w:rPr>
      </w:pPr>
      <w:r w:rsidRPr="002703A6">
        <w:rPr>
          <w:rFonts w:ascii="Tahoma" w:hAnsi="Tahoma" w:cs="Tahoma"/>
          <w:sz w:val="18"/>
          <w:szCs w:val="18"/>
        </w:rPr>
        <w:t xml:space="preserve">3.   Electronic submittal procedure for Source Protection Areas following </w:t>
      </w:r>
      <w:r>
        <w:rPr>
          <w:rFonts w:ascii="Tahoma" w:hAnsi="Tahoma" w:cs="Tahoma"/>
          <w:sz w:val="18"/>
          <w:szCs w:val="18"/>
        </w:rPr>
        <w:t xml:space="preserve">the </w:t>
      </w:r>
      <w:r w:rsidRPr="002703A6">
        <w:rPr>
          <w:rFonts w:ascii="Tahoma" w:hAnsi="Tahoma" w:cs="Tahoma"/>
          <w:sz w:val="18"/>
          <w:szCs w:val="18"/>
        </w:rPr>
        <w:t>Division</w:t>
      </w:r>
      <w:r>
        <w:rPr>
          <w:rFonts w:ascii="Tahoma" w:hAnsi="Tahoma" w:cs="Tahoma"/>
          <w:sz w:val="18"/>
          <w:szCs w:val="18"/>
        </w:rPr>
        <w:t>’s</w:t>
      </w:r>
      <w:r w:rsidRPr="002703A6">
        <w:rPr>
          <w:rFonts w:ascii="Tahoma" w:hAnsi="Tahoma" w:cs="Tahoma"/>
          <w:sz w:val="18"/>
          <w:szCs w:val="18"/>
        </w:rPr>
        <w:t xml:space="preserve"> approval:</w:t>
      </w:r>
    </w:p>
    <w:p w14:paraId="723B1AF4" w14:textId="77777777" w:rsidR="004F44F4" w:rsidRPr="002703A6" w:rsidRDefault="004F44F4" w:rsidP="004F44F4">
      <w:pPr>
        <w:ind w:left="360"/>
        <w:rPr>
          <w:rFonts w:ascii="Tahoma" w:hAnsi="Tahoma" w:cs="Tahoma"/>
          <w:sz w:val="18"/>
          <w:szCs w:val="18"/>
        </w:rPr>
      </w:pPr>
      <w:r w:rsidRPr="002703A6">
        <w:rPr>
          <w:rFonts w:ascii="Tahoma" w:hAnsi="Tahoma" w:cs="Tahoma"/>
          <w:sz w:val="18"/>
          <w:szCs w:val="18"/>
        </w:rPr>
        <w:t xml:space="preserve">The format to be used for all submittals of new or changed Source Protection Areas and is to be included along with the Source Evaluation Final Report.  Please visit </w:t>
      </w:r>
      <w:hyperlink r:id="rId8" w:history="1">
        <w:r w:rsidRPr="002703A6">
          <w:rPr>
            <w:rStyle w:val="Hyperlink"/>
            <w:rFonts w:ascii="Tahoma" w:hAnsi="Tahoma" w:cs="Tahoma"/>
            <w:sz w:val="18"/>
            <w:szCs w:val="18"/>
          </w:rPr>
          <w:t>http://www.drinkingwater.vt.gov/pcwspermits.htm</w:t>
        </w:r>
      </w:hyperlink>
      <w:r w:rsidRPr="002703A6">
        <w:rPr>
          <w:rFonts w:ascii="Tahoma" w:hAnsi="Tahoma" w:cs="Tahoma"/>
          <w:sz w:val="18"/>
          <w:szCs w:val="18"/>
        </w:rPr>
        <w:t xml:space="preserve">  Look under the heading ‘Electronic Submittal Procedure for Source Protection Areas (SPAs)’ to find the electronic format template;</w:t>
      </w:r>
    </w:p>
    <w:p w14:paraId="76E0C5FA" w14:textId="19E32534" w:rsidR="001F0CD3" w:rsidRPr="001F0CD3" w:rsidRDefault="004F44F4" w:rsidP="001F0CD3">
      <w:pPr>
        <w:pStyle w:val="ListParagraph"/>
        <w:numPr>
          <w:ilvl w:val="0"/>
          <w:numId w:val="5"/>
        </w:numPr>
        <w:rPr>
          <w:rFonts w:ascii="Tahoma" w:hAnsi="Tahoma" w:cs="Tahoma"/>
          <w:sz w:val="18"/>
          <w:szCs w:val="18"/>
        </w:rPr>
      </w:pPr>
      <w:r w:rsidRPr="001F0CD3">
        <w:rPr>
          <w:rFonts w:ascii="Tahoma" w:hAnsi="Tahoma" w:cs="Tahoma"/>
          <w:sz w:val="18"/>
          <w:szCs w:val="18"/>
        </w:rPr>
        <w:t xml:space="preserve">For multiple water sources – each water source is to have a specific SPA associated with it.  </w:t>
      </w:r>
    </w:p>
    <w:p w14:paraId="0E701E15" w14:textId="77777777" w:rsidR="004F44F4" w:rsidRPr="002703A6" w:rsidRDefault="004F44F4" w:rsidP="004F44F4">
      <w:pPr>
        <w:ind w:left="360"/>
        <w:rPr>
          <w:rFonts w:ascii="Tahoma" w:hAnsi="Tahoma" w:cs="Tahoma"/>
          <w:sz w:val="18"/>
          <w:szCs w:val="18"/>
        </w:rPr>
      </w:pPr>
    </w:p>
    <w:p w14:paraId="70597210" w14:textId="0A7415FB" w:rsidR="004F44F4" w:rsidRDefault="001F0CD3" w:rsidP="004F44F4">
      <w:pPr>
        <w:pStyle w:val="BodyTextIndent"/>
        <w:tabs>
          <w:tab w:val="clear" w:pos="720"/>
        </w:tabs>
        <w:ind w:left="270" w:hanging="270"/>
        <w:rPr>
          <w:rFonts w:ascii="Tahoma" w:hAnsi="Tahoma" w:cs="Tahoma"/>
          <w:sz w:val="18"/>
          <w:szCs w:val="18"/>
        </w:rPr>
      </w:pPr>
      <w:r>
        <w:rPr>
          <w:rFonts w:ascii="Tahoma" w:hAnsi="Tahoma" w:cs="Tahoma"/>
          <w:sz w:val="18"/>
          <w:szCs w:val="18"/>
        </w:rPr>
        <w:t>H</w:t>
      </w:r>
      <w:r w:rsidR="004F44F4" w:rsidRPr="002703A6">
        <w:rPr>
          <w:rFonts w:ascii="Tahoma" w:hAnsi="Tahoma" w:cs="Tahoma"/>
          <w:sz w:val="18"/>
          <w:szCs w:val="18"/>
        </w:rPr>
        <w:t xml:space="preserve">.  </w:t>
      </w:r>
      <w:r w:rsidR="004F44F4">
        <w:rPr>
          <w:rFonts w:ascii="Tahoma" w:hAnsi="Tahoma" w:cs="Tahoma"/>
          <w:sz w:val="18"/>
          <w:szCs w:val="18"/>
        </w:rPr>
        <w:t xml:space="preserve">Special Studies: </w:t>
      </w:r>
      <w:r w:rsidR="004F44F4" w:rsidRPr="002703A6">
        <w:rPr>
          <w:rFonts w:ascii="Tahoma" w:hAnsi="Tahoma" w:cs="Tahoma"/>
          <w:sz w:val="18"/>
          <w:szCs w:val="18"/>
        </w:rPr>
        <w:t xml:space="preserve">Analysis and conclusions for any additional studies as required, showing rationale for </w:t>
      </w:r>
      <w:r w:rsidR="004F44F4">
        <w:rPr>
          <w:rFonts w:ascii="Tahoma" w:hAnsi="Tahoma" w:cs="Tahoma"/>
          <w:sz w:val="18"/>
          <w:szCs w:val="18"/>
        </w:rPr>
        <w:t>assumptions and calculations.</w:t>
      </w:r>
    </w:p>
    <w:p w14:paraId="3279C8E6" w14:textId="77777777" w:rsidR="004F44F4" w:rsidRDefault="004F44F4" w:rsidP="004F44F4">
      <w:pPr>
        <w:pStyle w:val="BodyTextIndent"/>
        <w:tabs>
          <w:tab w:val="clear" w:pos="720"/>
        </w:tabs>
        <w:ind w:left="360" w:hanging="360"/>
        <w:rPr>
          <w:rFonts w:ascii="Tahoma" w:hAnsi="Tahoma" w:cs="Tahoma"/>
          <w:sz w:val="18"/>
          <w:szCs w:val="18"/>
        </w:rPr>
      </w:pPr>
    </w:p>
    <w:p w14:paraId="051CE76A" w14:textId="447ED563" w:rsidR="004F44F4" w:rsidRDefault="004F44F4" w:rsidP="004F44F4">
      <w:pPr>
        <w:pStyle w:val="BodyTextIndent"/>
        <w:tabs>
          <w:tab w:val="clear" w:pos="720"/>
        </w:tabs>
        <w:ind w:left="270" w:hanging="360"/>
        <w:rPr>
          <w:rFonts w:ascii="Tahoma" w:hAnsi="Tahoma" w:cs="Tahoma"/>
          <w:sz w:val="18"/>
          <w:szCs w:val="18"/>
        </w:rPr>
      </w:pPr>
      <w:r>
        <w:rPr>
          <w:rFonts w:ascii="Tahoma" w:hAnsi="Tahoma" w:cs="Tahoma"/>
          <w:sz w:val="18"/>
          <w:szCs w:val="18"/>
        </w:rPr>
        <w:t xml:space="preserve">  </w:t>
      </w:r>
      <w:r w:rsidR="001F0CD3">
        <w:rPr>
          <w:rFonts w:ascii="Tahoma" w:hAnsi="Tahoma" w:cs="Tahoma"/>
          <w:sz w:val="18"/>
          <w:szCs w:val="18"/>
        </w:rPr>
        <w:t>I</w:t>
      </w:r>
      <w:r>
        <w:rPr>
          <w:rFonts w:ascii="Tahoma" w:hAnsi="Tahoma" w:cs="Tahoma"/>
          <w:sz w:val="18"/>
          <w:szCs w:val="18"/>
        </w:rPr>
        <w:t xml:space="preserve">.  </w:t>
      </w:r>
      <w:r w:rsidRPr="002703A6">
        <w:rPr>
          <w:rFonts w:ascii="Tahoma" w:hAnsi="Tahoma" w:cs="Tahoma"/>
          <w:sz w:val="18"/>
          <w:szCs w:val="18"/>
        </w:rPr>
        <w:t>Source Protection Plan</w:t>
      </w:r>
      <w:r>
        <w:rPr>
          <w:rFonts w:ascii="Tahoma" w:hAnsi="Tahoma" w:cs="Tahoma"/>
          <w:sz w:val="18"/>
          <w:szCs w:val="18"/>
        </w:rPr>
        <w:t xml:space="preserve"> (SPP): </w:t>
      </w:r>
      <w:r w:rsidRPr="002703A6">
        <w:rPr>
          <w:rFonts w:ascii="Tahoma" w:hAnsi="Tahoma" w:cs="Tahoma"/>
          <w:sz w:val="18"/>
          <w:szCs w:val="18"/>
        </w:rPr>
        <w:t xml:space="preserve"> </w:t>
      </w:r>
      <w:r>
        <w:rPr>
          <w:rFonts w:ascii="Tahoma" w:hAnsi="Tahoma" w:cs="Tahoma"/>
          <w:sz w:val="18"/>
          <w:szCs w:val="18"/>
        </w:rPr>
        <w:t>At the Applicant’s discretion, to expedite the issuance of the Source Permit, the SPP may be submitted at a date following issuance of the Permit (to be included as a Permit Condition) and shall conform to the requirements of Subchapter 21-16 of the VT Water Supply Rule.</w:t>
      </w:r>
    </w:p>
    <w:p w14:paraId="40E68867" w14:textId="77777777" w:rsidR="004F44F4" w:rsidRDefault="004F44F4" w:rsidP="004F44F4">
      <w:pPr>
        <w:pStyle w:val="BodyTextIndent"/>
        <w:tabs>
          <w:tab w:val="clear" w:pos="720"/>
        </w:tabs>
        <w:ind w:left="270" w:hanging="360"/>
        <w:rPr>
          <w:rFonts w:ascii="Tahoma" w:hAnsi="Tahoma" w:cs="Tahoma"/>
          <w:sz w:val="18"/>
          <w:szCs w:val="18"/>
        </w:rPr>
      </w:pPr>
    </w:p>
    <w:p w14:paraId="670BA86A" w14:textId="157C62B2" w:rsidR="004F44F4" w:rsidRPr="00DA6312" w:rsidRDefault="001F0CD3" w:rsidP="004F44F4">
      <w:pPr>
        <w:ind w:left="270" w:hanging="270"/>
        <w:rPr>
          <w:rFonts w:ascii="Tahoma" w:hAnsi="Tahoma" w:cs="Tahoma"/>
          <w:sz w:val="18"/>
          <w:szCs w:val="18"/>
        </w:rPr>
      </w:pPr>
      <w:r>
        <w:rPr>
          <w:rFonts w:ascii="Tahoma" w:hAnsi="Tahoma" w:cs="Tahoma"/>
          <w:sz w:val="18"/>
          <w:szCs w:val="18"/>
        </w:rPr>
        <w:t>J</w:t>
      </w:r>
      <w:r w:rsidR="004F44F4">
        <w:rPr>
          <w:rFonts w:ascii="Tahoma" w:hAnsi="Tahoma" w:cs="Tahoma"/>
          <w:sz w:val="18"/>
          <w:szCs w:val="18"/>
        </w:rPr>
        <w:t>.</w:t>
      </w:r>
      <w:r w:rsidR="004F44F4">
        <w:rPr>
          <w:rFonts w:ascii="Tahoma" w:hAnsi="Tahoma" w:cs="Tahoma"/>
          <w:sz w:val="18"/>
          <w:szCs w:val="18"/>
        </w:rPr>
        <w:tab/>
        <w:t xml:space="preserve">Include in the Report any additional information that is required by </w:t>
      </w:r>
      <w:r w:rsidR="004F44F4" w:rsidRPr="00DA6312">
        <w:rPr>
          <w:rFonts w:ascii="Tahoma" w:hAnsi="Tahoma" w:cs="Tahoma"/>
          <w:sz w:val="18"/>
          <w:szCs w:val="18"/>
        </w:rPr>
        <w:t>the Groundwater Withdrawal Reporting and Permitting Rule, Chapter 24</w:t>
      </w:r>
      <w:r w:rsidR="004F44F4">
        <w:rPr>
          <w:rFonts w:ascii="Tahoma" w:hAnsi="Tahoma" w:cs="Tahoma"/>
          <w:sz w:val="18"/>
          <w:szCs w:val="18"/>
        </w:rPr>
        <w:t xml:space="preserve"> as appropriate</w:t>
      </w:r>
      <w:r w:rsidR="004F44F4" w:rsidRPr="00DA6312">
        <w:rPr>
          <w:rFonts w:ascii="Tahoma" w:hAnsi="Tahoma" w:cs="Tahoma"/>
          <w:sz w:val="18"/>
          <w:szCs w:val="18"/>
        </w:rPr>
        <w:t>.</w:t>
      </w:r>
    </w:p>
    <w:p w14:paraId="15A9A499" w14:textId="77777777" w:rsidR="00B41F31" w:rsidRPr="004F44F4" w:rsidRDefault="00B41F31" w:rsidP="004F44F4">
      <w:bookmarkStart w:id="0" w:name="_GoBack"/>
      <w:bookmarkEnd w:id="0"/>
    </w:p>
    <w:sectPr w:rsidR="00B41F31" w:rsidRPr="004F44F4" w:rsidSect="004F44F4">
      <w:footerReference w:type="default" r:id="rId9"/>
      <w:pgSz w:w="12240" w:h="15840" w:code="1"/>
      <w:pgMar w:top="810" w:right="1008" w:bottom="900" w:left="1008" w:header="1008" w:footer="590" w:gutter="0"/>
      <w:pgBorders w:offsetFrom="page">
        <w:top w:val="single" w:sz="2" w:space="24" w:color="auto"/>
        <w:left w:val="single" w:sz="2" w:space="24" w:color="auto"/>
        <w:bottom w:val="single" w:sz="2" w:space="24" w:color="auto"/>
        <w:right w:val="single" w:sz="2"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9B9C" w14:textId="77777777" w:rsidR="00000000" w:rsidRDefault="00B9522E">
      <w:r>
        <w:separator/>
      </w:r>
    </w:p>
  </w:endnote>
  <w:endnote w:type="continuationSeparator" w:id="0">
    <w:p w14:paraId="4B9B6617" w14:textId="77777777" w:rsidR="00000000" w:rsidRDefault="00B9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7295" w14:textId="125174EB" w:rsidR="00C83BC2" w:rsidRPr="001F2778" w:rsidRDefault="004F44F4" w:rsidP="001F2778">
    <w:pPr>
      <w:pStyle w:val="Footer"/>
    </w:pPr>
    <w:r>
      <w:t>2/15/2015</w:t>
    </w:r>
    <w:r>
      <w:tab/>
    </w:r>
    <w:r>
      <w:tab/>
    </w:r>
    <w:r>
      <w:tab/>
    </w:r>
    <w:r>
      <w:rPr>
        <w:rStyle w:val="PageNumber"/>
      </w:rPr>
      <w:fldChar w:fldCharType="begin"/>
    </w:r>
    <w:r>
      <w:rPr>
        <w:rStyle w:val="PageNumber"/>
      </w:rPr>
      <w:instrText xml:space="preserve"> PAGE </w:instrText>
    </w:r>
    <w:r>
      <w:rPr>
        <w:rStyle w:val="PageNumber"/>
      </w:rPr>
      <w:fldChar w:fldCharType="separate"/>
    </w:r>
    <w:r w:rsidR="00B9522E">
      <w:rPr>
        <w:rStyle w:val="PageNumber"/>
        <w:noProof/>
      </w:rPr>
      <w:t>1</w:t>
    </w:r>
    <w:r>
      <w:rPr>
        <w:rStyle w:val="PageNumber"/>
      </w:rPr>
      <w:fldChar w:fldCharType="end"/>
    </w:r>
    <w:r>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1B464" w14:textId="77777777" w:rsidR="00000000" w:rsidRDefault="00B9522E">
      <w:r>
        <w:separator/>
      </w:r>
    </w:p>
  </w:footnote>
  <w:footnote w:type="continuationSeparator" w:id="0">
    <w:p w14:paraId="733A4ACA" w14:textId="77777777" w:rsidR="00000000" w:rsidRDefault="00B9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1E6"/>
    <w:multiLevelType w:val="hybridMultilevel"/>
    <w:tmpl w:val="4A1A2278"/>
    <w:lvl w:ilvl="0" w:tplc="224C275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3A5BB3"/>
    <w:multiLevelType w:val="hybridMultilevel"/>
    <w:tmpl w:val="D02A5F94"/>
    <w:lvl w:ilvl="0" w:tplc="33A006F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1D62EC"/>
    <w:multiLevelType w:val="hybridMultilevel"/>
    <w:tmpl w:val="E9F61632"/>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A2CBD"/>
    <w:multiLevelType w:val="hybridMultilevel"/>
    <w:tmpl w:val="9C74ADE2"/>
    <w:lvl w:ilvl="0" w:tplc="549A2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95B23"/>
    <w:multiLevelType w:val="hybridMultilevel"/>
    <w:tmpl w:val="2D3016CA"/>
    <w:lvl w:ilvl="0" w:tplc="ABC67EB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F4"/>
    <w:rsid w:val="001A4748"/>
    <w:rsid w:val="001F0CD3"/>
    <w:rsid w:val="004F44F4"/>
    <w:rsid w:val="00A30D39"/>
    <w:rsid w:val="00B41F31"/>
    <w:rsid w:val="00B9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442"/>
  <w15:chartTrackingRefBased/>
  <w15:docId w15:val="{A88C3061-035F-4FFE-9295-A02D2289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4F4"/>
    <w:pPr>
      <w:widowControl w:val="0"/>
      <w:autoSpaceDE w:val="0"/>
      <w:autoSpaceDN w:val="0"/>
      <w:adjustRightInd w:val="0"/>
      <w:spacing w:after="0" w:line="240" w:lineRule="auto"/>
    </w:pPr>
    <w:rPr>
      <w:rFonts w:ascii="CG Times" w:eastAsia="Times New Roman"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44F4"/>
    <w:pPr>
      <w:tabs>
        <w:tab w:val="center" w:pos="4320"/>
        <w:tab w:val="right" w:pos="8640"/>
      </w:tabs>
    </w:pPr>
  </w:style>
  <w:style w:type="character" w:customStyle="1" w:styleId="FooterChar">
    <w:name w:val="Footer Char"/>
    <w:basedOn w:val="DefaultParagraphFont"/>
    <w:link w:val="Footer"/>
    <w:rsid w:val="004F44F4"/>
    <w:rPr>
      <w:rFonts w:ascii="CG Times" w:eastAsia="Times New Roman" w:hAnsi="CG Times" w:cs="CG Times"/>
      <w:sz w:val="20"/>
      <w:szCs w:val="20"/>
    </w:rPr>
  </w:style>
  <w:style w:type="paragraph" w:styleId="BodyTextIndent">
    <w:name w:val="Body Text Indent"/>
    <w:basedOn w:val="Normal"/>
    <w:link w:val="BodyTextIndentChar"/>
    <w:rsid w:val="004F44F4"/>
    <w:pPr>
      <w:tabs>
        <w:tab w:val="left" w:pos="720"/>
      </w:tabs>
      <w:ind w:left="720" w:hanging="720"/>
    </w:pPr>
    <w:rPr>
      <w:rFonts w:ascii="Courier 10cpi" w:hAnsi="Courier 10cpi" w:cs="Courier 10cpi"/>
    </w:rPr>
  </w:style>
  <w:style w:type="character" w:customStyle="1" w:styleId="BodyTextIndentChar">
    <w:name w:val="Body Text Indent Char"/>
    <w:basedOn w:val="DefaultParagraphFont"/>
    <w:link w:val="BodyTextIndent"/>
    <w:rsid w:val="004F44F4"/>
    <w:rPr>
      <w:rFonts w:ascii="Courier 10cpi" w:eastAsia="Times New Roman" w:hAnsi="Courier 10cpi" w:cs="Courier 10cpi"/>
      <w:sz w:val="20"/>
      <w:szCs w:val="20"/>
    </w:rPr>
  </w:style>
  <w:style w:type="character" w:styleId="Hyperlink">
    <w:name w:val="Hyperlink"/>
    <w:rsid w:val="004F44F4"/>
    <w:rPr>
      <w:color w:val="0000FF"/>
      <w:u w:val="single"/>
    </w:rPr>
  </w:style>
  <w:style w:type="character" w:styleId="PageNumber">
    <w:name w:val="page number"/>
    <w:basedOn w:val="DefaultParagraphFont"/>
    <w:rsid w:val="004F44F4"/>
  </w:style>
  <w:style w:type="character" w:styleId="Strong">
    <w:name w:val="Strong"/>
    <w:uiPriority w:val="22"/>
    <w:qFormat/>
    <w:rsid w:val="004F44F4"/>
    <w:rPr>
      <w:b/>
      <w:bCs/>
    </w:rPr>
  </w:style>
  <w:style w:type="paragraph" w:styleId="ListParagraph">
    <w:name w:val="List Paragraph"/>
    <w:basedOn w:val="Normal"/>
    <w:uiPriority w:val="34"/>
    <w:qFormat/>
    <w:rsid w:val="001F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ingwater.vt.gov/pcwspermits.htm" TargetMode="External"/><Relationship Id="rId3" Type="http://schemas.openxmlformats.org/officeDocument/2006/relationships/settings" Target="settings.xml"/><Relationship Id="rId7" Type="http://schemas.openxmlformats.org/officeDocument/2006/relationships/hyperlink" Target="http://www.drinkingwater.vt.gov/pcwsap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Pingree, Rodney</dc:creator>
  <cp:keywords/>
  <dc:description/>
  <cp:lastModifiedBy>Pingree, Rodney</cp:lastModifiedBy>
  <cp:revision>2</cp:revision>
  <dcterms:created xsi:type="dcterms:W3CDTF">2018-01-12T20:10:00Z</dcterms:created>
  <dcterms:modified xsi:type="dcterms:W3CDTF">2018-02-01T18:39:00Z</dcterms:modified>
</cp:coreProperties>
</file>