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0B4" w:rsidRDefault="006D50B4" w:rsidP="006D50B4">
      <w:pPr>
        <w:pStyle w:val="Heading1"/>
        <w:ind w:right="195"/>
        <w:jc w:val="center"/>
      </w:pPr>
      <w:r>
        <w:t>Act 154 Good Standing Certification</w:t>
      </w:r>
    </w:p>
    <w:p w:rsidR="006D50B4" w:rsidRPr="00B06A6C" w:rsidRDefault="006D50B4" w:rsidP="006D50B4">
      <w:pPr>
        <w:pStyle w:val="BodyText"/>
        <w:spacing w:before="4"/>
        <w:rPr>
          <w:b/>
          <w:sz w:val="22"/>
          <w:szCs w:val="22"/>
        </w:rPr>
      </w:pPr>
    </w:p>
    <w:p w:rsidR="006D50B4" w:rsidRDefault="006D50B4" w:rsidP="006D50B4">
      <w:pPr>
        <w:pStyle w:val="Heading2"/>
        <w:tabs>
          <w:tab w:val="left" w:pos="2024"/>
          <w:tab w:val="left" w:pos="9542"/>
        </w:tabs>
        <w:spacing w:line="326" w:lineRule="auto"/>
        <w:ind w:left="248" w:right="195"/>
        <w:jc w:val="center"/>
      </w:pPr>
      <w:r>
        <w:t>Applicant</w:t>
      </w:r>
      <w:r>
        <w:rPr>
          <w:spacing w:val="-6"/>
        </w:rPr>
        <w:t xml:space="preserve"> </w:t>
      </w:r>
      <w:r>
        <w:t>Name</w:t>
      </w:r>
      <w:r>
        <w:rPr>
          <w:u w:val="single"/>
        </w:rPr>
        <w:t xml:space="preserve"> </w:t>
      </w:r>
      <w:r>
        <w:rPr>
          <w:u w:val="single"/>
        </w:rPr>
        <w:tab/>
      </w:r>
      <w:r>
        <w:t xml:space="preserve"> Address</w:t>
      </w:r>
      <w:r>
        <w:tab/>
      </w:r>
      <w:r>
        <w:rPr>
          <w:u w:val="single"/>
        </w:rPr>
        <w:t xml:space="preserve"> </w:t>
      </w:r>
      <w:r>
        <w:rPr>
          <w:u w:val="single"/>
        </w:rPr>
        <w:tab/>
      </w:r>
    </w:p>
    <w:p w:rsidR="006D50B4" w:rsidRPr="00B06A6C" w:rsidRDefault="006D50B4" w:rsidP="006D50B4">
      <w:pPr>
        <w:pStyle w:val="BodyText"/>
        <w:spacing w:before="6"/>
        <w:rPr>
          <w:sz w:val="16"/>
          <w:szCs w:val="16"/>
        </w:rPr>
      </w:pPr>
    </w:p>
    <w:p w:rsidR="006D50B4" w:rsidRDefault="006D50B4" w:rsidP="006D50B4">
      <w:pPr>
        <w:spacing w:before="91"/>
        <w:ind w:left="140" w:right="520"/>
      </w:pPr>
      <w:r>
        <w:t>As an authorized representative of the grant applicant and in accordance with Act 154 of 2016, Section 13*, I hereby certify on behalf of the Applicant that</w:t>
      </w:r>
    </w:p>
    <w:p w:rsidR="006D50B4" w:rsidRDefault="006D50B4" w:rsidP="006D50B4">
      <w:pPr>
        <w:spacing w:before="158"/>
        <w:ind w:left="140"/>
      </w:pPr>
      <w:r>
        <w:rPr>
          <w:i/>
          <w:sz w:val="18"/>
        </w:rPr>
        <w:t>(check one)</w:t>
      </w:r>
      <w:r>
        <w:t>:</w:t>
      </w:r>
    </w:p>
    <w:p w:rsidR="006D50B4" w:rsidRPr="00B06A6C" w:rsidRDefault="006D50B4" w:rsidP="006D50B4">
      <w:pPr>
        <w:pStyle w:val="Heading2"/>
        <w:spacing w:before="188"/>
        <w:ind w:left="810"/>
        <w:rPr>
          <w:rFonts w:asciiTheme="minorHAnsi" w:hAnsiTheme="minorHAnsi" w:cstheme="minorHAnsi"/>
          <w:b w:val="0"/>
          <w:i w:val="0"/>
          <w:sz w:val="22"/>
          <w:szCs w:val="22"/>
        </w:rPr>
      </w:pPr>
      <w:r w:rsidRPr="00B06A6C">
        <w:rPr>
          <w:rFonts w:asciiTheme="minorHAnsi" w:hAnsiTheme="minorHAnsi" w:cstheme="minorHAnsi"/>
          <w:b w:val="0"/>
          <w:i w:val="0"/>
          <w:noProof/>
          <w:sz w:val="22"/>
          <w:szCs w:val="22"/>
        </w:rPr>
        <mc:AlternateContent>
          <mc:Choice Requires="wps">
            <w:drawing>
              <wp:anchor distT="0" distB="0" distL="114300" distR="114300" simplePos="0" relativeHeight="251661312" behindDoc="0" locked="0" layoutInCell="1" allowOverlap="1" wp14:anchorId="62DF1E79" wp14:editId="24A0EB2A">
                <wp:simplePos x="0" y="0"/>
                <wp:positionH relativeFrom="page">
                  <wp:posOffset>984885</wp:posOffset>
                </wp:positionH>
                <wp:positionV relativeFrom="paragraph">
                  <wp:posOffset>138430</wp:posOffset>
                </wp:positionV>
                <wp:extent cx="215900" cy="215900"/>
                <wp:effectExtent l="13335" t="14605" r="889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7792" id="Rectangle 21" o:spid="_x0000_s1026" style="position:absolute;margin-left:77.55pt;margin-top:10.9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" filled="f" strokeweight="1pt">
                <w10:wrap anchorx="page"/>
              </v:rect>
            </w:pict>
          </mc:Fallback>
        </mc:AlternateContent>
      </w:r>
      <w:r w:rsidRPr="00B06A6C">
        <w:rPr>
          <w:rFonts w:asciiTheme="minorHAnsi" w:hAnsiTheme="minorHAnsi" w:cstheme="minorHAnsi"/>
          <w:b w:val="0"/>
          <w:i w:val="0"/>
          <w:sz w:val="22"/>
          <w:szCs w:val="22"/>
        </w:rPr>
        <w:t xml:space="preserve">The Applicant is currently in “good standing” with the Agency of Natural Resources and the Agency of Agriculture, Food and Markets. The Applicant is not a named party in any administrative order, consent decree, or judicial order relating to Vermont water quality standards issued by the State or any of its agencies or departments and </w:t>
      </w:r>
      <w:proofErr w:type="gramStart"/>
      <w:r w:rsidRPr="00B06A6C">
        <w:rPr>
          <w:rFonts w:asciiTheme="minorHAnsi" w:hAnsiTheme="minorHAnsi" w:cstheme="minorHAnsi"/>
          <w:b w:val="0"/>
          <w:i w:val="0"/>
          <w:sz w:val="22"/>
          <w:szCs w:val="22"/>
        </w:rPr>
        <w:t>is in compliance with</w:t>
      </w:r>
      <w:proofErr w:type="gramEnd"/>
      <w:r w:rsidRPr="00B06A6C">
        <w:rPr>
          <w:rFonts w:asciiTheme="minorHAnsi" w:hAnsiTheme="minorHAnsi" w:cstheme="minorHAnsi"/>
          <w:b w:val="0"/>
          <w:i w:val="0"/>
          <w:sz w:val="22"/>
          <w:szCs w:val="22"/>
        </w:rPr>
        <w:t xml:space="preserve"> all federal and State water quality laws and regulations.</w:t>
      </w:r>
    </w:p>
    <w:p w:rsidR="006D50B4" w:rsidRDefault="006D50B4" w:rsidP="006D50B4">
      <w:pPr>
        <w:spacing w:before="184"/>
        <w:ind w:left="805" w:right="355"/>
      </w:pPr>
      <w:r>
        <w:t>Further, the Applicant will notify the State agency or department administering this State-funded grant if no longer in good standing with the Agency of Natural Resources or the Agency of Agriculture, Food and Markets at any time prior to or during implementation of this State-funded award.</w:t>
      </w:r>
    </w:p>
    <w:p w:rsidR="006D50B4" w:rsidRDefault="006D50B4" w:rsidP="006D50B4">
      <w:pPr>
        <w:ind w:left="805" w:right="893"/>
      </w:pPr>
      <w:r>
        <w:rPr>
          <w:noProof/>
          <w:sz w:val="19"/>
        </w:rPr>
        <mc:AlternateContent>
          <mc:Choice Requires="wpg">
            <w:drawing>
              <wp:anchor distT="0" distB="0" distL="0" distR="0" simplePos="0" relativeHeight="251659264" behindDoc="0" locked="0" layoutInCell="1" allowOverlap="1" wp14:anchorId="4C6A709D" wp14:editId="2A6F2661">
                <wp:simplePos x="0" y="0"/>
                <wp:positionH relativeFrom="page">
                  <wp:posOffset>982980</wp:posOffset>
                </wp:positionH>
                <wp:positionV relativeFrom="paragraph">
                  <wp:posOffset>608330</wp:posOffset>
                </wp:positionV>
                <wp:extent cx="5784850" cy="960120"/>
                <wp:effectExtent l="0" t="0" r="25400" b="3048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960120"/>
                          <a:chOff x="1714" y="329"/>
                          <a:chExt cx="9110" cy="3575"/>
                        </a:xfrm>
                      </wpg:grpSpPr>
                      <wps:wsp>
                        <wps:cNvPr id="10" name="Line 7"/>
                        <wps:cNvCnPr>
                          <a:cxnSpLocks noChangeShapeType="1"/>
                        </wps:cNvCnPr>
                        <wps:spPr bwMode="auto">
                          <a:xfrm>
                            <a:off x="1724" y="339"/>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733" y="339"/>
                            <a:ext cx="90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719" y="334"/>
                            <a:ext cx="0" cy="3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724" y="3894"/>
                            <a:ext cx="90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0819" y="334"/>
                            <a:ext cx="0" cy="3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7EF93" id="Group 9" o:spid="_x0000_s1026" style="position:absolute;margin-left:77.4pt;margin-top:47.9pt;width:455.5pt;height:75.6pt;z-index:251659264;mso-wrap-distance-left:0;mso-wrap-distance-right:0;mso-position-horizontal-relative:page" coordorigin="1714,329" coordsize="9110,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">
                <v:line id="Line 7" o:spid="_x0000_s1027" style="position:absolute;visibility:visible;mso-wrap-style:square" from="1724,339" to="173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28" style="position:absolute;visibility:visible;mso-wrap-style:square" from="1733,339" to="1081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29" style="position:absolute;visibility:visible;mso-wrap-style:square" from="1719,334" to="1719,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0" o:spid="_x0000_s1030" style="position:absolute;visibility:visible;mso-wrap-style:square" from="1724,3894" to="10814,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31" style="position:absolute;visibility:visible;mso-wrap-style:square" from="10819,334" to="10819,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type="topAndBottom" anchorx="page"/>
              </v:group>
            </w:pict>
          </mc:Fallback>
        </mc:AlternateContent>
      </w:r>
      <w:r>
        <w:rPr>
          <w:noProof/>
        </w:rPr>
        <mc:AlternateContent>
          <mc:Choice Requires="wps">
            <w:drawing>
              <wp:anchor distT="0" distB="0" distL="114300" distR="114300" simplePos="0" relativeHeight="251662336" behindDoc="0" locked="0" layoutInCell="1" allowOverlap="1" wp14:anchorId="05202DEF" wp14:editId="3E8EE35F">
                <wp:simplePos x="0" y="0"/>
                <wp:positionH relativeFrom="page">
                  <wp:posOffset>984885</wp:posOffset>
                </wp:positionH>
                <wp:positionV relativeFrom="paragraph">
                  <wp:posOffset>51435</wp:posOffset>
                </wp:positionV>
                <wp:extent cx="215900" cy="215900"/>
                <wp:effectExtent l="13335" t="13335" r="889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D787B" id="Rectangle 20" o:spid="_x0000_s1026" style="position:absolute;margin-left:77.55pt;margin-top:4.05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" filled="f" strokeweight="1pt">
                <w10:wrap anchorx="page"/>
              </v:rect>
            </w:pict>
          </mc:Fallback>
        </mc:AlternateContent>
      </w:r>
      <w:r>
        <w:t>I am not able to certify that the Applicant is in “good standing” with the Agency of Natural Resources and the Agency of Agriculture, Food and Markets for the following reasons:</w:t>
      </w:r>
    </w:p>
    <w:p w:rsidR="006D50B4" w:rsidRDefault="006D50B4" w:rsidP="006D50B4">
      <w:pPr>
        <w:pStyle w:val="BodyText"/>
        <w:spacing w:before="2"/>
        <w:rPr>
          <w:sz w:val="25"/>
        </w:rPr>
      </w:pPr>
    </w:p>
    <w:p w:rsidR="006D50B4" w:rsidRDefault="006D50B4" w:rsidP="006D50B4">
      <w:pPr>
        <w:spacing w:before="126"/>
        <w:ind w:left="500" w:right="706"/>
        <w:rPr>
          <w:sz w:val="18"/>
        </w:rPr>
      </w:pPr>
      <w:r>
        <w:rPr>
          <w:sz w:val="18"/>
        </w:rPr>
        <w:t xml:space="preserve">*A copy of Section 13 is on the opposite side of this Certificate or can be found at </w:t>
      </w:r>
      <w:hyperlink r:id="rId5">
        <w:r>
          <w:rPr>
            <w:color w:val="0562C1"/>
            <w:sz w:val="18"/>
            <w:u w:val="single" w:color="0562C1"/>
          </w:rPr>
          <w:t>http://finance.vermont.gov/sites/finance/files/documents/Forms/Grant_Recipients/FIN-Act_154_Section_13.pdf</w:t>
        </w:r>
        <w:r>
          <w:rPr>
            <w:sz w:val="18"/>
          </w:rPr>
          <w:t>.</w:t>
        </w:r>
      </w:hyperlink>
      <w:r>
        <w:rPr>
          <w:sz w:val="18"/>
        </w:rPr>
        <w:t xml:space="preserve"> Any person should first review and understand applicable terms, instructions and potential consequences in Section 13, including the definition of “Applicant” for purposes of this Certificate.</w:t>
      </w:r>
    </w:p>
    <w:p w:rsidR="006D50B4" w:rsidRDefault="006D50B4" w:rsidP="006D50B4">
      <w:pPr>
        <w:pStyle w:val="BodyText"/>
        <w:spacing w:before="8"/>
        <w:rPr>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1596"/>
        <w:gridCol w:w="3080"/>
      </w:tblGrid>
      <w:tr w:rsidR="006D50B4" w:rsidTr="001B1304">
        <w:trPr>
          <w:trHeight w:hRule="exact" w:val="485"/>
        </w:trPr>
        <w:tc>
          <w:tcPr>
            <w:tcW w:w="4676" w:type="dxa"/>
          </w:tcPr>
          <w:p w:rsidR="006D50B4" w:rsidRDefault="006D50B4" w:rsidP="001B1304">
            <w:pPr>
              <w:pStyle w:val="TableParagraph"/>
              <w:rPr>
                <w:b/>
              </w:rPr>
            </w:pPr>
            <w:r>
              <w:rPr>
                <w:b/>
              </w:rPr>
              <w:t>Name</w:t>
            </w:r>
          </w:p>
        </w:tc>
        <w:tc>
          <w:tcPr>
            <w:tcW w:w="4676" w:type="dxa"/>
            <w:gridSpan w:val="2"/>
          </w:tcPr>
          <w:p w:rsidR="006D50B4" w:rsidRDefault="006D50B4" w:rsidP="001B1304">
            <w:pPr>
              <w:pStyle w:val="TableParagraph"/>
              <w:rPr>
                <w:b/>
              </w:rPr>
            </w:pPr>
            <w:r>
              <w:rPr>
                <w:b/>
              </w:rPr>
              <w:t>Title</w:t>
            </w:r>
          </w:p>
        </w:tc>
      </w:tr>
      <w:tr w:rsidR="006D50B4" w:rsidTr="001B1304">
        <w:trPr>
          <w:trHeight w:hRule="exact" w:val="542"/>
        </w:trPr>
        <w:tc>
          <w:tcPr>
            <w:tcW w:w="6272" w:type="dxa"/>
            <w:gridSpan w:val="2"/>
          </w:tcPr>
          <w:p w:rsidR="006D50B4" w:rsidRDefault="006D50B4" w:rsidP="001B1304">
            <w:pPr>
              <w:pStyle w:val="TableParagraph"/>
              <w:spacing w:before="138"/>
              <w:rPr>
                <w:b/>
              </w:rPr>
            </w:pPr>
            <w:r>
              <w:rPr>
                <w:b/>
              </w:rPr>
              <w:t>Signature</w:t>
            </w:r>
          </w:p>
        </w:tc>
        <w:tc>
          <w:tcPr>
            <w:tcW w:w="3080" w:type="dxa"/>
          </w:tcPr>
          <w:p w:rsidR="006D50B4" w:rsidRDefault="006D50B4" w:rsidP="001B1304">
            <w:pPr>
              <w:pStyle w:val="TableParagraph"/>
              <w:spacing w:before="138"/>
              <w:rPr>
                <w:b/>
              </w:rPr>
            </w:pPr>
            <w:r>
              <w:rPr>
                <w:b/>
              </w:rPr>
              <w:t>Date</w:t>
            </w:r>
          </w:p>
        </w:tc>
      </w:tr>
    </w:tbl>
    <w:p w:rsidR="006D50B4" w:rsidRDefault="006D50B4" w:rsidP="006D50B4">
      <w:pPr>
        <w:pStyle w:val="BodyText"/>
        <w:spacing w:before="9"/>
        <w:rPr>
          <w:sz w:val="15"/>
        </w:rPr>
      </w:pPr>
    </w:p>
    <w:p w:rsidR="006D50B4" w:rsidRDefault="006D50B4" w:rsidP="006D50B4">
      <w:pPr>
        <w:ind w:left="140"/>
        <w:rPr>
          <w:sz w:val="16"/>
        </w:rPr>
      </w:pPr>
      <w:r>
        <w:rPr>
          <w:sz w:val="16"/>
        </w:rPr>
        <w:t>This form must be completed and signed by an authorized official of the grant applicant organization.</w:t>
      </w:r>
    </w:p>
    <w:p w:rsidR="006D50B4" w:rsidRDefault="006D50B4" w:rsidP="006D50B4">
      <w:pPr>
        <w:pStyle w:val="BodyText"/>
        <w:rPr>
          <w:sz w:val="20"/>
        </w:rPr>
      </w:pPr>
    </w:p>
    <w:p w:rsidR="006D50B4" w:rsidRDefault="006D50B4" w:rsidP="006D50B4">
      <w:pPr>
        <w:pStyle w:val="BodyText"/>
        <w:rPr>
          <w:sz w:val="20"/>
        </w:rPr>
      </w:pPr>
    </w:p>
    <w:p w:rsidR="006D50B4" w:rsidRDefault="006D50B4" w:rsidP="006D50B4">
      <w:pPr>
        <w:pStyle w:val="BodyText"/>
        <w:spacing w:before="7"/>
        <w:rPr>
          <w:sz w:val="22"/>
        </w:rPr>
      </w:pPr>
      <w:r>
        <w:rPr>
          <w:noProof/>
          <w:sz w:val="19"/>
        </w:rPr>
        <mc:AlternateContent>
          <mc:Choice Requires="wps">
            <w:drawing>
              <wp:anchor distT="0" distB="0" distL="0" distR="0" simplePos="0" relativeHeight="251660288" behindDoc="0" locked="0" layoutInCell="1" allowOverlap="1" wp14:anchorId="0AB57A2C" wp14:editId="6F1CA879">
                <wp:simplePos x="0" y="0"/>
                <wp:positionH relativeFrom="page">
                  <wp:posOffset>896620</wp:posOffset>
                </wp:positionH>
                <wp:positionV relativeFrom="paragraph">
                  <wp:posOffset>193675</wp:posOffset>
                </wp:positionV>
                <wp:extent cx="5981065" cy="0"/>
                <wp:effectExtent l="10795" t="13970" r="8890" b="508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DAC1" id="Straight Connector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25pt" to="541.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aJwIAAE8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" strokeweight=".48pt">
                <w10:wrap type="topAndBottom" anchorx="page"/>
              </v:line>
            </w:pict>
          </mc:Fallback>
        </mc:AlternateContent>
      </w:r>
    </w:p>
    <w:p w:rsidR="006D50B4" w:rsidRDefault="006D50B4" w:rsidP="006D50B4">
      <w:pPr>
        <w:spacing w:line="173" w:lineRule="exact"/>
        <w:ind w:right="234"/>
        <w:jc w:val="right"/>
        <w:rPr>
          <w:sz w:val="16"/>
        </w:rPr>
      </w:pPr>
      <w:r>
        <w:rPr>
          <w:sz w:val="16"/>
        </w:rPr>
        <w:t>Form: B5-Act154Cert</w:t>
      </w:r>
    </w:p>
    <w:p w:rsidR="006D50B4" w:rsidRDefault="006D50B4" w:rsidP="006D50B4">
      <w:pPr>
        <w:spacing w:before="1"/>
        <w:ind w:right="234"/>
        <w:jc w:val="right"/>
        <w:rPr>
          <w:sz w:val="16"/>
        </w:rPr>
      </w:pPr>
      <w:r>
        <w:rPr>
          <w:sz w:val="16"/>
        </w:rPr>
        <w:t>Issued: April 2018</w:t>
      </w:r>
    </w:p>
    <w:p w:rsidR="006D50B4" w:rsidRDefault="006D50B4" w:rsidP="006D50B4">
      <w:pPr>
        <w:jc w:val="right"/>
        <w:rPr>
          <w:sz w:val="16"/>
        </w:rPr>
        <w:sectPr w:rsidR="006D50B4" w:rsidSect="00B06A6C">
          <w:pgSz w:w="12240" w:h="15840"/>
          <w:pgMar w:top="560" w:right="1200" w:bottom="280" w:left="1300" w:header="720" w:footer="720" w:gutter="0"/>
          <w:cols w:space="720"/>
        </w:sectPr>
      </w:pPr>
    </w:p>
    <w:p w:rsidR="006D50B4" w:rsidRDefault="006D50B4" w:rsidP="006D50B4">
      <w:pPr>
        <w:pStyle w:val="Heading1"/>
        <w:ind w:left="1510"/>
      </w:pPr>
      <w:r>
        <w:lastRenderedPageBreak/>
        <w:t>Section 13 of Act 154 of 2016 – Certification for Grants</w:t>
      </w:r>
    </w:p>
    <w:p w:rsidR="006D50B4" w:rsidRDefault="006D50B4" w:rsidP="006D50B4">
      <w:pPr>
        <w:sectPr w:rsidR="006D50B4">
          <w:pgSz w:w="12240" w:h="15840"/>
          <w:pgMar w:top="560" w:right="1340" w:bottom="280" w:left="1320" w:header="720" w:footer="720" w:gutter="0"/>
          <w:cols w:space="720"/>
        </w:sectPr>
      </w:pPr>
    </w:p>
    <w:p w:rsidR="006D50B4" w:rsidRDefault="006D50B4" w:rsidP="006D50B4">
      <w:pPr>
        <w:pStyle w:val="BodyText"/>
        <w:rPr>
          <w:b/>
          <w:sz w:val="16"/>
        </w:rPr>
      </w:pPr>
    </w:p>
    <w:p w:rsidR="006D50B4" w:rsidRPr="00C33FD9" w:rsidRDefault="006D50B4" w:rsidP="006D50B4">
      <w:pPr>
        <w:pStyle w:val="BodyText"/>
        <w:spacing w:line="259" w:lineRule="auto"/>
        <w:ind w:left="314" w:right="197" w:hanging="1"/>
        <w:rPr>
          <w:sz w:val="22"/>
          <w:szCs w:val="22"/>
        </w:rPr>
      </w:pPr>
      <w:r w:rsidRPr="00C33FD9">
        <w:rPr>
          <w:sz w:val="22"/>
          <w:szCs w:val="22"/>
        </w:rPr>
        <w:t>SECRETARY OF ADMINISTRATION; WATER QUALITY STANDARDS CERTIFICATION</w:t>
      </w:r>
      <w:r w:rsidRPr="00C33FD9">
        <w:rPr>
          <w:spacing w:val="-16"/>
          <w:sz w:val="22"/>
          <w:szCs w:val="22"/>
        </w:rPr>
        <w:t xml:space="preserve"> </w:t>
      </w:r>
      <w:r w:rsidRPr="00C33FD9">
        <w:rPr>
          <w:sz w:val="22"/>
          <w:szCs w:val="22"/>
        </w:rPr>
        <w:t>FOR STATE-FUNDED GRANTS;</w:t>
      </w:r>
      <w:r w:rsidRPr="00C33FD9">
        <w:rPr>
          <w:spacing w:val="-8"/>
          <w:sz w:val="22"/>
          <w:szCs w:val="22"/>
        </w:rPr>
        <w:t xml:space="preserve"> </w:t>
      </w:r>
      <w:r w:rsidRPr="00C33FD9">
        <w:rPr>
          <w:sz w:val="22"/>
          <w:szCs w:val="22"/>
        </w:rPr>
        <w:t>REPORT</w:t>
      </w:r>
    </w:p>
    <w:p w:rsidR="006D50B4" w:rsidRDefault="006D50B4" w:rsidP="006D50B4">
      <w:pPr>
        <w:pStyle w:val="ListParagraph"/>
        <w:widowControl w:val="0"/>
        <w:numPr>
          <w:ilvl w:val="0"/>
          <w:numId w:val="3"/>
        </w:numPr>
        <w:tabs>
          <w:tab w:val="left" w:pos="840"/>
          <w:tab w:val="left" w:pos="841"/>
        </w:tabs>
        <w:autoSpaceDE w:val="0"/>
        <w:autoSpaceDN w:val="0"/>
        <w:spacing w:before="160" w:after="0" w:line="240" w:lineRule="auto"/>
        <w:contextualSpacing w:val="0"/>
        <w:rPr>
          <w:sz w:val="19"/>
        </w:rPr>
      </w:pPr>
      <w:r>
        <w:rPr>
          <w:sz w:val="19"/>
        </w:rPr>
        <w:t>As used in this</w:t>
      </w:r>
      <w:r>
        <w:rPr>
          <w:spacing w:val="-7"/>
          <w:sz w:val="19"/>
        </w:rPr>
        <w:t xml:space="preserve"> </w:t>
      </w:r>
      <w:r>
        <w:rPr>
          <w:sz w:val="19"/>
        </w:rPr>
        <w:t>section:</w:t>
      </w:r>
    </w:p>
    <w:p w:rsidR="006D50B4" w:rsidRDefault="006D50B4" w:rsidP="006D50B4">
      <w:pPr>
        <w:pStyle w:val="ListParagraph"/>
        <w:widowControl w:val="0"/>
        <w:numPr>
          <w:ilvl w:val="1"/>
          <w:numId w:val="3"/>
        </w:numPr>
        <w:tabs>
          <w:tab w:val="left" w:pos="1109"/>
        </w:tabs>
        <w:autoSpaceDE w:val="0"/>
        <w:autoSpaceDN w:val="0"/>
        <w:spacing w:before="177" w:after="0"/>
        <w:ind w:firstLine="0"/>
        <w:contextualSpacing w:val="0"/>
        <w:rPr>
          <w:sz w:val="19"/>
        </w:rPr>
      </w:pPr>
      <w:r>
        <w:rPr>
          <w:sz w:val="19"/>
        </w:rPr>
        <w:t>“Applicant” shall include all entities, including businesses in which the applicant has a greater than 10 percent interest, or land owned or controlled by the</w:t>
      </w:r>
      <w:r>
        <w:rPr>
          <w:spacing w:val="-16"/>
          <w:sz w:val="19"/>
        </w:rPr>
        <w:t xml:space="preserve"> </w:t>
      </w:r>
      <w:r>
        <w:rPr>
          <w:sz w:val="19"/>
        </w:rPr>
        <w:t>applicant.</w:t>
      </w:r>
    </w:p>
    <w:p w:rsidR="006D50B4" w:rsidRDefault="006D50B4" w:rsidP="006D50B4">
      <w:pPr>
        <w:pStyle w:val="ListParagraph"/>
        <w:widowControl w:val="0"/>
        <w:numPr>
          <w:ilvl w:val="1"/>
          <w:numId w:val="3"/>
        </w:numPr>
        <w:tabs>
          <w:tab w:val="left" w:pos="1109"/>
        </w:tabs>
        <w:autoSpaceDE w:val="0"/>
        <w:autoSpaceDN w:val="0"/>
        <w:spacing w:after="0" w:line="240" w:lineRule="auto"/>
        <w:ind w:left="1108" w:hanging="268"/>
        <w:contextualSpacing w:val="0"/>
        <w:rPr>
          <w:sz w:val="19"/>
        </w:rPr>
      </w:pPr>
      <w:r>
        <w:rPr>
          <w:sz w:val="19"/>
        </w:rPr>
        <w:t>“Good standing” means the</w:t>
      </w:r>
      <w:r>
        <w:rPr>
          <w:spacing w:val="-11"/>
          <w:sz w:val="19"/>
        </w:rPr>
        <w:t xml:space="preserve"> </w:t>
      </w:r>
      <w:r>
        <w:rPr>
          <w:sz w:val="19"/>
        </w:rPr>
        <w:t>applicant:</w:t>
      </w:r>
    </w:p>
    <w:p w:rsidR="006D50B4" w:rsidRDefault="006D50B4" w:rsidP="006D50B4">
      <w:pPr>
        <w:pStyle w:val="ListParagraph"/>
        <w:widowControl w:val="0"/>
        <w:numPr>
          <w:ilvl w:val="2"/>
          <w:numId w:val="3"/>
        </w:numPr>
        <w:tabs>
          <w:tab w:val="left" w:pos="1870"/>
        </w:tabs>
        <w:autoSpaceDE w:val="0"/>
        <w:autoSpaceDN w:val="0"/>
        <w:spacing w:after="0"/>
        <w:ind w:right="80" w:firstLine="0"/>
        <w:contextualSpacing w:val="0"/>
        <w:rPr>
          <w:sz w:val="19"/>
        </w:rPr>
      </w:pPr>
      <w:r>
        <w:rPr>
          <w:sz w:val="19"/>
        </w:rPr>
        <w:t>is not a named party in any administrative order, consent</w:t>
      </w:r>
      <w:r>
        <w:rPr>
          <w:spacing w:val="-15"/>
          <w:sz w:val="19"/>
        </w:rPr>
        <w:t xml:space="preserve"> </w:t>
      </w:r>
      <w:r>
        <w:rPr>
          <w:sz w:val="19"/>
        </w:rPr>
        <w:t>decree, or judicial order relating to Vermont water quality standards issued by</w:t>
      </w:r>
      <w:r>
        <w:rPr>
          <w:spacing w:val="-19"/>
          <w:sz w:val="19"/>
        </w:rPr>
        <w:t xml:space="preserve"> </w:t>
      </w:r>
      <w:r>
        <w:rPr>
          <w:sz w:val="19"/>
        </w:rPr>
        <w:t>the State or any of its agencies or departments;</w:t>
      </w:r>
      <w:r>
        <w:rPr>
          <w:spacing w:val="-5"/>
          <w:sz w:val="19"/>
        </w:rPr>
        <w:t xml:space="preserve"> </w:t>
      </w:r>
      <w:r>
        <w:rPr>
          <w:sz w:val="19"/>
        </w:rPr>
        <w:t>and</w:t>
      </w:r>
    </w:p>
    <w:p w:rsidR="006D50B4" w:rsidRDefault="006D50B4" w:rsidP="006D50B4">
      <w:pPr>
        <w:pStyle w:val="ListParagraph"/>
        <w:widowControl w:val="0"/>
        <w:numPr>
          <w:ilvl w:val="2"/>
          <w:numId w:val="3"/>
        </w:numPr>
        <w:tabs>
          <w:tab w:val="left" w:pos="1860"/>
        </w:tabs>
        <w:autoSpaceDE w:val="0"/>
        <w:autoSpaceDN w:val="0"/>
        <w:spacing w:before="160" w:after="0"/>
        <w:ind w:right="138" w:firstLine="0"/>
        <w:contextualSpacing w:val="0"/>
        <w:rPr>
          <w:sz w:val="19"/>
        </w:rPr>
      </w:pPr>
      <w:proofErr w:type="gramStart"/>
      <w:r>
        <w:rPr>
          <w:sz w:val="19"/>
        </w:rPr>
        <w:t>is in compliance with</w:t>
      </w:r>
      <w:proofErr w:type="gramEnd"/>
      <w:r>
        <w:rPr>
          <w:sz w:val="19"/>
        </w:rPr>
        <w:t xml:space="preserve"> all</w:t>
      </w:r>
      <w:r>
        <w:rPr>
          <w:spacing w:val="-11"/>
          <w:sz w:val="19"/>
        </w:rPr>
        <w:t xml:space="preserve"> </w:t>
      </w:r>
      <w:r>
        <w:rPr>
          <w:sz w:val="19"/>
        </w:rPr>
        <w:t>federal and State water quality laws and regulations.</w:t>
      </w:r>
    </w:p>
    <w:p w:rsidR="006D50B4" w:rsidRDefault="006D50B4" w:rsidP="006D50B4">
      <w:pPr>
        <w:pStyle w:val="ListParagraph"/>
        <w:widowControl w:val="0"/>
        <w:numPr>
          <w:ilvl w:val="0"/>
          <w:numId w:val="3"/>
        </w:numPr>
        <w:tabs>
          <w:tab w:val="left" w:pos="840"/>
          <w:tab w:val="left" w:pos="841"/>
        </w:tabs>
        <w:autoSpaceDE w:val="0"/>
        <w:autoSpaceDN w:val="0"/>
        <w:spacing w:before="160" w:after="0"/>
        <w:ind w:right="36"/>
        <w:contextualSpacing w:val="0"/>
        <w:rPr>
          <w:sz w:val="19"/>
        </w:rPr>
      </w:pPr>
      <w:r>
        <w:rPr>
          <w:sz w:val="19"/>
        </w:rPr>
        <w:t>(1) The Secretary of Administration shall amend the Standard State Provisions for Contracts and Grants, referred to as Attachment C to Administrative Bulletin 5, to require an applicant for a State-funded grant to certify, under penalty of perjury, that the applicant is in good standing with the Agency of Natural Resources and the Agency of Agriculture, Food and</w:t>
      </w:r>
      <w:r>
        <w:rPr>
          <w:spacing w:val="-12"/>
          <w:sz w:val="19"/>
        </w:rPr>
        <w:t xml:space="preserve"> </w:t>
      </w:r>
      <w:r>
        <w:rPr>
          <w:sz w:val="19"/>
        </w:rPr>
        <w:t>Markets.</w:t>
      </w:r>
    </w:p>
    <w:p w:rsidR="006D50B4" w:rsidRPr="00C33FD9" w:rsidRDefault="006D50B4" w:rsidP="006D50B4">
      <w:pPr>
        <w:pStyle w:val="ListParagraph"/>
        <w:widowControl w:val="0"/>
        <w:numPr>
          <w:ilvl w:val="0"/>
          <w:numId w:val="2"/>
        </w:numPr>
        <w:tabs>
          <w:tab w:val="left" w:pos="1109"/>
        </w:tabs>
        <w:autoSpaceDE w:val="0"/>
        <w:autoSpaceDN w:val="0"/>
        <w:spacing w:after="0"/>
        <w:ind w:right="8" w:firstLine="0"/>
        <w:contextualSpacing w:val="0"/>
        <w:jc w:val="both"/>
        <w:rPr>
          <w:rFonts w:cstheme="minorHAnsi"/>
          <w:sz w:val="19"/>
          <w:szCs w:val="19"/>
        </w:rPr>
      </w:pPr>
      <w:r w:rsidRPr="00C33FD9">
        <w:rPr>
          <w:sz w:val="19"/>
        </w:rPr>
        <w:t>The requirement under this subsection shall allow for an attachment or include space for an applicant who cannot certify under</w:t>
      </w:r>
      <w:r w:rsidRPr="00C33FD9">
        <w:rPr>
          <w:spacing w:val="-19"/>
          <w:sz w:val="19"/>
        </w:rPr>
        <w:t xml:space="preserve"> </w:t>
      </w:r>
      <w:r w:rsidRPr="00C33FD9">
        <w:rPr>
          <w:rFonts w:cstheme="minorHAnsi"/>
          <w:sz w:val="19"/>
          <w:szCs w:val="19"/>
        </w:rPr>
        <w:t>subdivision (1) of this subsection to explain the circumstances surrounding the applicant’s inability to certify under subdivision (1) of this subsection.</w:t>
      </w:r>
    </w:p>
    <w:p w:rsidR="006D50B4" w:rsidRDefault="006D50B4" w:rsidP="006D50B4">
      <w:pPr>
        <w:pStyle w:val="ListParagraph"/>
        <w:widowControl w:val="0"/>
        <w:numPr>
          <w:ilvl w:val="0"/>
          <w:numId w:val="2"/>
        </w:numPr>
        <w:tabs>
          <w:tab w:val="left" w:pos="389"/>
        </w:tabs>
        <w:autoSpaceDE w:val="0"/>
        <w:autoSpaceDN w:val="0"/>
        <w:spacing w:before="158" w:after="0"/>
        <w:ind w:left="120" w:right="94" w:firstLine="0"/>
        <w:contextualSpacing w:val="0"/>
        <w:jc w:val="left"/>
        <w:rPr>
          <w:sz w:val="19"/>
        </w:rPr>
      </w:pPr>
      <w:r w:rsidRPr="00C33FD9">
        <w:rPr>
          <w:rFonts w:cstheme="minorHAnsi"/>
          <w:sz w:val="19"/>
          <w:szCs w:val="19"/>
        </w:rPr>
        <w:t>At any time prior to the award of a State-funded grant or during implementation of a State-funded</w:t>
      </w:r>
      <w:r>
        <w:rPr>
          <w:sz w:val="19"/>
        </w:rPr>
        <w:t xml:space="preserve"> grant, an applicant shall notify the State agency or</w:t>
      </w:r>
      <w:r>
        <w:rPr>
          <w:spacing w:val="-24"/>
          <w:sz w:val="19"/>
        </w:rPr>
        <w:t xml:space="preserve"> </w:t>
      </w:r>
      <w:r>
        <w:rPr>
          <w:sz w:val="19"/>
        </w:rPr>
        <w:t>department administering the State-funded grant if the applicant is no longer in good standing with the Agency of Natural Resources or the Agency of Agriculture, Food and Markets.</w:t>
      </w:r>
    </w:p>
    <w:p w:rsidR="006D50B4" w:rsidRDefault="006D50B4" w:rsidP="006D50B4">
      <w:pPr>
        <w:pStyle w:val="ListParagraph"/>
        <w:widowControl w:val="0"/>
        <w:numPr>
          <w:ilvl w:val="0"/>
          <w:numId w:val="3"/>
        </w:numPr>
        <w:tabs>
          <w:tab w:val="left" w:pos="840"/>
          <w:tab w:val="left" w:pos="841"/>
        </w:tabs>
        <w:autoSpaceDE w:val="0"/>
        <w:autoSpaceDN w:val="0"/>
        <w:spacing w:before="119" w:after="0"/>
        <w:contextualSpacing w:val="0"/>
        <w:rPr>
          <w:sz w:val="19"/>
        </w:rPr>
      </w:pPr>
      <w:r>
        <w:rPr>
          <w:sz w:val="19"/>
        </w:rPr>
        <w:t xml:space="preserve">A State agency or department may consider an applicant’s certification or explanation under subsection (b) of this section in determining </w:t>
      </w:r>
      <w:proofErr w:type="gramStart"/>
      <w:r>
        <w:rPr>
          <w:sz w:val="19"/>
        </w:rPr>
        <w:t>whether or not</w:t>
      </w:r>
      <w:proofErr w:type="gramEnd"/>
      <w:r>
        <w:rPr>
          <w:sz w:val="19"/>
        </w:rPr>
        <w:t xml:space="preserve"> to award a State-funded grant to the</w:t>
      </w:r>
      <w:r>
        <w:rPr>
          <w:spacing w:val="-5"/>
          <w:sz w:val="19"/>
        </w:rPr>
        <w:t xml:space="preserve"> </w:t>
      </w:r>
      <w:r>
        <w:rPr>
          <w:sz w:val="19"/>
        </w:rPr>
        <w:t>applicant.</w:t>
      </w:r>
    </w:p>
    <w:p w:rsidR="006D50B4" w:rsidRPr="00C33FD9" w:rsidRDefault="006D50B4" w:rsidP="006D50B4">
      <w:pPr>
        <w:pStyle w:val="ListParagraph"/>
        <w:widowControl w:val="0"/>
        <w:numPr>
          <w:ilvl w:val="0"/>
          <w:numId w:val="3"/>
        </w:numPr>
        <w:tabs>
          <w:tab w:val="left" w:pos="840"/>
          <w:tab w:val="left" w:pos="841"/>
        </w:tabs>
        <w:autoSpaceDE w:val="0"/>
        <w:autoSpaceDN w:val="0"/>
        <w:spacing w:before="160" w:after="0"/>
        <w:ind w:right="10"/>
        <w:contextualSpacing w:val="0"/>
        <w:rPr>
          <w:rFonts w:cstheme="minorHAnsi"/>
          <w:sz w:val="19"/>
          <w:szCs w:val="19"/>
        </w:rPr>
      </w:pPr>
      <w:r w:rsidRPr="00C33FD9">
        <w:rPr>
          <w:sz w:val="19"/>
        </w:rPr>
        <w:t xml:space="preserve">(1) If a State-funded grant applicant knowingly provides a false certification or explanation </w:t>
      </w:r>
      <w:r w:rsidRPr="00C33FD9">
        <w:rPr>
          <w:rFonts w:cstheme="minorHAnsi"/>
          <w:sz w:val="19"/>
          <w:szCs w:val="19"/>
        </w:rPr>
        <w:t>under subsection (b) of this section or fails</w:t>
      </w:r>
      <w:r w:rsidRPr="00C33FD9">
        <w:rPr>
          <w:rFonts w:cstheme="minorHAnsi"/>
          <w:spacing w:val="-22"/>
          <w:sz w:val="19"/>
          <w:szCs w:val="19"/>
        </w:rPr>
        <w:t xml:space="preserve"> </w:t>
      </w:r>
      <w:r w:rsidRPr="00C33FD9">
        <w:rPr>
          <w:rFonts w:cstheme="minorHAnsi"/>
          <w:sz w:val="19"/>
          <w:szCs w:val="19"/>
        </w:rPr>
        <w:t xml:space="preserve">to </w:t>
      </w:r>
    </w:p>
    <w:p w:rsidR="006D50B4" w:rsidRPr="00C33FD9" w:rsidRDefault="006D50B4" w:rsidP="006D50B4">
      <w:pPr>
        <w:pStyle w:val="BodyText"/>
        <w:spacing w:line="259" w:lineRule="auto"/>
        <w:ind w:left="840" w:right="157"/>
        <w:rPr>
          <w:rFonts w:asciiTheme="minorHAnsi" w:hAnsiTheme="minorHAnsi" w:cstheme="minorHAnsi"/>
          <w:sz w:val="19"/>
          <w:szCs w:val="19"/>
        </w:rPr>
      </w:pPr>
      <w:r w:rsidRPr="00C33FD9">
        <w:rPr>
          <w:rFonts w:asciiTheme="minorHAnsi" w:hAnsiTheme="minorHAnsi" w:cstheme="minorHAnsi"/>
          <w:sz w:val="19"/>
          <w:szCs w:val="19"/>
        </w:rPr>
        <w:t xml:space="preserve">notify the State agency or department administering the State-funded grant if the applicant is no longer in good standing with </w:t>
      </w:r>
      <w:r w:rsidRPr="00C33FD9">
        <w:rPr>
          <w:rFonts w:asciiTheme="minorHAnsi" w:hAnsiTheme="minorHAnsi" w:cstheme="minorHAnsi"/>
          <w:sz w:val="19"/>
          <w:szCs w:val="19"/>
        </w:rPr>
        <w:t>the Agency of Natural Resources or the Agency of Agriculture, Food and Markets as required in subdivision (b)(3) of this section, the State or its agencies or departments may:</w:t>
      </w:r>
    </w:p>
    <w:p w:rsidR="006D50B4" w:rsidRPr="00C33FD9" w:rsidRDefault="006D50B4" w:rsidP="006D50B4">
      <w:pPr>
        <w:pStyle w:val="ListParagraph"/>
        <w:widowControl w:val="0"/>
        <w:numPr>
          <w:ilvl w:val="0"/>
          <w:numId w:val="1"/>
        </w:numPr>
        <w:tabs>
          <w:tab w:val="left" w:pos="1870"/>
        </w:tabs>
        <w:autoSpaceDE w:val="0"/>
        <w:autoSpaceDN w:val="0"/>
        <w:spacing w:before="160" w:after="0" w:line="261" w:lineRule="auto"/>
        <w:ind w:right="236" w:firstLine="0"/>
        <w:contextualSpacing w:val="0"/>
        <w:rPr>
          <w:rFonts w:cstheme="minorHAnsi"/>
          <w:sz w:val="19"/>
          <w:szCs w:val="19"/>
        </w:rPr>
      </w:pPr>
      <w:r w:rsidRPr="00C33FD9">
        <w:rPr>
          <w:rFonts w:cstheme="minorHAnsi"/>
          <w:sz w:val="19"/>
          <w:szCs w:val="19"/>
        </w:rPr>
        <w:t>seek to recover the grant award; and</w:t>
      </w:r>
    </w:p>
    <w:p w:rsidR="006D50B4" w:rsidRPr="00C33FD9" w:rsidRDefault="006D50B4" w:rsidP="006D50B4">
      <w:pPr>
        <w:pStyle w:val="ListParagraph"/>
        <w:widowControl w:val="0"/>
        <w:numPr>
          <w:ilvl w:val="0"/>
          <w:numId w:val="1"/>
        </w:numPr>
        <w:tabs>
          <w:tab w:val="left" w:pos="1861"/>
        </w:tabs>
        <w:autoSpaceDE w:val="0"/>
        <w:autoSpaceDN w:val="0"/>
        <w:spacing w:before="155" w:after="0"/>
        <w:ind w:right="172" w:firstLine="0"/>
        <w:contextualSpacing w:val="0"/>
        <w:rPr>
          <w:rFonts w:cstheme="minorHAnsi"/>
          <w:sz w:val="19"/>
          <w:szCs w:val="19"/>
        </w:rPr>
      </w:pPr>
      <w:r w:rsidRPr="00C33FD9">
        <w:rPr>
          <w:rFonts w:cstheme="minorHAnsi"/>
          <w:sz w:val="19"/>
          <w:szCs w:val="19"/>
        </w:rPr>
        <w:t>deny any future grant award to the applicant, based on the false certification or explanation or</w:t>
      </w:r>
      <w:r w:rsidRPr="00C33FD9">
        <w:rPr>
          <w:rFonts w:cstheme="minorHAnsi"/>
          <w:spacing w:val="-12"/>
          <w:sz w:val="19"/>
          <w:szCs w:val="19"/>
        </w:rPr>
        <w:t xml:space="preserve"> </w:t>
      </w:r>
      <w:r w:rsidRPr="00C33FD9">
        <w:rPr>
          <w:rFonts w:cstheme="minorHAnsi"/>
          <w:sz w:val="19"/>
          <w:szCs w:val="19"/>
        </w:rPr>
        <w:t>failure to notify, for up to five</w:t>
      </w:r>
      <w:r w:rsidRPr="00C33FD9">
        <w:rPr>
          <w:rFonts w:cstheme="minorHAnsi"/>
          <w:spacing w:val="-19"/>
          <w:sz w:val="19"/>
          <w:szCs w:val="19"/>
        </w:rPr>
        <w:t xml:space="preserve"> </w:t>
      </w:r>
      <w:r w:rsidRPr="00C33FD9">
        <w:rPr>
          <w:rFonts w:cstheme="minorHAnsi"/>
          <w:sz w:val="19"/>
          <w:szCs w:val="19"/>
        </w:rPr>
        <w:t>years.</w:t>
      </w:r>
    </w:p>
    <w:p w:rsidR="006D50B4" w:rsidRPr="00C33FD9" w:rsidRDefault="006D50B4" w:rsidP="006D50B4">
      <w:pPr>
        <w:pStyle w:val="BodyText"/>
        <w:spacing w:before="160" w:line="259" w:lineRule="auto"/>
        <w:ind w:left="840" w:right="157"/>
        <w:rPr>
          <w:rFonts w:asciiTheme="minorHAnsi" w:hAnsiTheme="minorHAnsi" w:cstheme="minorHAnsi"/>
          <w:sz w:val="19"/>
          <w:szCs w:val="19"/>
        </w:rPr>
      </w:pPr>
      <w:r w:rsidRPr="00C33FD9">
        <w:rPr>
          <w:rFonts w:asciiTheme="minorHAnsi" w:hAnsiTheme="minorHAnsi" w:cstheme="minorHAnsi"/>
          <w:sz w:val="19"/>
          <w:szCs w:val="19"/>
        </w:rPr>
        <w:t>2) In recovering a grant award under this section, the State or its agencies or departments shall be entitled to costs and expenses, including attorney’s fees.</w:t>
      </w:r>
    </w:p>
    <w:p w:rsidR="006D50B4" w:rsidRPr="00C33FD9" w:rsidRDefault="006D50B4" w:rsidP="006D50B4">
      <w:pPr>
        <w:pStyle w:val="ListParagraph"/>
        <w:widowControl w:val="0"/>
        <w:numPr>
          <w:ilvl w:val="0"/>
          <w:numId w:val="3"/>
        </w:numPr>
        <w:tabs>
          <w:tab w:val="left" w:pos="840"/>
          <w:tab w:val="left" w:pos="841"/>
        </w:tabs>
        <w:autoSpaceDE w:val="0"/>
        <w:autoSpaceDN w:val="0"/>
        <w:spacing w:before="160" w:after="0"/>
        <w:ind w:right="114"/>
        <w:contextualSpacing w:val="0"/>
        <w:rPr>
          <w:rFonts w:cstheme="minorHAnsi"/>
          <w:sz w:val="19"/>
          <w:szCs w:val="19"/>
        </w:rPr>
      </w:pPr>
      <w:r w:rsidRPr="00C33FD9">
        <w:rPr>
          <w:rFonts w:cstheme="minorHAnsi"/>
          <w:sz w:val="19"/>
          <w:szCs w:val="19"/>
        </w:rPr>
        <w:t>This section shall not apply to federally funded grants, contracts, or tax credits or federal or State loan</w:t>
      </w:r>
      <w:r w:rsidRPr="00C33FD9">
        <w:rPr>
          <w:rFonts w:cstheme="minorHAnsi"/>
          <w:spacing w:val="-8"/>
          <w:sz w:val="19"/>
          <w:szCs w:val="19"/>
        </w:rPr>
        <w:t xml:space="preserve"> </w:t>
      </w:r>
      <w:r w:rsidRPr="00C33FD9">
        <w:rPr>
          <w:rFonts w:cstheme="minorHAnsi"/>
          <w:sz w:val="19"/>
          <w:szCs w:val="19"/>
        </w:rPr>
        <w:t>programs.</w:t>
      </w:r>
    </w:p>
    <w:p w:rsidR="006D50B4" w:rsidRPr="00C33FD9" w:rsidRDefault="006D50B4" w:rsidP="006D50B4">
      <w:pPr>
        <w:pStyle w:val="ListParagraph"/>
        <w:widowControl w:val="0"/>
        <w:numPr>
          <w:ilvl w:val="0"/>
          <w:numId w:val="3"/>
        </w:numPr>
        <w:tabs>
          <w:tab w:val="left" w:pos="840"/>
          <w:tab w:val="left" w:pos="841"/>
        </w:tabs>
        <w:autoSpaceDE w:val="0"/>
        <w:autoSpaceDN w:val="0"/>
        <w:spacing w:before="160" w:after="0"/>
        <w:ind w:right="167"/>
        <w:contextualSpacing w:val="0"/>
        <w:rPr>
          <w:rFonts w:cstheme="minorHAnsi"/>
          <w:sz w:val="19"/>
          <w:szCs w:val="19"/>
        </w:rPr>
      </w:pPr>
      <w:r w:rsidRPr="00C33FD9">
        <w:rPr>
          <w:rFonts w:cstheme="minorHAnsi"/>
          <w:sz w:val="19"/>
          <w:szCs w:val="19"/>
        </w:rPr>
        <w:t>On or before January 15, 2021, the Secretary of Administration shall submit a report to the House Committees on Fish, Wildlife and Water Resources and on Commerce and Economic Development and the Senate Committees on Natural Resources and Energy and on Economic Development, Housing and General Affairs regarding methods to require all economic development assistance applications to include a certification that the applicant is not in violation of the requirements of programs enforced by the Agency of Natural Resources under 10</w:t>
      </w:r>
      <w:r w:rsidRPr="00C33FD9">
        <w:rPr>
          <w:rFonts w:cstheme="minorHAnsi"/>
          <w:spacing w:val="-16"/>
          <w:sz w:val="19"/>
          <w:szCs w:val="19"/>
        </w:rPr>
        <w:t xml:space="preserve"> </w:t>
      </w:r>
      <w:r w:rsidRPr="00C33FD9">
        <w:rPr>
          <w:rFonts w:cstheme="minorHAnsi"/>
          <w:sz w:val="19"/>
          <w:szCs w:val="19"/>
        </w:rPr>
        <w:t>V.S.A.</w:t>
      </w:r>
    </w:p>
    <w:p w:rsidR="006D50B4" w:rsidRPr="00C33FD9" w:rsidRDefault="006D50B4" w:rsidP="006D50B4">
      <w:pPr>
        <w:pStyle w:val="BodyText"/>
        <w:spacing w:line="259" w:lineRule="auto"/>
        <w:ind w:left="840" w:right="94"/>
        <w:rPr>
          <w:rFonts w:asciiTheme="minorHAnsi" w:hAnsiTheme="minorHAnsi" w:cstheme="minorHAnsi"/>
          <w:sz w:val="19"/>
          <w:szCs w:val="19"/>
        </w:rPr>
        <w:sectPr w:rsidR="006D50B4" w:rsidRPr="00C33FD9">
          <w:type w:val="continuous"/>
          <w:pgSz w:w="12240" w:h="15840"/>
          <w:pgMar w:top="560" w:right="1340" w:bottom="280" w:left="1320" w:header="720" w:footer="720" w:gutter="0"/>
          <w:cols w:num="2" w:space="720" w:equalWidth="0">
            <w:col w:w="4441" w:space="600"/>
            <w:col w:w="4539"/>
          </w:cols>
        </w:sectPr>
      </w:pPr>
      <w:r w:rsidRPr="00C33FD9">
        <w:rPr>
          <w:rFonts w:asciiTheme="minorHAnsi" w:hAnsiTheme="minorHAnsi" w:cstheme="minorHAnsi"/>
          <w:sz w:val="19"/>
          <w:szCs w:val="19"/>
        </w:rPr>
        <w:t>§ 8003(a). The report shall also include information regarding any enforcement action taken by the State or its agencies or departments under subsection (d) of this section</w:t>
      </w:r>
      <w:r>
        <w:rPr>
          <w:rFonts w:asciiTheme="minorHAnsi" w:hAnsiTheme="minorHAnsi" w:cstheme="minorHAnsi"/>
          <w:sz w:val="19"/>
          <w:szCs w:val="19"/>
        </w:rPr>
        <w:t>.</w:t>
      </w:r>
    </w:p>
    <w:p w:rsidR="006D50B4" w:rsidRPr="00864A36" w:rsidRDefault="006D50B4" w:rsidP="006D50B4">
      <w:pPr>
        <w:pStyle w:val="Header"/>
        <w:tabs>
          <w:tab w:val="left" w:pos="7635"/>
        </w:tabs>
        <w:rPr>
          <w:rFonts w:ascii="Arial" w:hAnsi="Arial" w:cs="Arial"/>
          <w:b/>
          <w:bCs/>
        </w:rPr>
      </w:pPr>
    </w:p>
    <w:p w:rsidR="007B2D29" w:rsidRDefault="007B2D29">
      <w:bookmarkStart w:id="0" w:name="_GoBack"/>
      <w:bookmarkEnd w:id="0"/>
    </w:p>
    <w:sectPr w:rsidR="007B2D29">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090142"/>
      <w:docPartObj>
        <w:docPartGallery w:val="Page Numbers (Bottom of Page)"/>
        <w:docPartUnique/>
      </w:docPartObj>
    </w:sdtPr>
    <w:sdtEndPr/>
    <w:sdtContent>
      <w:sdt>
        <w:sdtPr>
          <w:id w:val="1728636285"/>
          <w:docPartObj>
            <w:docPartGallery w:val="Page Numbers (Top of Page)"/>
            <w:docPartUnique/>
          </w:docPartObj>
        </w:sdtPr>
        <w:sdtEndPr/>
        <w:sdtContent>
          <w:p w:rsidR="005E31C1" w:rsidRDefault="006D50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rsidR="005E31C1" w:rsidRDefault="006D50B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6F9A"/>
    <w:multiLevelType w:val="hybridMultilevel"/>
    <w:tmpl w:val="540A6E94"/>
    <w:lvl w:ilvl="0" w:tplc="B046DFE2">
      <w:start w:val="1"/>
      <w:numFmt w:val="lowerLetter"/>
      <w:lvlText w:val="(%1)"/>
      <w:lvlJc w:val="left"/>
      <w:pPr>
        <w:ind w:left="840" w:hanging="720"/>
      </w:pPr>
      <w:rPr>
        <w:rFonts w:ascii="Times New Roman" w:eastAsia="Times New Roman" w:hAnsi="Times New Roman" w:cs="Times New Roman" w:hint="default"/>
        <w:spacing w:val="-1"/>
        <w:w w:val="99"/>
        <w:sz w:val="19"/>
        <w:szCs w:val="19"/>
      </w:rPr>
    </w:lvl>
    <w:lvl w:ilvl="1" w:tplc="6D468EB8">
      <w:start w:val="1"/>
      <w:numFmt w:val="decimal"/>
      <w:lvlText w:val="(%2)"/>
      <w:lvlJc w:val="left"/>
      <w:pPr>
        <w:ind w:left="840" w:hanging="269"/>
      </w:pPr>
      <w:rPr>
        <w:rFonts w:ascii="Times New Roman" w:eastAsia="Times New Roman" w:hAnsi="Times New Roman" w:cs="Times New Roman" w:hint="default"/>
        <w:spacing w:val="-1"/>
        <w:w w:val="99"/>
        <w:sz w:val="19"/>
        <w:szCs w:val="19"/>
      </w:rPr>
    </w:lvl>
    <w:lvl w:ilvl="2" w:tplc="A8846BBC">
      <w:start w:val="1"/>
      <w:numFmt w:val="upperLetter"/>
      <w:lvlText w:val="(%3)"/>
      <w:lvlJc w:val="left"/>
      <w:pPr>
        <w:ind w:left="1560" w:hanging="310"/>
      </w:pPr>
      <w:rPr>
        <w:rFonts w:ascii="Times New Roman" w:eastAsia="Times New Roman" w:hAnsi="Times New Roman" w:cs="Times New Roman" w:hint="default"/>
        <w:spacing w:val="-1"/>
        <w:w w:val="99"/>
        <w:sz w:val="19"/>
        <w:szCs w:val="19"/>
      </w:rPr>
    </w:lvl>
    <w:lvl w:ilvl="3" w:tplc="A17CB16A">
      <w:numFmt w:val="bullet"/>
      <w:lvlText w:val="•"/>
      <w:lvlJc w:val="left"/>
      <w:pPr>
        <w:ind w:left="2200" w:hanging="310"/>
      </w:pPr>
      <w:rPr>
        <w:rFonts w:hint="default"/>
      </w:rPr>
    </w:lvl>
    <w:lvl w:ilvl="4" w:tplc="E09C595A">
      <w:numFmt w:val="bullet"/>
      <w:lvlText w:val="•"/>
      <w:lvlJc w:val="left"/>
      <w:pPr>
        <w:ind w:left="2520" w:hanging="310"/>
      </w:pPr>
      <w:rPr>
        <w:rFonts w:hint="default"/>
      </w:rPr>
    </w:lvl>
    <w:lvl w:ilvl="5" w:tplc="2A52E686">
      <w:numFmt w:val="bullet"/>
      <w:lvlText w:val="•"/>
      <w:lvlJc w:val="left"/>
      <w:pPr>
        <w:ind w:left="2840" w:hanging="310"/>
      </w:pPr>
      <w:rPr>
        <w:rFonts w:hint="default"/>
      </w:rPr>
    </w:lvl>
    <w:lvl w:ilvl="6" w:tplc="41885636">
      <w:numFmt w:val="bullet"/>
      <w:lvlText w:val="•"/>
      <w:lvlJc w:val="left"/>
      <w:pPr>
        <w:ind w:left="3160" w:hanging="310"/>
      </w:pPr>
      <w:rPr>
        <w:rFonts w:hint="default"/>
      </w:rPr>
    </w:lvl>
    <w:lvl w:ilvl="7" w:tplc="E884BF60">
      <w:numFmt w:val="bullet"/>
      <w:lvlText w:val="•"/>
      <w:lvlJc w:val="left"/>
      <w:pPr>
        <w:ind w:left="3480" w:hanging="310"/>
      </w:pPr>
      <w:rPr>
        <w:rFonts w:hint="default"/>
      </w:rPr>
    </w:lvl>
    <w:lvl w:ilvl="8" w:tplc="53262F32">
      <w:numFmt w:val="bullet"/>
      <w:lvlText w:val="•"/>
      <w:lvlJc w:val="left"/>
      <w:pPr>
        <w:ind w:left="3800" w:hanging="310"/>
      </w:pPr>
      <w:rPr>
        <w:rFonts w:hint="default"/>
      </w:rPr>
    </w:lvl>
  </w:abstractNum>
  <w:abstractNum w:abstractNumId="1" w15:restartNumberingAfterBreak="0">
    <w:nsid w:val="4DB605CE"/>
    <w:multiLevelType w:val="hybridMultilevel"/>
    <w:tmpl w:val="B48E510E"/>
    <w:lvl w:ilvl="0" w:tplc="DDA21FE0">
      <w:start w:val="1"/>
      <w:numFmt w:val="upperLetter"/>
      <w:lvlText w:val="(%1)"/>
      <w:lvlJc w:val="left"/>
      <w:pPr>
        <w:ind w:left="1560" w:hanging="310"/>
      </w:pPr>
      <w:rPr>
        <w:rFonts w:ascii="Times New Roman" w:eastAsia="Times New Roman" w:hAnsi="Times New Roman" w:cs="Times New Roman" w:hint="default"/>
        <w:spacing w:val="-1"/>
        <w:w w:val="99"/>
        <w:sz w:val="19"/>
        <w:szCs w:val="19"/>
      </w:rPr>
    </w:lvl>
    <w:lvl w:ilvl="1" w:tplc="5F2C8130">
      <w:numFmt w:val="bullet"/>
      <w:lvlText w:val="•"/>
      <w:lvlJc w:val="left"/>
      <w:pPr>
        <w:ind w:left="1857" w:hanging="310"/>
      </w:pPr>
      <w:rPr>
        <w:rFonts w:hint="default"/>
      </w:rPr>
    </w:lvl>
    <w:lvl w:ilvl="2" w:tplc="92707E56">
      <w:numFmt w:val="bullet"/>
      <w:lvlText w:val="•"/>
      <w:lvlJc w:val="left"/>
      <w:pPr>
        <w:ind w:left="2155" w:hanging="310"/>
      </w:pPr>
      <w:rPr>
        <w:rFonts w:hint="default"/>
      </w:rPr>
    </w:lvl>
    <w:lvl w:ilvl="3" w:tplc="1E32AD52">
      <w:numFmt w:val="bullet"/>
      <w:lvlText w:val="•"/>
      <w:lvlJc w:val="left"/>
      <w:pPr>
        <w:ind w:left="2453" w:hanging="310"/>
      </w:pPr>
      <w:rPr>
        <w:rFonts w:hint="default"/>
      </w:rPr>
    </w:lvl>
    <w:lvl w:ilvl="4" w:tplc="A9942678">
      <w:numFmt w:val="bullet"/>
      <w:lvlText w:val="•"/>
      <w:lvlJc w:val="left"/>
      <w:pPr>
        <w:ind w:left="2751" w:hanging="310"/>
      </w:pPr>
      <w:rPr>
        <w:rFonts w:hint="default"/>
      </w:rPr>
    </w:lvl>
    <w:lvl w:ilvl="5" w:tplc="33ACDD3C">
      <w:numFmt w:val="bullet"/>
      <w:lvlText w:val="•"/>
      <w:lvlJc w:val="left"/>
      <w:pPr>
        <w:ind w:left="3049" w:hanging="310"/>
      </w:pPr>
      <w:rPr>
        <w:rFonts w:hint="default"/>
      </w:rPr>
    </w:lvl>
    <w:lvl w:ilvl="6" w:tplc="F3BE7DC2">
      <w:numFmt w:val="bullet"/>
      <w:lvlText w:val="•"/>
      <w:lvlJc w:val="left"/>
      <w:pPr>
        <w:ind w:left="3347" w:hanging="310"/>
      </w:pPr>
      <w:rPr>
        <w:rFonts w:hint="default"/>
      </w:rPr>
    </w:lvl>
    <w:lvl w:ilvl="7" w:tplc="2272BE04">
      <w:numFmt w:val="bullet"/>
      <w:lvlText w:val="•"/>
      <w:lvlJc w:val="left"/>
      <w:pPr>
        <w:ind w:left="3645" w:hanging="310"/>
      </w:pPr>
      <w:rPr>
        <w:rFonts w:hint="default"/>
      </w:rPr>
    </w:lvl>
    <w:lvl w:ilvl="8" w:tplc="3DAEB934">
      <w:numFmt w:val="bullet"/>
      <w:lvlText w:val="•"/>
      <w:lvlJc w:val="left"/>
      <w:pPr>
        <w:ind w:left="3943" w:hanging="310"/>
      </w:pPr>
      <w:rPr>
        <w:rFonts w:hint="default"/>
      </w:rPr>
    </w:lvl>
  </w:abstractNum>
  <w:abstractNum w:abstractNumId="2" w15:restartNumberingAfterBreak="0">
    <w:nsid w:val="52B54040"/>
    <w:multiLevelType w:val="hybridMultilevel"/>
    <w:tmpl w:val="34A039E4"/>
    <w:lvl w:ilvl="0" w:tplc="3446C052">
      <w:start w:val="2"/>
      <w:numFmt w:val="decimal"/>
      <w:lvlText w:val="(%1)"/>
      <w:lvlJc w:val="left"/>
      <w:pPr>
        <w:ind w:left="840" w:hanging="269"/>
        <w:jc w:val="right"/>
      </w:pPr>
      <w:rPr>
        <w:rFonts w:ascii="Times New Roman" w:eastAsia="Times New Roman" w:hAnsi="Times New Roman" w:cs="Times New Roman" w:hint="default"/>
        <w:spacing w:val="-1"/>
        <w:w w:val="99"/>
        <w:sz w:val="19"/>
        <w:szCs w:val="19"/>
      </w:rPr>
    </w:lvl>
    <w:lvl w:ilvl="1" w:tplc="C0B808EC">
      <w:numFmt w:val="bullet"/>
      <w:lvlText w:val="•"/>
      <w:lvlJc w:val="left"/>
      <w:pPr>
        <w:ind w:left="1200" w:hanging="269"/>
      </w:pPr>
      <w:rPr>
        <w:rFonts w:hint="default"/>
      </w:rPr>
    </w:lvl>
    <w:lvl w:ilvl="2" w:tplc="A7A61F3A">
      <w:numFmt w:val="bullet"/>
      <w:lvlText w:val="•"/>
      <w:lvlJc w:val="left"/>
      <w:pPr>
        <w:ind w:left="1560" w:hanging="269"/>
      </w:pPr>
      <w:rPr>
        <w:rFonts w:hint="default"/>
      </w:rPr>
    </w:lvl>
    <w:lvl w:ilvl="3" w:tplc="469AD478">
      <w:numFmt w:val="bullet"/>
      <w:lvlText w:val="•"/>
      <w:lvlJc w:val="left"/>
      <w:pPr>
        <w:ind w:left="1920" w:hanging="269"/>
      </w:pPr>
      <w:rPr>
        <w:rFonts w:hint="default"/>
      </w:rPr>
    </w:lvl>
    <w:lvl w:ilvl="4" w:tplc="8846784C">
      <w:numFmt w:val="bullet"/>
      <w:lvlText w:val="•"/>
      <w:lvlJc w:val="left"/>
      <w:pPr>
        <w:ind w:left="2280" w:hanging="269"/>
      </w:pPr>
      <w:rPr>
        <w:rFonts w:hint="default"/>
      </w:rPr>
    </w:lvl>
    <w:lvl w:ilvl="5" w:tplc="587E4182">
      <w:numFmt w:val="bullet"/>
      <w:lvlText w:val="•"/>
      <w:lvlJc w:val="left"/>
      <w:pPr>
        <w:ind w:left="2640" w:hanging="269"/>
      </w:pPr>
      <w:rPr>
        <w:rFonts w:hint="default"/>
      </w:rPr>
    </w:lvl>
    <w:lvl w:ilvl="6" w:tplc="A6F820EE">
      <w:numFmt w:val="bullet"/>
      <w:lvlText w:val="•"/>
      <w:lvlJc w:val="left"/>
      <w:pPr>
        <w:ind w:left="3000" w:hanging="269"/>
      </w:pPr>
      <w:rPr>
        <w:rFonts w:hint="default"/>
      </w:rPr>
    </w:lvl>
    <w:lvl w:ilvl="7" w:tplc="8B387BB4">
      <w:numFmt w:val="bullet"/>
      <w:lvlText w:val="•"/>
      <w:lvlJc w:val="left"/>
      <w:pPr>
        <w:ind w:left="3360" w:hanging="269"/>
      </w:pPr>
      <w:rPr>
        <w:rFonts w:hint="default"/>
      </w:rPr>
    </w:lvl>
    <w:lvl w:ilvl="8" w:tplc="36523E08">
      <w:numFmt w:val="bullet"/>
      <w:lvlText w:val="•"/>
      <w:lvlJc w:val="left"/>
      <w:pPr>
        <w:ind w:left="3720" w:hanging="26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B4"/>
    <w:rsid w:val="006D50B4"/>
    <w:rsid w:val="007B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0AAA5-3AFD-4B40-864F-2437BFB8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0B4"/>
  </w:style>
  <w:style w:type="paragraph" w:styleId="Heading1">
    <w:name w:val="heading 1"/>
    <w:basedOn w:val="Normal"/>
    <w:link w:val="Heading1Char"/>
    <w:uiPriority w:val="1"/>
    <w:qFormat/>
    <w:rsid w:val="006D50B4"/>
    <w:pPr>
      <w:widowControl w:val="0"/>
      <w:spacing w:after="0" w:line="240" w:lineRule="auto"/>
      <w:ind w:left="46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nhideWhenUsed/>
    <w:qFormat/>
    <w:rsid w:val="006D50B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50B4"/>
    <w:rPr>
      <w:rFonts w:ascii="Times New Roman" w:eastAsia="Times New Roman" w:hAnsi="Times New Roman"/>
      <w:b/>
      <w:bCs/>
      <w:sz w:val="24"/>
      <w:szCs w:val="24"/>
    </w:rPr>
  </w:style>
  <w:style w:type="character" w:customStyle="1" w:styleId="Heading2Char">
    <w:name w:val="Heading 2 Char"/>
    <w:basedOn w:val="DefaultParagraphFont"/>
    <w:link w:val="Heading2"/>
    <w:rsid w:val="006D50B4"/>
    <w:rPr>
      <w:rFonts w:ascii="Cambria" w:eastAsia="Times New Roman" w:hAnsi="Cambria" w:cs="Times New Roman"/>
      <w:b/>
      <w:bCs/>
      <w:i/>
      <w:iCs/>
      <w:sz w:val="28"/>
      <w:szCs w:val="28"/>
    </w:rPr>
  </w:style>
  <w:style w:type="paragraph" w:styleId="ListParagraph">
    <w:name w:val="List Paragraph"/>
    <w:basedOn w:val="Normal"/>
    <w:uiPriority w:val="34"/>
    <w:qFormat/>
    <w:rsid w:val="006D50B4"/>
    <w:pPr>
      <w:ind w:left="720"/>
      <w:contextualSpacing/>
    </w:pPr>
  </w:style>
  <w:style w:type="paragraph" w:styleId="Header">
    <w:name w:val="header"/>
    <w:basedOn w:val="Normal"/>
    <w:link w:val="HeaderChar"/>
    <w:unhideWhenUsed/>
    <w:rsid w:val="006D50B4"/>
    <w:pPr>
      <w:tabs>
        <w:tab w:val="center" w:pos="4680"/>
        <w:tab w:val="right" w:pos="9360"/>
      </w:tabs>
      <w:spacing w:after="0" w:line="240" w:lineRule="auto"/>
    </w:pPr>
  </w:style>
  <w:style w:type="character" w:customStyle="1" w:styleId="HeaderChar">
    <w:name w:val="Header Char"/>
    <w:basedOn w:val="DefaultParagraphFont"/>
    <w:link w:val="Header"/>
    <w:rsid w:val="006D50B4"/>
  </w:style>
  <w:style w:type="paragraph" w:styleId="Footer">
    <w:name w:val="footer"/>
    <w:basedOn w:val="Normal"/>
    <w:link w:val="FooterChar"/>
    <w:uiPriority w:val="99"/>
    <w:unhideWhenUsed/>
    <w:rsid w:val="006D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0B4"/>
  </w:style>
  <w:style w:type="paragraph" w:styleId="BodyText">
    <w:name w:val="Body Text"/>
    <w:basedOn w:val="Normal"/>
    <w:link w:val="BodyTextChar"/>
    <w:uiPriority w:val="1"/>
    <w:qFormat/>
    <w:rsid w:val="006D50B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D50B4"/>
    <w:rPr>
      <w:rFonts w:ascii="Times New Roman" w:eastAsia="Times New Roman" w:hAnsi="Times New Roman"/>
      <w:sz w:val="24"/>
      <w:szCs w:val="24"/>
    </w:rPr>
  </w:style>
  <w:style w:type="paragraph" w:customStyle="1" w:styleId="TableParagraph">
    <w:name w:val="Table Paragraph"/>
    <w:basedOn w:val="Normal"/>
    <w:uiPriority w:val="1"/>
    <w:qFormat/>
    <w:rsid w:val="006D50B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finance.vermont.gov/sites/finance/files/documents/Forms/Grant_Recipients/FIN-Act_154_Section_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Suryanarayana, Shalini</dc:creator>
  <cp:keywords/>
  <dc:description/>
  <cp:lastModifiedBy>Suryanarayana, Shalini</cp:lastModifiedBy>
  <cp:revision>1</cp:revision>
  <dcterms:created xsi:type="dcterms:W3CDTF">2018-11-16T21:33:00Z</dcterms:created>
  <dcterms:modified xsi:type="dcterms:W3CDTF">2018-11-16T21:33:00Z</dcterms:modified>
</cp:coreProperties>
</file>