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78" w:rsidRDefault="00570278" w:rsidP="00570278">
      <w:pPr>
        <w:jc w:val="center"/>
        <w:rPr>
          <w:sz w:val="40"/>
        </w:rPr>
      </w:pPr>
    </w:p>
    <w:p w:rsidR="00570278" w:rsidRDefault="00570278" w:rsidP="00570278">
      <w:pPr>
        <w:jc w:val="center"/>
        <w:rPr>
          <w:sz w:val="40"/>
        </w:rPr>
      </w:pPr>
    </w:p>
    <w:p w:rsidR="00570278" w:rsidRDefault="00570278" w:rsidP="00570278">
      <w:pPr>
        <w:jc w:val="center"/>
        <w:rPr>
          <w:sz w:val="40"/>
        </w:rPr>
      </w:pPr>
    </w:p>
    <w:p w:rsidR="00570278" w:rsidRDefault="00570278" w:rsidP="00570278">
      <w:pPr>
        <w:jc w:val="center"/>
        <w:rPr>
          <w:sz w:val="40"/>
        </w:rPr>
      </w:pPr>
      <w:r w:rsidRPr="00570278">
        <w:rPr>
          <w:sz w:val="40"/>
        </w:rPr>
        <w:t xml:space="preserve">Analysis of Temporal Trends in Water Quality </w:t>
      </w:r>
    </w:p>
    <w:p w:rsidR="00884987" w:rsidRPr="00570278" w:rsidRDefault="00570278" w:rsidP="00570278">
      <w:pPr>
        <w:jc w:val="center"/>
        <w:rPr>
          <w:sz w:val="40"/>
        </w:rPr>
      </w:pPr>
      <w:proofErr w:type="gramStart"/>
      <w:r w:rsidRPr="00570278">
        <w:rPr>
          <w:sz w:val="40"/>
        </w:rPr>
        <w:t>at</w:t>
      </w:r>
      <w:proofErr w:type="gramEnd"/>
      <w:r w:rsidRPr="00570278">
        <w:rPr>
          <w:sz w:val="40"/>
        </w:rPr>
        <w:t xml:space="preserve"> Sentinel Stations in the Lewis Creek watershed</w:t>
      </w:r>
    </w:p>
    <w:p w:rsidR="00570278" w:rsidRDefault="00570278"/>
    <w:p w:rsidR="00570278" w:rsidRPr="00FF66FA" w:rsidRDefault="00532595" w:rsidP="00570278">
      <w:pPr>
        <w:jc w:val="center"/>
        <w:rPr>
          <w:rFonts w:ascii="Calibri" w:hAnsi="Calibri"/>
        </w:rPr>
      </w:pPr>
      <w:r>
        <w:rPr>
          <w:rFonts w:ascii="Calibri" w:hAnsi="Calibri"/>
          <w:sz w:val="28"/>
        </w:rPr>
        <w:t>31</w:t>
      </w:r>
      <w:r w:rsidR="00570278" w:rsidRPr="00570278">
        <w:rPr>
          <w:rFonts w:ascii="Calibri" w:hAnsi="Calibri"/>
          <w:sz w:val="28"/>
        </w:rPr>
        <w:t xml:space="preserve"> </w:t>
      </w:r>
      <w:r>
        <w:rPr>
          <w:rFonts w:ascii="Calibri" w:hAnsi="Calibri"/>
          <w:sz w:val="28"/>
        </w:rPr>
        <w:t>October</w:t>
      </w:r>
      <w:r w:rsidR="00570278" w:rsidRPr="00570278">
        <w:rPr>
          <w:rFonts w:ascii="Calibri" w:hAnsi="Calibri"/>
          <w:sz w:val="28"/>
        </w:rPr>
        <w:t xml:space="preserve"> 2017</w:t>
      </w:r>
    </w:p>
    <w:p w:rsidR="00570278" w:rsidRDefault="00570278" w:rsidP="00570278">
      <w:pPr>
        <w:jc w:val="center"/>
        <w:rPr>
          <w:rFonts w:ascii="Calibri" w:hAnsi="Calibri"/>
        </w:rPr>
      </w:pPr>
    </w:p>
    <w:p w:rsidR="00532595" w:rsidRDefault="00532595" w:rsidP="00570278">
      <w:pPr>
        <w:jc w:val="center"/>
        <w:rPr>
          <w:rFonts w:ascii="Calibri" w:hAnsi="Calibri"/>
        </w:rPr>
      </w:pPr>
    </w:p>
    <w:p w:rsidR="00532595" w:rsidRDefault="00532595" w:rsidP="00570278">
      <w:pPr>
        <w:jc w:val="center"/>
        <w:rPr>
          <w:rFonts w:ascii="Calibri" w:hAnsi="Calibri"/>
        </w:rPr>
      </w:pPr>
    </w:p>
    <w:p w:rsidR="00570278" w:rsidRDefault="00570278" w:rsidP="00570278">
      <w:pPr>
        <w:jc w:val="center"/>
        <w:rPr>
          <w:rFonts w:ascii="Calibri" w:hAnsi="Calibri"/>
        </w:rPr>
      </w:pPr>
    </w:p>
    <w:p w:rsidR="00570278" w:rsidRDefault="00570278" w:rsidP="00570278">
      <w:pPr>
        <w:jc w:val="center"/>
        <w:rPr>
          <w:rFonts w:ascii="Calibri" w:hAnsi="Calibri"/>
        </w:rPr>
      </w:pPr>
    </w:p>
    <w:p w:rsidR="00570278" w:rsidRPr="00FF66FA" w:rsidRDefault="00570278" w:rsidP="00570278">
      <w:pPr>
        <w:jc w:val="center"/>
        <w:rPr>
          <w:rFonts w:ascii="Calibri" w:hAnsi="Calibri"/>
        </w:rPr>
      </w:pPr>
    </w:p>
    <w:p w:rsidR="00570278" w:rsidRPr="00570278" w:rsidRDefault="00570278" w:rsidP="00570278">
      <w:pPr>
        <w:ind w:left="1440"/>
        <w:rPr>
          <w:rFonts w:ascii="Calibri" w:hAnsi="Calibri"/>
          <w:sz w:val="24"/>
        </w:rPr>
      </w:pPr>
      <w:r w:rsidRPr="00570278">
        <w:rPr>
          <w:rFonts w:ascii="Calibri" w:hAnsi="Calibri"/>
          <w:sz w:val="24"/>
        </w:rPr>
        <w:t>Prepared by:</w:t>
      </w:r>
    </w:p>
    <w:p w:rsidR="00570278" w:rsidRPr="00570278" w:rsidRDefault="00570278" w:rsidP="00570278">
      <w:pPr>
        <w:spacing w:after="0" w:line="276" w:lineRule="auto"/>
        <w:ind w:left="1440"/>
        <w:rPr>
          <w:rFonts w:ascii="Calibri" w:hAnsi="Calibri"/>
          <w:sz w:val="24"/>
        </w:rPr>
      </w:pPr>
      <w:r w:rsidRPr="00570278">
        <w:rPr>
          <w:rFonts w:ascii="Calibri" w:hAnsi="Calibri"/>
          <w:sz w:val="24"/>
        </w:rPr>
        <w:t xml:space="preserve">Kristen </w:t>
      </w:r>
      <w:r>
        <w:rPr>
          <w:rFonts w:ascii="Calibri" w:hAnsi="Calibri"/>
          <w:sz w:val="24"/>
        </w:rPr>
        <w:t xml:space="preserve">L. </w:t>
      </w:r>
      <w:r w:rsidRPr="00570278">
        <w:rPr>
          <w:rFonts w:ascii="Calibri" w:hAnsi="Calibri"/>
          <w:sz w:val="24"/>
        </w:rPr>
        <w:t>Underwood</w:t>
      </w:r>
      <w:r>
        <w:rPr>
          <w:rFonts w:ascii="Calibri" w:hAnsi="Calibri"/>
          <w:sz w:val="24"/>
        </w:rPr>
        <w:t>, PG</w:t>
      </w:r>
    </w:p>
    <w:p w:rsidR="00570278" w:rsidRDefault="00570278" w:rsidP="00570278">
      <w:pPr>
        <w:spacing w:after="0" w:line="276" w:lineRule="auto"/>
        <w:ind w:left="1440"/>
        <w:rPr>
          <w:rFonts w:ascii="Calibri" w:hAnsi="Calibri"/>
          <w:sz w:val="24"/>
        </w:rPr>
      </w:pPr>
      <w:r w:rsidRPr="00570278">
        <w:rPr>
          <w:rFonts w:ascii="Calibri" w:hAnsi="Calibri"/>
          <w:sz w:val="24"/>
        </w:rPr>
        <w:t>South Mountain Research &amp; Consulting</w:t>
      </w:r>
    </w:p>
    <w:p w:rsidR="00570278" w:rsidRPr="00570278" w:rsidRDefault="00570278" w:rsidP="00570278">
      <w:pPr>
        <w:spacing w:after="0" w:line="276" w:lineRule="auto"/>
        <w:ind w:left="1440"/>
        <w:rPr>
          <w:rFonts w:ascii="Calibri" w:hAnsi="Calibri"/>
          <w:sz w:val="24"/>
        </w:rPr>
      </w:pPr>
      <w:r>
        <w:rPr>
          <w:rFonts w:ascii="Calibri" w:hAnsi="Calibri"/>
          <w:sz w:val="24"/>
        </w:rPr>
        <w:t>Bristol, VT</w:t>
      </w:r>
    </w:p>
    <w:p w:rsidR="00570278" w:rsidRPr="00570278" w:rsidRDefault="00570278" w:rsidP="00570278">
      <w:pPr>
        <w:ind w:left="1440"/>
        <w:rPr>
          <w:rFonts w:ascii="Calibri" w:hAnsi="Calibri"/>
          <w:sz w:val="24"/>
        </w:rPr>
      </w:pPr>
    </w:p>
    <w:p w:rsidR="00570278" w:rsidRPr="00570278" w:rsidRDefault="00570278" w:rsidP="00570278">
      <w:pPr>
        <w:ind w:left="1440"/>
        <w:rPr>
          <w:rFonts w:ascii="Calibri" w:hAnsi="Calibri"/>
          <w:sz w:val="24"/>
        </w:rPr>
      </w:pPr>
      <w:r w:rsidRPr="00570278">
        <w:rPr>
          <w:rFonts w:ascii="Calibri" w:hAnsi="Calibri"/>
          <w:sz w:val="24"/>
        </w:rPr>
        <w:t>Prepared under contract to:</w:t>
      </w:r>
    </w:p>
    <w:p w:rsidR="00570278" w:rsidRPr="00570278" w:rsidRDefault="00570278" w:rsidP="00570278">
      <w:pPr>
        <w:spacing w:after="0" w:line="276" w:lineRule="auto"/>
        <w:ind w:left="1440"/>
        <w:rPr>
          <w:rFonts w:ascii="Calibri" w:hAnsi="Calibri"/>
          <w:sz w:val="24"/>
        </w:rPr>
      </w:pPr>
      <w:r w:rsidRPr="00570278">
        <w:rPr>
          <w:rFonts w:ascii="Calibri" w:hAnsi="Calibri"/>
          <w:sz w:val="24"/>
        </w:rPr>
        <w:t>VT Agency of Natural Resources</w:t>
      </w:r>
    </w:p>
    <w:p w:rsidR="00570278" w:rsidRPr="00570278" w:rsidRDefault="00570278" w:rsidP="00570278">
      <w:pPr>
        <w:spacing w:after="0" w:line="276" w:lineRule="auto"/>
        <w:ind w:left="1440"/>
        <w:rPr>
          <w:rFonts w:ascii="Calibri" w:hAnsi="Calibri"/>
          <w:sz w:val="24"/>
        </w:rPr>
      </w:pPr>
      <w:r w:rsidRPr="00570278">
        <w:rPr>
          <w:rFonts w:ascii="Calibri" w:hAnsi="Calibri"/>
          <w:sz w:val="24"/>
        </w:rPr>
        <w:t>Watershed Management Division</w:t>
      </w:r>
    </w:p>
    <w:p w:rsidR="00570278" w:rsidRPr="00570278" w:rsidRDefault="00570278" w:rsidP="00570278">
      <w:pPr>
        <w:spacing w:after="0" w:line="276" w:lineRule="auto"/>
        <w:ind w:left="1440"/>
        <w:rPr>
          <w:rFonts w:ascii="Calibri" w:hAnsi="Calibri"/>
          <w:sz w:val="24"/>
        </w:rPr>
      </w:pPr>
      <w:r w:rsidRPr="00570278">
        <w:rPr>
          <w:rFonts w:ascii="Calibri" w:hAnsi="Calibri"/>
          <w:sz w:val="24"/>
        </w:rPr>
        <w:t>Montpelier, VT</w:t>
      </w:r>
    </w:p>
    <w:p w:rsidR="00570278" w:rsidRPr="00FF66FA" w:rsidRDefault="00570278" w:rsidP="00570278">
      <w:pPr>
        <w:jc w:val="center"/>
        <w:rPr>
          <w:rFonts w:ascii="Calibri" w:hAnsi="Calibri"/>
          <w:sz w:val="28"/>
          <w:szCs w:val="28"/>
        </w:rPr>
      </w:pPr>
    </w:p>
    <w:p w:rsidR="00570278" w:rsidRPr="00FF66FA" w:rsidRDefault="00570278" w:rsidP="00570278">
      <w:pPr>
        <w:jc w:val="center"/>
        <w:rPr>
          <w:rFonts w:ascii="Calibri" w:hAnsi="Calibri"/>
          <w:sz w:val="28"/>
          <w:szCs w:val="28"/>
        </w:rPr>
      </w:pPr>
    </w:p>
    <w:p w:rsidR="00570278" w:rsidRPr="00FF66FA" w:rsidRDefault="00570278" w:rsidP="00570278">
      <w:pPr>
        <w:jc w:val="center"/>
        <w:rPr>
          <w:rFonts w:ascii="Calibri" w:hAnsi="Calibri"/>
          <w:sz w:val="28"/>
          <w:szCs w:val="28"/>
        </w:rPr>
      </w:pPr>
    </w:p>
    <w:p w:rsidR="00570278" w:rsidRPr="00FF66FA" w:rsidRDefault="00570278" w:rsidP="00570278">
      <w:pPr>
        <w:jc w:val="center"/>
        <w:rPr>
          <w:rFonts w:ascii="Calibri" w:hAnsi="Calibri"/>
          <w:sz w:val="28"/>
          <w:szCs w:val="28"/>
        </w:rPr>
      </w:pPr>
    </w:p>
    <w:p w:rsidR="00884987" w:rsidRDefault="00884987">
      <w:pPr>
        <w:sectPr w:rsidR="00884987">
          <w:footerReference w:type="default" r:id="rId9"/>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lang w:eastAsia="en-US"/>
        </w:rPr>
        <w:id w:val="1016739930"/>
        <w:docPartObj>
          <w:docPartGallery w:val="Table of Contents"/>
          <w:docPartUnique/>
        </w:docPartObj>
      </w:sdtPr>
      <w:sdtEndPr>
        <w:rPr>
          <w:noProof/>
        </w:rPr>
      </w:sdtEndPr>
      <w:sdtContent>
        <w:p w:rsidR="0039536A" w:rsidRDefault="0039536A">
          <w:pPr>
            <w:pStyle w:val="TOCHeading"/>
          </w:pPr>
          <w:r>
            <w:t>Table of Contents</w:t>
          </w:r>
        </w:p>
        <w:p w:rsidR="00CC7CBC" w:rsidRDefault="0039536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7244909" w:history="1">
            <w:r w:rsidR="00CC7CBC" w:rsidRPr="00206AEC">
              <w:rPr>
                <w:rStyle w:val="Hyperlink"/>
                <w:noProof/>
              </w:rPr>
              <w:t>Acknowledgements</w:t>
            </w:r>
            <w:r w:rsidR="00CC7CBC">
              <w:rPr>
                <w:noProof/>
                <w:webHidden/>
              </w:rPr>
              <w:tab/>
            </w:r>
            <w:r w:rsidR="00CC7CBC">
              <w:rPr>
                <w:noProof/>
                <w:webHidden/>
              </w:rPr>
              <w:fldChar w:fldCharType="begin"/>
            </w:r>
            <w:r w:rsidR="00CC7CBC">
              <w:rPr>
                <w:noProof/>
                <w:webHidden/>
              </w:rPr>
              <w:instrText xml:space="preserve"> PAGEREF _Toc497244909 \h </w:instrText>
            </w:r>
            <w:r w:rsidR="00CC7CBC">
              <w:rPr>
                <w:noProof/>
                <w:webHidden/>
              </w:rPr>
            </w:r>
            <w:r w:rsidR="00CC7CBC">
              <w:rPr>
                <w:noProof/>
                <w:webHidden/>
              </w:rPr>
              <w:fldChar w:fldCharType="separate"/>
            </w:r>
            <w:r w:rsidR="00CC7CBC">
              <w:rPr>
                <w:noProof/>
                <w:webHidden/>
              </w:rPr>
              <w:t>i</w:t>
            </w:r>
            <w:r w:rsidR="00CC7CBC">
              <w:rPr>
                <w:noProof/>
                <w:webHidden/>
              </w:rPr>
              <w:fldChar w:fldCharType="end"/>
            </w:r>
          </w:hyperlink>
        </w:p>
        <w:p w:rsidR="00CC7CBC" w:rsidRDefault="00CC7CBC">
          <w:pPr>
            <w:pStyle w:val="TOC1"/>
            <w:tabs>
              <w:tab w:val="right" w:leader="dot" w:pos="9350"/>
            </w:tabs>
            <w:rPr>
              <w:rFonts w:eastAsiaTheme="minorEastAsia"/>
              <w:noProof/>
            </w:rPr>
          </w:pPr>
          <w:hyperlink w:anchor="_Toc497244910" w:history="1">
            <w:r w:rsidRPr="00206AEC">
              <w:rPr>
                <w:rStyle w:val="Hyperlink"/>
                <w:noProof/>
              </w:rPr>
              <w:t>Executive Summary</w:t>
            </w:r>
            <w:r>
              <w:rPr>
                <w:noProof/>
                <w:webHidden/>
              </w:rPr>
              <w:tab/>
            </w:r>
            <w:r>
              <w:rPr>
                <w:noProof/>
                <w:webHidden/>
              </w:rPr>
              <w:fldChar w:fldCharType="begin"/>
            </w:r>
            <w:r>
              <w:rPr>
                <w:noProof/>
                <w:webHidden/>
              </w:rPr>
              <w:instrText xml:space="preserve"> PAGEREF _Toc497244910 \h </w:instrText>
            </w:r>
            <w:r>
              <w:rPr>
                <w:noProof/>
                <w:webHidden/>
              </w:rPr>
            </w:r>
            <w:r>
              <w:rPr>
                <w:noProof/>
                <w:webHidden/>
              </w:rPr>
              <w:fldChar w:fldCharType="separate"/>
            </w:r>
            <w:r>
              <w:rPr>
                <w:noProof/>
                <w:webHidden/>
              </w:rPr>
              <w:t>ii</w:t>
            </w:r>
            <w:r>
              <w:rPr>
                <w:noProof/>
                <w:webHidden/>
              </w:rPr>
              <w:fldChar w:fldCharType="end"/>
            </w:r>
          </w:hyperlink>
        </w:p>
        <w:p w:rsidR="00CC7CBC" w:rsidRDefault="00CC7CBC">
          <w:pPr>
            <w:pStyle w:val="TOC1"/>
            <w:tabs>
              <w:tab w:val="left" w:pos="660"/>
              <w:tab w:val="right" w:leader="dot" w:pos="9350"/>
            </w:tabs>
            <w:rPr>
              <w:rFonts w:eastAsiaTheme="minorEastAsia"/>
              <w:noProof/>
            </w:rPr>
          </w:pPr>
          <w:hyperlink w:anchor="_Toc497244911" w:history="1">
            <w:r w:rsidRPr="00206AEC">
              <w:rPr>
                <w:rStyle w:val="Hyperlink"/>
                <w:noProof/>
              </w:rPr>
              <w:t>1.0</w:t>
            </w:r>
            <w:r>
              <w:rPr>
                <w:rFonts w:eastAsiaTheme="minorEastAsia"/>
                <w:noProof/>
              </w:rPr>
              <w:tab/>
            </w:r>
            <w:r w:rsidRPr="00206AEC">
              <w:rPr>
                <w:rStyle w:val="Hyperlink"/>
                <w:noProof/>
              </w:rPr>
              <w:t>Introduction</w:t>
            </w:r>
            <w:r>
              <w:rPr>
                <w:noProof/>
                <w:webHidden/>
              </w:rPr>
              <w:tab/>
            </w:r>
            <w:r>
              <w:rPr>
                <w:noProof/>
                <w:webHidden/>
              </w:rPr>
              <w:fldChar w:fldCharType="begin"/>
            </w:r>
            <w:r>
              <w:rPr>
                <w:noProof/>
                <w:webHidden/>
              </w:rPr>
              <w:instrText xml:space="preserve"> PAGEREF _Toc497244911 \h </w:instrText>
            </w:r>
            <w:r>
              <w:rPr>
                <w:noProof/>
                <w:webHidden/>
              </w:rPr>
            </w:r>
            <w:r>
              <w:rPr>
                <w:noProof/>
                <w:webHidden/>
              </w:rPr>
              <w:fldChar w:fldCharType="separate"/>
            </w:r>
            <w:r>
              <w:rPr>
                <w:noProof/>
                <w:webHidden/>
              </w:rPr>
              <w:t>1</w:t>
            </w:r>
            <w:r>
              <w:rPr>
                <w:noProof/>
                <w:webHidden/>
              </w:rPr>
              <w:fldChar w:fldCharType="end"/>
            </w:r>
          </w:hyperlink>
        </w:p>
        <w:p w:rsidR="00CC7CBC" w:rsidRDefault="00CC7CBC">
          <w:pPr>
            <w:pStyle w:val="TOC1"/>
            <w:tabs>
              <w:tab w:val="left" w:pos="660"/>
              <w:tab w:val="right" w:leader="dot" w:pos="9350"/>
            </w:tabs>
            <w:rPr>
              <w:rFonts w:eastAsiaTheme="minorEastAsia"/>
              <w:noProof/>
            </w:rPr>
          </w:pPr>
          <w:hyperlink w:anchor="_Toc497244912" w:history="1">
            <w:r w:rsidRPr="00206AEC">
              <w:rPr>
                <w:rStyle w:val="Hyperlink"/>
                <w:noProof/>
              </w:rPr>
              <w:t>2.0</w:t>
            </w:r>
            <w:r>
              <w:rPr>
                <w:rFonts w:eastAsiaTheme="minorEastAsia"/>
                <w:noProof/>
              </w:rPr>
              <w:tab/>
            </w:r>
            <w:r w:rsidRPr="00206AEC">
              <w:rPr>
                <w:rStyle w:val="Hyperlink"/>
                <w:noProof/>
              </w:rPr>
              <w:t>Background</w:t>
            </w:r>
            <w:r>
              <w:rPr>
                <w:noProof/>
                <w:webHidden/>
              </w:rPr>
              <w:tab/>
            </w:r>
            <w:r>
              <w:rPr>
                <w:noProof/>
                <w:webHidden/>
              </w:rPr>
              <w:fldChar w:fldCharType="begin"/>
            </w:r>
            <w:r>
              <w:rPr>
                <w:noProof/>
                <w:webHidden/>
              </w:rPr>
              <w:instrText xml:space="preserve"> PAGEREF _Toc497244912 \h </w:instrText>
            </w:r>
            <w:r>
              <w:rPr>
                <w:noProof/>
                <w:webHidden/>
              </w:rPr>
            </w:r>
            <w:r>
              <w:rPr>
                <w:noProof/>
                <w:webHidden/>
              </w:rPr>
              <w:fldChar w:fldCharType="separate"/>
            </w:r>
            <w:r>
              <w:rPr>
                <w:noProof/>
                <w:webHidden/>
              </w:rPr>
              <w:t>1</w:t>
            </w:r>
            <w:r>
              <w:rPr>
                <w:noProof/>
                <w:webHidden/>
              </w:rPr>
              <w:fldChar w:fldCharType="end"/>
            </w:r>
          </w:hyperlink>
        </w:p>
        <w:p w:rsidR="00CC7CBC" w:rsidRDefault="00CC7CBC">
          <w:pPr>
            <w:pStyle w:val="TOC2"/>
            <w:tabs>
              <w:tab w:val="left" w:pos="880"/>
              <w:tab w:val="right" w:leader="dot" w:pos="9350"/>
            </w:tabs>
            <w:rPr>
              <w:rFonts w:eastAsiaTheme="minorEastAsia"/>
              <w:noProof/>
            </w:rPr>
          </w:pPr>
          <w:hyperlink w:anchor="_Toc497244913" w:history="1">
            <w:r w:rsidRPr="00206AEC">
              <w:rPr>
                <w:rStyle w:val="Hyperlink"/>
                <w:noProof/>
              </w:rPr>
              <w:t>2.1</w:t>
            </w:r>
            <w:r>
              <w:rPr>
                <w:rFonts w:eastAsiaTheme="minorEastAsia"/>
                <w:noProof/>
              </w:rPr>
              <w:tab/>
            </w:r>
            <w:r w:rsidRPr="00206AEC">
              <w:rPr>
                <w:rStyle w:val="Hyperlink"/>
                <w:noProof/>
              </w:rPr>
              <w:t>Description of Watershed</w:t>
            </w:r>
            <w:r>
              <w:rPr>
                <w:noProof/>
                <w:webHidden/>
              </w:rPr>
              <w:tab/>
            </w:r>
            <w:r>
              <w:rPr>
                <w:noProof/>
                <w:webHidden/>
              </w:rPr>
              <w:fldChar w:fldCharType="begin"/>
            </w:r>
            <w:r>
              <w:rPr>
                <w:noProof/>
                <w:webHidden/>
              </w:rPr>
              <w:instrText xml:space="preserve"> PAGEREF _Toc497244913 \h </w:instrText>
            </w:r>
            <w:r>
              <w:rPr>
                <w:noProof/>
                <w:webHidden/>
              </w:rPr>
            </w:r>
            <w:r>
              <w:rPr>
                <w:noProof/>
                <w:webHidden/>
              </w:rPr>
              <w:fldChar w:fldCharType="separate"/>
            </w:r>
            <w:r>
              <w:rPr>
                <w:noProof/>
                <w:webHidden/>
              </w:rPr>
              <w:t>1</w:t>
            </w:r>
            <w:r>
              <w:rPr>
                <w:noProof/>
                <w:webHidden/>
              </w:rPr>
              <w:fldChar w:fldCharType="end"/>
            </w:r>
          </w:hyperlink>
        </w:p>
        <w:p w:rsidR="00CC7CBC" w:rsidRDefault="00CC7CBC">
          <w:pPr>
            <w:pStyle w:val="TOC2"/>
            <w:tabs>
              <w:tab w:val="left" w:pos="880"/>
              <w:tab w:val="right" w:leader="dot" w:pos="9350"/>
            </w:tabs>
            <w:rPr>
              <w:rFonts w:eastAsiaTheme="minorEastAsia"/>
              <w:noProof/>
            </w:rPr>
          </w:pPr>
          <w:hyperlink w:anchor="_Toc497244914" w:history="1">
            <w:r w:rsidRPr="00206AEC">
              <w:rPr>
                <w:rStyle w:val="Hyperlink"/>
                <w:noProof/>
              </w:rPr>
              <w:t>2.2</w:t>
            </w:r>
            <w:r>
              <w:rPr>
                <w:rFonts w:eastAsiaTheme="minorEastAsia"/>
                <w:noProof/>
              </w:rPr>
              <w:tab/>
            </w:r>
            <w:r w:rsidRPr="00206AEC">
              <w:rPr>
                <w:rStyle w:val="Hyperlink"/>
                <w:noProof/>
              </w:rPr>
              <w:t>Description of Sentinel Stations</w:t>
            </w:r>
            <w:r>
              <w:rPr>
                <w:noProof/>
                <w:webHidden/>
              </w:rPr>
              <w:tab/>
            </w:r>
            <w:r>
              <w:rPr>
                <w:noProof/>
                <w:webHidden/>
              </w:rPr>
              <w:fldChar w:fldCharType="begin"/>
            </w:r>
            <w:r>
              <w:rPr>
                <w:noProof/>
                <w:webHidden/>
              </w:rPr>
              <w:instrText xml:space="preserve"> PAGEREF _Toc497244914 \h </w:instrText>
            </w:r>
            <w:r>
              <w:rPr>
                <w:noProof/>
                <w:webHidden/>
              </w:rPr>
            </w:r>
            <w:r>
              <w:rPr>
                <w:noProof/>
                <w:webHidden/>
              </w:rPr>
              <w:fldChar w:fldCharType="separate"/>
            </w:r>
            <w:r>
              <w:rPr>
                <w:noProof/>
                <w:webHidden/>
              </w:rPr>
              <w:t>2</w:t>
            </w:r>
            <w:r>
              <w:rPr>
                <w:noProof/>
                <w:webHidden/>
              </w:rPr>
              <w:fldChar w:fldCharType="end"/>
            </w:r>
          </w:hyperlink>
        </w:p>
        <w:p w:rsidR="00CC7CBC" w:rsidRDefault="00CC7CBC">
          <w:pPr>
            <w:pStyle w:val="TOC2"/>
            <w:tabs>
              <w:tab w:val="left" w:pos="880"/>
              <w:tab w:val="right" w:leader="dot" w:pos="9350"/>
            </w:tabs>
            <w:rPr>
              <w:rFonts w:eastAsiaTheme="minorEastAsia"/>
              <w:noProof/>
            </w:rPr>
          </w:pPr>
          <w:hyperlink w:anchor="_Toc497244915" w:history="1">
            <w:r w:rsidRPr="00206AEC">
              <w:rPr>
                <w:rStyle w:val="Hyperlink"/>
                <w:noProof/>
              </w:rPr>
              <w:t>2.3</w:t>
            </w:r>
            <w:r>
              <w:rPr>
                <w:rFonts w:eastAsiaTheme="minorEastAsia"/>
                <w:noProof/>
              </w:rPr>
              <w:tab/>
            </w:r>
            <w:r w:rsidRPr="00206AEC">
              <w:rPr>
                <w:rStyle w:val="Hyperlink"/>
                <w:noProof/>
              </w:rPr>
              <w:t>Discharge Measurement</w:t>
            </w:r>
            <w:r>
              <w:rPr>
                <w:noProof/>
                <w:webHidden/>
              </w:rPr>
              <w:tab/>
            </w:r>
            <w:r>
              <w:rPr>
                <w:noProof/>
                <w:webHidden/>
              </w:rPr>
              <w:fldChar w:fldCharType="begin"/>
            </w:r>
            <w:r>
              <w:rPr>
                <w:noProof/>
                <w:webHidden/>
              </w:rPr>
              <w:instrText xml:space="preserve"> PAGEREF _Toc497244915 \h </w:instrText>
            </w:r>
            <w:r>
              <w:rPr>
                <w:noProof/>
                <w:webHidden/>
              </w:rPr>
            </w:r>
            <w:r>
              <w:rPr>
                <w:noProof/>
                <w:webHidden/>
              </w:rPr>
              <w:fldChar w:fldCharType="separate"/>
            </w:r>
            <w:r>
              <w:rPr>
                <w:noProof/>
                <w:webHidden/>
              </w:rPr>
              <w:t>3</w:t>
            </w:r>
            <w:r>
              <w:rPr>
                <w:noProof/>
                <w:webHidden/>
              </w:rPr>
              <w:fldChar w:fldCharType="end"/>
            </w:r>
          </w:hyperlink>
        </w:p>
        <w:p w:rsidR="00CC7CBC" w:rsidRDefault="00CC7CBC">
          <w:pPr>
            <w:pStyle w:val="TOC2"/>
            <w:tabs>
              <w:tab w:val="left" w:pos="880"/>
              <w:tab w:val="right" w:leader="dot" w:pos="9350"/>
            </w:tabs>
            <w:rPr>
              <w:rFonts w:eastAsiaTheme="minorEastAsia"/>
              <w:noProof/>
            </w:rPr>
          </w:pPr>
          <w:hyperlink w:anchor="_Toc497244916" w:history="1">
            <w:r w:rsidRPr="00206AEC">
              <w:rPr>
                <w:rStyle w:val="Hyperlink"/>
                <w:noProof/>
              </w:rPr>
              <w:t>2.4</w:t>
            </w:r>
            <w:r>
              <w:rPr>
                <w:rFonts w:eastAsiaTheme="minorEastAsia"/>
                <w:noProof/>
              </w:rPr>
              <w:tab/>
            </w:r>
            <w:r w:rsidRPr="00206AEC">
              <w:rPr>
                <w:rStyle w:val="Hyperlink"/>
                <w:noProof/>
              </w:rPr>
              <w:t>History of Water Quality Monitoring at Sentinel Stations</w:t>
            </w:r>
            <w:r>
              <w:rPr>
                <w:noProof/>
                <w:webHidden/>
              </w:rPr>
              <w:tab/>
            </w:r>
            <w:r>
              <w:rPr>
                <w:noProof/>
                <w:webHidden/>
              </w:rPr>
              <w:fldChar w:fldCharType="begin"/>
            </w:r>
            <w:r>
              <w:rPr>
                <w:noProof/>
                <w:webHidden/>
              </w:rPr>
              <w:instrText xml:space="preserve"> PAGEREF _Toc497244916 \h </w:instrText>
            </w:r>
            <w:r>
              <w:rPr>
                <w:noProof/>
                <w:webHidden/>
              </w:rPr>
            </w:r>
            <w:r>
              <w:rPr>
                <w:noProof/>
                <w:webHidden/>
              </w:rPr>
              <w:fldChar w:fldCharType="separate"/>
            </w:r>
            <w:r>
              <w:rPr>
                <w:noProof/>
                <w:webHidden/>
              </w:rPr>
              <w:t>4</w:t>
            </w:r>
            <w:r>
              <w:rPr>
                <w:noProof/>
                <w:webHidden/>
              </w:rPr>
              <w:fldChar w:fldCharType="end"/>
            </w:r>
          </w:hyperlink>
        </w:p>
        <w:p w:rsidR="00CC7CBC" w:rsidRDefault="00CC7CBC">
          <w:pPr>
            <w:pStyle w:val="TOC2"/>
            <w:tabs>
              <w:tab w:val="left" w:pos="880"/>
              <w:tab w:val="right" w:leader="dot" w:pos="9350"/>
            </w:tabs>
            <w:rPr>
              <w:rFonts w:eastAsiaTheme="minorEastAsia"/>
              <w:noProof/>
            </w:rPr>
          </w:pPr>
          <w:hyperlink w:anchor="_Toc497244917" w:history="1">
            <w:r w:rsidRPr="00206AEC">
              <w:rPr>
                <w:rStyle w:val="Hyperlink"/>
                <w:noProof/>
              </w:rPr>
              <w:t>2.5</w:t>
            </w:r>
            <w:r>
              <w:rPr>
                <w:rFonts w:eastAsiaTheme="minorEastAsia"/>
                <w:noProof/>
              </w:rPr>
              <w:tab/>
            </w:r>
            <w:r w:rsidRPr="00206AEC">
              <w:rPr>
                <w:rStyle w:val="Hyperlink"/>
                <w:noProof/>
              </w:rPr>
              <w:t>Summary of River Corridor Planning Activities</w:t>
            </w:r>
            <w:r>
              <w:rPr>
                <w:noProof/>
                <w:webHidden/>
              </w:rPr>
              <w:tab/>
            </w:r>
            <w:r>
              <w:rPr>
                <w:noProof/>
                <w:webHidden/>
              </w:rPr>
              <w:fldChar w:fldCharType="begin"/>
            </w:r>
            <w:r>
              <w:rPr>
                <w:noProof/>
                <w:webHidden/>
              </w:rPr>
              <w:instrText xml:space="preserve"> PAGEREF _Toc497244917 \h </w:instrText>
            </w:r>
            <w:r>
              <w:rPr>
                <w:noProof/>
                <w:webHidden/>
              </w:rPr>
            </w:r>
            <w:r>
              <w:rPr>
                <w:noProof/>
                <w:webHidden/>
              </w:rPr>
              <w:fldChar w:fldCharType="separate"/>
            </w:r>
            <w:r>
              <w:rPr>
                <w:noProof/>
                <w:webHidden/>
              </w:rPr>
              <w:t>6</w:t>
            </w:r>
            <w:r>
              <w:rPr>
                <w:noProof/>
                <w:webHidden/>
              </w:rPr>
              <w:fldChar w:fldCharType="end"/>
            </w:r>
          </w:hyperlink>
        </w:p>
        <w:p w:rsidR="00CC7CBC" w:rsidRDefault="00CC7CBC">
          <w:pPr>
            <w:pStyle w:val="TOC1"/>
            <w:tabs>
              <w:tab w:val="left" w:pos="660"/>
              <w:tab w:val="right" w:leader="dot" w:pos="9350"/>
            </w:tabs>
            <w:rPr>
              <w:rFonts w:eastAsiaTheme="minorEastAsia"/>
              <w:noProof/>
            </w:rPr>
          </w:pPr>
          <w:hyperlink w:anchor="_Toc497244918" w:history="1">
            <w:r w:rsidRPr="00206AEC">
              <w:rPr>
                <w:rStyle w:val="Hyperlink"/>
                <w:noProof/>
              </w:rPr>
              <w:t>3.0</w:t>
            </w:r>
            <w:r>
              <w:rPr>
                <w:rFonts w:eastAsiaTheme="minorEastAsia"/>
                <w:noProof/>
              </w:rPr>
              <w:tab/>
            </w:r>
            <w:r w:rsidRPr="00206AEC">
              <w:rPr>
                <w:rStyle w:val="Hyperlink"/>
                <w:noProof/>
              </w:rPr>
              <w:t>Methods</w:t>
            </w:r>
            <w:r>
              <w:rPr>
                <w:noProof/>
                <w:webHidden/>
              </w:rPr>
              <w:tab/>
            </w:r>
            <w:r>
              <w:rPr>
                <w:noProof/>
                <w:webHidden/>
              </w:rPr>
              <w:fldChar w:fldCharType="begin"/>
            </w:r>
            <w:r>
              <w:rPr>
                <w:noProof/>
                <w:webHidden/>
              </w:rPr>
              <w:instrText xml:space="preserve"> PAGEREF _Toc497244918 \h </w:instrText>
            </w:r>
            <w:r>
              <w:rPr>
                <w:noProof/>
                <w:webHidden/>
              </w:rPr>
            </w:r>
            <w:r>
              <w:rPr>
                <w:noProof/>
                <w:webHidden/>
              </w:rPr>
              <w:fldChar w:fldCharType="separate"/>
            </w:r>
            <w:r>
              <w:rPr>
                <w:noProof/>
                <w:webHidden/>
              </w:rPr>
              <w:t>8</w:t>
            </w:r>
            <w:r>
              <w:rPr>
                <w:noProof/>
                <w:webHidden/>
              </w:rPr>
              <w:fldChar w:fldCharType="end"/>
            </w:r>
          </w:hyperlink>
        </w:p>
        <w:p w:rsidR="00CC7CBC" w:rsidRDefault="00CC7CBC">
          <w:pPr>
            <w:pStyle w:val="TOC2"/>
            <w:tabs>
              <w:tab w:val="left" w:pos="880"/>
              <w:tab w:val="right" w:leader="dot" w:pos="9350"/>
            </w:tabs>
            <w:rPr>
              <w:rFonts w:eastAsiaTheme="minorEastAsia"/>
              <w:noProof/>
            </w:rPr>
          </w:pPr>
          <w:hyperlink w:anchor="_Toc497244919" w:history="1">
            <w:r w:rsidRPr="00206AEC">
              <w:rPr>
                <w:rStyle w:val="Hyperlink"/>
                <w:noProof/>
              </w:rPr>
              <w:t>3.1</w:t>
            </w:r>
            <w:r>
              <w:rPr>
                <w:rFonts w:eastAsiaTheme="minorEastAsia"/>
                <w:noProof/>
              </w:rPr>
              <w:tab/>
            </w:r>
            <w:r w:rsidRPr="00206AEC">
              <w:rPr>
                <w:rStyle w:val="Hyperlink"/>
                <w:noProof/>
              </w:rPr>
              <w:t>Assign Flow Condition to Sample Dates</w:t>
            </w:r>
            <w:r>
              <w:rPr>
                <w:noProof/>
                <w:webHidden/>
              </w:rPr>
              <w:tab/>
            </w:r>
            <w:r>
              <w:rPr>
                <w:noProof/>
                <w:webHidden/>
              </w:rPr>
              <w:fldChar w:fldCharType="begin"/>
            </w:r>
            <w:r>
              <w:rPr>
                <w:noProof/>
                <w:webHidden/>
              </w:rPr>
              <w:instrText xml:space="preserve"> PAGEREF _Toc497244919 \h </w:instrText>
            </w:r>
            <w:r>
              <w:rPr>
                <w:noProof/>
                <w:webHidden/>
              </w:rPr>
            </w:r>
            <w:r>
              <w:rPr>
                <w:noProof/>
                <w:webHidden/>
              </w:rPr>
              <w:fldChar w:fldCharType="separate"/>
            </w:r>
            <w:r>
              <w:rPr>
                <w:noProof/>
                <w:webHidden/>
              </w:rPr>
              <w:t>8</w:t>
            </w:r>
            <w:r>
              <w:rPr>
                <w:noProof/>
                <w:webHidden/>
              </w:rPr>
              <w:fldChar w:fldCharType="end"/>
            </w:r>
          </w:hyperlink>
        </w:p>
        <w:p w:rsidR="00CC7CBC" w:rsidRDefault="00CC7CBC">
          <w:pPr>
            <w:pStyle w:val="TOC2"/>
            <w:tabs>
              <w:tab w:val="left" w:pos="880"/>
              <w:tab w:val="right" w:leader="dot" w:pos="9350"/>
            </w:tabs>
            <w:rPr>
              <w:rFonts w:eastAsiaTheme="minorEastAsia"/>
              <w:noProof/>
            </w:rPr>
          </w:pPr>
          <w:hyperlink w:anchor="_Toc497244920" w:history="1">
            <w:r w:rsidRPr="00206AEC">
              <w:rPr>
                <w:rStyle w:val="Hyperlink"/>
                <w:noProof/>
              </w:rPr>
              <w:t>3.2</w:t>
            </w:r>
            <w:r>
              <w:rPr>
                <w:rFonts w:eastAsiaTheme="minorEastAsia"/>
                <w:noProof/>
              </w:rPr>
              <w:tab/>
            </w:r>
            <w:r w:rsidRPr="00206AEC">
              <w:rPr>
                <w:rStyle w:val="Hyperlink"/>
                <w:noProof/>
              </w:rPr>
              <w:t>Examine Flow Record for Stationarity</w:t>
            </w:r>
            <w:r>
              <w:rPr>
                <w:noProof/>
                <w:webHidden/>
              </w:rPr>
              <w:tab/>
            </w:r>
            <w:r>
              <w:rPr>
                <w:noProof/>
                <w:webHidden/>
              </w:rPr>
              <w:fldChar w:fldCharType="begin"/>
            </w:r>
            <w:r>
              <w:rPr>
                <w:noProof/>
                <w:webHidden/>
              </w:rPr>
              <w:instrText xml:space="preserve"> PAGEREF _Toc497244920 \h </w:instrText>
            </w:r>
            <w:r>
              <w:rPr>
                <w:noProof/>
                <w:webHidden/>
              </w:rPr>
            </w:r>
            <w:r>
              <w:rPr>
                <w:noProof/>
                <w:webHidden/>
              </w:rPr>
              <w:fldChar w:fldCharType="separate"/>
            </w:r>
            <w:r>
              <w:rPr>
                <w:noProof/>
                <w:webHidden/>
              </w:rPr>
              <w:t>8</w:t>
            </w:r>
            <w:r>
              <w:rPr>
                <w:noProof/>
                <w:webHidden/>
              </w:rPr>
              <w:fldChar w:fldCharType="end"/>
            </w:r>
          </w:hyperlink>
        </w:p>
        <w:p w:rsidR="00CC7CBC" w:rsidRDefault="00CC7CBC">
          <w:pPr>
            <w:pStyle w:val="TOC2"/>
            <w:tabs>
              <w:tab w:val="left" w:pos="880"/>
              <w:tab w:val="right" w:leader="dot" w:pos="9350"/>
            </w:tabs>
            <w:rPr>
              <w:rFonts w:eastAsiaTheme="minorEastAsia"/>
              <w:noProof/>
            </w:rPr>
          </w:pPr>
          <w:hyperlink w:anchor="_Toc497244921" w:history="1">
            <w:r w:rsidRPr="00206AEC">
              <w:rPr>
                <w:rStyle w:val="Hyperlink"/>
                <w:noProof/>
              </w:rPr>
              <w:t>3.3</w:t>
            </w:r>
            <w:r>
              <w:rPr>
                <w:rFonts w:eastAsiaTheme="minorEastAsia"/>
                <w:noProof/>
              </w:rPr>
              <w:tab/>
            </w:r>
            <w:r w:rsidRPr="00206AEC">
              <w:rPr>
                <w:rStyle w:val="Hyperlink"/>
                <w:noProof/>
              </w:rPr>
              <w:t>Trend Analysis (Monotonic)</w:t>
            </w:r>
            <w:r>
              <w:rPr>
                <w:noProof/>
                <w:webHidden/>
              </w:rPr>
              <w:tab/>
            </w:r>
            <w:r>
              <w:rPr>
                <w:noProof/>
                <w:webHidden/>
              </w:rPr>
              <w:fldChar w:fldCharType="begin"/>
            </w:r>
            <w:r>
              <w:rPr>
                <w:noProof/>
                <w:webHidden/>
              </w:rPr>
              <w:instrText xml:space="preserve"> PAGEREF _Toc497244921 \h </w:instrText>
            </w:r>
            <w:r>
              <w:rPr>
                <w:noProof/>
                <w:webHidden/>
              </w:rPr>
            </w:r>
            <w:r>
              <w:rPr>
                <w:noProof/>
                <w:webHidden/>
              </w:rPr>
              <w:fldChar w:fldCharType="separate"/>
            </w:r>
            <w:r>
              <w:rPr>
                <w:noProof/>
                <w:webHidden/>
              </w:rPr>
              <w:t>8</w:t>
            </w:r>
            <w:r>
              <w:rPr>
                <w:noProof/>
                <w:webHidden/>
              </w:rPr>
              <w:fldChar w:fldCharType="end"/>
            </w:r>
          </w:hyperlink>
        </w:p>
        <w:p w:rsidR="00CC7CBC" w:rsidRDefault="00CC7CBC">
          <w:pPr>
            <w:pStyle w:val="TOC1"/>
            <w:tabs>
              <w:tab w:val="left" w:pos="660"/>
              <w:tab w:val="right" w:leader="dot" w:pos="9350"/>
            </w:tabs>
            <w:rPr>
              <w:rFonts w:eastAsiaTheme="minorEastAsia"/>
              <w:noProof/>
            </w:rPr>
          </w:pPr>
          <w:hyperlink w:anchor="_Toc497244922" w:history="1">
            <w:r w:rsidRPr="00206AEC">
              <w:rPr>
                <w:rStyle w:val="Hyperlink"/>
                <w:noProof/>
              </w:rPr>
              <w:t>4.0</w:t>
            </w:r>
            <w:r>
              <w:rPr>
                <w:rFonts w:eastAsiaTheme="minorEastAsia"/>
                <w:noProof/>
              </w:rPr>
              <w:tab/>
            </w:r>
            <w:r w:rsidRPr="00206AEC">
              <w:rPr>
                <w:rStyle w:val="Hyperlink"/>
                <w:noProof/>
              </w:rPr>
              <w:t>Results and Discussion</w:t>
            </w:r>
            <w:r>
              <w:rPr>
                <w:noProof/>
                <w:webHidden/>
              </w:rPr>
              <w:tab/>
            </w:r>
            <w:r>
              <w:rPr>
                <w:noProof/>
                <w:webHidden/>
              </w:rPr>
              <w:fldChar w:fldCharType="begin"/>
            </w:r>
            <w:r>
              <w:rPr>
                <w:noProof/>
                <w:webHidden/>
              </w:rPr>
              <w:instrText xml:space="preserve"> PAGEREF _Toc497244922 \h </w:instrText>
            </w:r>
            <w:r>
              <w:rPr>
                <w:noProof/>
                <w:webHidden/>
              </w:rPr>
            </w:r>
            <w:r>
              <w:rPr>
                <w:noProof/>
                <w:webHidden/>
              </w:rPr>
              <w:fldChar w:fldCharType="separate"/>
            </w:r>
            <w:r>
              <w:rPr>
                <w:noProof/>
                <w:webHidden/>
              </w:rPr>
              <w:t>9</w:t>
            </w:r>
            <w:r>
              <w:rPr>
                <w:noProof/>
                <w:webHidden/>
              </w:rPr>
              <w:fldChar w:fldCharType="end"/>
            </w:r>
          </w:hyperlink>
        </w:p>
        <w:p w:rsidR="00CC7CBC" w:rsidRDefault="00CC7CBC">
          <w:pPr>
            <w:pStyle w:val="TOC2"/>
            <w:tabs>
              <w:tab w:val="left" w:pos="880"/>
              <w:tab w:val="right" w:leader="dot" w:pos="9350"/>
            </w:tabs>
            <w:rPr>
              <w:rFonts w:eastAsiaTheme="minorEastAsia"/>
              <w:noProof/>
            </w:rPr>
          </w:pPr>
          <w:hyperlink w:anchor="_Toc497244923" w:history="1">
            <w:r w:rsidRPr="00206AEC">
              <w:rPr>
                <w:rStyle w:val="Hyperlink"/>
                <w:noProof/>
              </w:rPr>
              <w:t>4.1</w:t>
            </w:r>
            <w:r>
              <w:rPr>
                <w:rFonts w:eastAsiaTheme="minorEastAsia"/>
                <w:noProof/>
              </w:rPr>
              <w:tab/>
            </w:r>
            <w:r w:rsidRPr="00206AEC">
              <w:rPr>
                <w:rStyle w:val="Hyperlink"/>
                <w:noProof/>
              </w:rPr>
              <w:t>Trends in Discharge</w:t>
            </w:r>
            <w:r>
              <w:rPr>
                <w:noProof/>
                <w:webHidden/>
              </w:rPr>
              <w:tab/>
            </w:r>
            <w:r>
              <w:rPr>
                <w:noProof/>
                <w:webHidden/>
              </w:rPr>
              <w:fldChar w:fldCharType="begin"/>
            </w:r>
            <w:r>
              <w:rPr>
                <w:noProof/>
                <w:webHidden/>
              </w:rPr>
              <w:instrText xml:space="preserve"> PAGEREF _Toc497244923 \h </w:instrText>
            </w:r>
            <w:r>
              <w:rPr>
                <w:noProof/>
                <w:webHidden/>
              </w:rPr>
            </w:r>
            <w:r>
              <w:rPr>
                <w:noProof/>
                <w:webHidden/>
              </w:rPr>
              <w:fldChar w:fldCharType="separate"/>
            </w:r>
            <w:r>
              <w:rPr>
                <w:noProof/>
                <w:webHidden/>
              </w:rPr>
              <w:t>10</w:t>
            </w:r>
            <w:r>
              <w:rPr>
                <w:noProof/>
                <w:webHidden/>
              </w:rPr>
              <w:fldChar w:fldCharType="end"/>
            </w:r>
          </w:hyperlink>
        </w:p>
        <w:p w:rsidR="00CC7CBC" w:rsidRDefault="00CC7CBC">
          <w:pPr>
            <w:pStyle w:val="TOC2"/>
            <w:tabs>
              <w:tab w:val="left" w:pos="880"/>
              <w:tab w:val="right" w:leader="dot" w:pos="9350"/>
            </w:tabs>
            <w:rPr>
              <w:rFonts w:eastAsiaTheme="minorEastAsia"/>
              <w:noProof/>
            </w:rPr>
          </w:pPr>
          <w:hyperlink w:anchor="_Toc497244924" w:history="1">
            <w:r w:rsidRPr="00206AEC">
              <w:rPr>
                <w:rStyle w:val="Hyperlink"/>
                <w:noProof/>
              </w:rPr>
              <w:t>4.2</w:t>
            </w:r>
            <w:r>
              <w:rPr>
                <w:rFonts w:eastAsiaTheme="minorEastAsia"/>
                <w:noProof/>
              </w:rPr>
              <w:tab/>
            </w:r>
            <w:r w:rsidRPr="00206AEC">
              <w:rPr>
                <w:rStyle w:val="Hyperlink"/>
                <w:noProof/>
              </w:rPr>
              <w:t>Trends in Concentration</w:t>
            </w:r>
            <w:r>
              <w:rPr>
                <w:noProof/>
                <w:webHidden/>
              </w:rPr>
              <w:tab/>
            </w:r>
            <w:r>
              <w:rPr>
                <w:noProof/>
                <w:webHidden/>
              </w:rPr>
              <w:fldChar w:fldCharType="begin"/>
            </w:r>
            <w:r>
              <w:rPr>
                <w:noProof/>
                <w:webHidden/>
              </w:rPr>
              <w:instrText xml:space="preserve"> PAGEREF _Toc497244924 \h </w:instrText>
            </w:r>
            <w:r>
              <w:rPr>
                <w:noProof/>
                <w:webHidden/>
              </w:rPr>
            </w:r>
            <w:r>
              <w:rPr>
                <w:noProof/>
                <w:webHidden/>
              </w:rPr>
              <w:fldChar w:fldCharType="separate"/>
            </w:r>
            <w:r>
              <w:rPr>
                <w:noProof/>
                <w:webHidden/>
              </w:rPr>
              <w:t>11</w:t>
            </w:r>
            <w:r>
              <w:rPr>
                <w:noProof/>
                <w:webHidden/>
              </w:rPr>
              <w:fldChar w:fldCharType="end"/>
            </w:r>
          </w:hyperlink>
        </w:p>
        <w:p w:rsidR="00CC7CBC" w:rsidRDefault="00CC7CBC">
          <w:pPr>
            <w:pStyle w:val="TOC1"/>
            <w:tabs>
              <w:tab w:val="left" w:pos="660"/>
              <w:tab w:val="right" w:leader="dot" w:pos="9350"/>
            </w:tabs>
            <w:rPr>
              <w:rFonts w:eastAsiaTheme="minorEastAsia"/>
              <w:noProof/>
            </w:rPr>
          </w:pPr>
          <w:hyperlink w:anchor="_Toc497244925" w:history="1">
            <w:r w:rsidRPr="00206AEC">
              <w:rPr>
                <w:rStyle w:val="Hyperlink"/>
                <w:noProof/>
              </w:rPr>
              <w:t>5.0</w:t>
            </w:r>
            <w:r>
              <w:rPr>
                <w:rFonts w:eastAsiaTheme="minorEastAsia"/>
                <w:noProof/>
              </w:rPr>
              <w:tab/>
            </w:r>
            <w:r w:rsidRPr="00206AEC">
              <w:rPr>
                <w:rStyle w:val="Hyperlink"/>
                <w:noProof/>
              </w:rPr>
              <w:t>Conclusion</w:t>
            </w:r>
            <w:r>
              <w:rPr>
                <w:noProof/>
                <w:webHidden/>
              </w:rPr>
              <w:tab/>
            </w:r>
            <w:r>
              <w:rPr>
                <w:noProof/>
                <w:webHidden/>
              </w:rPr>
              <w:fldChar w:fldCharType="begin"/>
            </w:r>
            <w:r>
              <w:rPr>
                <w:noProof/>
                <w:webHidden/>
              </w:rPr>
              <w:instrText xml:space="preserve"> PAGEREF _Toc497244925 \h </w:instrText>
            </w:r>
            <w:r>
              <w:rPr>
                <w:noProof/>
                <w:webHidden/>
              </w:rPr>
            </w:r>
            <w:r>
              <w:rPr>
                <w:noProof/>
                <w:webHidden/>
              </w:rPr>
              <w:fldChar w:fldCharType="separate"/>
            </w:r>
            <w:r>
              <w:rPr>
                <w:noProof/>
                <w:webHidden/>
              </w:rPr>
              <w:t>12</w:t>
            </w:r>
            <w:r>
              <w:rPr>
                <w:noProof/>
                <w:webHidden/>
              </w:rPr>
              <w:fldChar w:fldCharType="end"/>
            </w:r>
          </w:hyperlink>
        </w:p>
        <w:p w:rsidR="00CC7CBC" w:rsidRDefault="00CC7CBC">
          <w:pPr>
            <w:pStyle w:val="TOC1"/>
            <w:tabs>
              <w:tab w:val="left" w:pos="660"/>
              <w:tab w:val="right" w:leader="dot" w:pos="9350"/>
            </w:tabs>
            <w:rPr>
              <w:rFonts w:eastAsiaTheme="minorEastAsia"/>
              <w:noProof/>
            </w:rPr>
          </w:pPr>
          <w:hyperlink w:anchor="_Toc497244926" w:history="1">
            <w:r w:rsidRPr="00206AEC">
              <w:rPr>
                <w:rStyle w:val="Hyperlink"/>
                <w:noProof/>
              </w:rPr>
              <w:t>6.0</w:t>
            </w:r>
            <w:r>
              <w:rPr>
                <w:rFonts w:eastAsiaTheme="minorEastAsia"/>
                <w:noProof/>
              </w:rPr>
              <w:tab/>
            </w:r>
            <w:r w:rsidRPr="00206AEC">
              <w:rPr>
                <w:rStyle w:val="Hyperlink"/>
                <w:noProof/>
              </w:rPr>
              <w:t>References</w:t>
            </w:r>
            <w:r>
              <w:rPr>
                <w:noProof/>
                <w:webHidden/>
              </w:rPr>
              <w:tab/>
            </w:r>
            <w:r>
              <w:rPr>
                <w:noProof/>
                <w:webHidden/>
              </w:rPr>
              <w:fldChar w:fldCharType="begin"/>
            </w:r>
            <w:r>
              <w:rPr>
                <w:noProof/>
                <w:webHidden/>
              </w:rPr>
              <w:instrText xml:space="preserve"> PAGEREF _Toc497244926 \h </w:instrText>
            </w:r>
            <w:r>
              <w:rPr>
                <w:noProof/>
                <w:webHidden/>
              </w:rPr>
            </w:r>
            <w:r>
              <w:rPr>
                <w:noProof/>
                <w:webHidden/>
              </w:rPr>
              <w:fldChar w:fldCharType="separate"/>
            </w:r>
            <w:r>
              <w:rPr>
                <w:noProof/>
                <w:webHidden/>
              </w:rPr>
              <w:t>13</w:t>
            </w:r>
            <w:r>
              <w:rPr>
                <w:noProof/>
                <w:webHidden/>
              </w:rPr>
              <w:fldChar w:fldCharType="end"/>
            </w:r>
          </w:hyperlink>
        </w:p>
        <w:p w:rsidR="0039536A" w:rsidRDefault="0039536A">
          <w:r>
            <w:rPr>
              <w:b/>
              <w:bCs/>
              <w:noProof/>
            </w:rPr>
            <w:fldChar w:fldCharType="end"/>
          </w:r>
        </w:p>
      </w:sdtContent>
    </w:sdt>
    <w:p w:rsidR="00884987" w:rsidRDefault="00884987">
      <w:bookmarkStart w:id="0" w:name="_GoBack"/>
      <w:bookmarkEnd w:id="0"/>
    </w:p>
    <w:p w:rsidR="00CC7CBC" w:rsidRPr="00CC7CBC" w:rsidRDefault="00CC7CBC" w:rsidP="00CC7CBC">
      <w:pPr>
        <w:rPr>
          <w:sz w:val="24"/>
          <w:szCs w:val="24"/>
        </w:rPr>
      </w:pPr>
      <w:proofErr w:type="gramStart"/>
      <w:r w:rsidRPr="00CC7CBC">
        <w:rPr>
          <w:sz w:val="24"/>
          <w:szCs w:val="24"/>
        </w:rPr>
        <w:t>Appendix A.</w:t>
      </w:r>
      <w:proofErr w:type="gramEnd"/>
      <w:r w:rsidRPr="00CC7CBC">
        <w:rPr>
          <w:sz w:val="24"/>
          <w:szCs w:val="24"/>
        </w:rPr>
        <w:t xml:space="preserve">  </w:t>
      </w:r>
    </w:p>
    <w:p w:rsidR="0039536A" w:rsidRPr="00CC7CBC" w:rsidRDefault="00CC7CBC">
      <w:pPr>
        <w:rPr>
          <w:sz w:val="24"/>
          <w:szCs w:val="24"/>
        </w:rPr>
      </w:pPr>
      <w:proofErr w:type="gramStart"/>
      <w:r w:rsidRPr="00CC7CBC">
        <w:rPr>
          <w:sz w:val="24"/>
          <w:szCs w:val="24"/>
        </w:rPr>
        <w:t>Table A-1.</w:t>
      </w:r>
      <w:proofErr w:type="gramEnd"/>
      <w:r w:rsidRPr="00CC7CBC">
        <w:rPr>
          <w:sz w:val="24"/>
          <w:szCs w:val="24"/>
        </w:rPr>
        <w:t xml:space="preserve">   Monitoring History for Sentinel Stations, Lewis Creek watershed</w:t>
      </w:r>
    </w:p>
    <w:p w:rsidR="00CC7CBC" w:rsidRPr="00CC7CBC" w:rsidRDefault="00CC7CBC" w:rsidP="00CC7CBC">
      <w:pPr>
        <w:rPr>
          <w:sz w:val="24"/>
          <w:szCs w:val="24"/>
        </w:rPr>
      </w:pPr>
      <w:proofErr w:type="gramStart"/>
      <w:r w:rsidRPr="00CC7CBC">
        <w:rPr>
          <w:sz w:val="24"/>
          <w:szCs w:val="24"/>
        </w:rPr>
        <w:t>Table A-2.</w:t>
      </w:r>
      <w:proofErr w:type="gramEnd"/>
      <w:r w:rsidRPr="00CC7CBC">
        <w:rPr>
          <w:sz w:val="24"/>
          <w:szCs w:val="24"/>
        </w:rPr>
        <w:t xml:space="preserve">  Trend Analysis Results</w:t>
      </w:r>
    </w:p>
    <w:p w:rsidR="00CC7CBC" w:rsidRDefault="00CC7CBC">
      <w:pPr>
        <w:sectPr w:rsidR="00CC7CBC">
          <w:footerReference w:type="default" r:id="rId10"/>
          <w:pgSz w:w="12240" w:h="15840"/>
          <w:pgMar w:top="1440" w:right="1440" w:bottom="1440" w:left="1440" w:header="720" w:footer="720" w:gutter="0"/>
          <w:cols w:space="720"/>
          <w:docGrid w:linePitch="360"/>
        </w:sectPr>
      </w:pPr>
    </w:p>
    <w:p w:rsidR="00532595" w:rsidRDefault="00532595" w:rsidP="00532595">
      <w:pPr>
        <w:pStyle w:val="Heading1"/>
      </w:pPr>
      <w:bookmarkStart w:id="1" w:name="_Toc491962234"/>
      <w:bookmarkStart w:id="2" w:name="_Toc497244909"/>
      <w:r w:rsidRPr="004339AF">
        <w:lastRenderedPageBreak/>
        <w:t>Acknowledgements</w:t>
      </w:r>
      <w:bookmarkEnd w:id="1"/>
      <w:bookmarkEnd w:id="2"/>
    </w:p>
    <w:p w:rsidR="001B230D" w:rsidRPr="001B230D" w:rsidRDefault="001B230D" w:rsidP="001B230D"/>
    <w:p w:rsidR="00532595" w:rsidRDefault="00532595" w:rsidP="00532595">
      <w:pPr>
        <w:spacing w:line="276" w:lineRule="auto"/>
        <w:rPr>
          <w:rStyle w:val="Heading1Char"/>
        </w:rPr>
      </w:pPr>
      <w:r>
        <w:rPr>
          <w:sz w:val="24"/>
        </w:rPr>
        <w:t>This document is one of five templates or guidance documents generated by the VT Department of Environmental Conservation (VTDEC) to support</w:t>
      </w:r>
      <w:r w:rsidRPr="00D75F9B">
        <w:rPr>
          <w:sz w:val="24"/>
        </w:rPr>
        <w:t xml:space="preserve"> </w:t>
      </w:r>
      <w:r>
        <w:rPr>
          <w:sz w:val="24"/>
        </w:rPr>
        <w:t xml:space="preserve">watershed groups engaged in ambient water quality monitoring under the </w:t>
      </w:r>
      <w:proofErr w:type="spellStart"/>
      <w:r>
        <w:rPr>
          <w:sz w:val="24"/>
        </w:rPr>
        <w:t>LaRosa</w:t>
      </w:r>
      <w:proofErr w:type="spellEnd"/>
      <w:r>
        <w:rPr>
          <w:sz w:val="24"/>
        </w:rPr>
        <w:t xml:space="preserve"> Partnership Program.  These templates provide </w:t>
      </w:r>
      <w:r w:rsidRPr="00D75F9B">
        <w:rPr>
          <w:sz w:val="24"/>
        </w:rPr>
        <w:t xml:space="preserve">examples of data </w:t>
      </w:r>
      <w:r>
        <w:rPr>
          <w:sz w:val="24"/>
        </w:rPr>
        <w:t>reduction and visualization, as well as statistical analysis,</w:t>
      </w:r>
      <w:r w:rsidRPr="00D75F9B">
        <w:rPr>
          <w:sz w:val="24"/>
        </w:rPr>
        <w:t xml:space="preserve"> t</w:t>
      </w:r>
      <w:r>
        <w:rPr>
          <w:sz w:val="24"/>
        </w:rPr>
        <w:t>hat</w:t>
      </w:r>
      <w:r w:rsidRPr="00D75F9B">
        <w:rPr>
          <w:sz w:val="24"/>
        </w:rPr>
        <w:t xml:space="preserve"> enable more effective communication of the data – to </w:t>
      </w:r>
      <w:r>
        <w:rPr>
          <w:sz w:val="24"/>
        </w:rPr>
        <w:t xml:space="preserve">constituents of Partnership groups; </w:t>
      </w:r>
      <w:r w:rsidRPr="00D75F9B">
        <w:rPr>
          <w:sz w:val="24"/>
        </w:rPr>
        <w:t>to local, state and federal partners in project implementation</w:t>
      </w:r>
      <w:r>
        <w:rPr>
          <w:sz w:val="24"/>
        </w:rPr>
        <w:t xml:space="preserve">; and </w:t>
      </w:r>
      <w:r w:rsidRPr="00D75F9B">
        <w:rPr>
          <w:sz w:val="24"/>
        </w:rPr>
        <w:t xml:space="preserve">to </w:t>
      </w:r>
      <w:r>
        <w:rPr>
          <w:sz w:val="24"/>
        </w:rPr>
        <w:t xml:space="preserve">the </w:t>
      </w:r>
      <w:r w:rsidRPr="00D75F9B">
        <w:rPr>
          <w:sz w:val="24"/>
        </w:rPr>
        <w:t>V</w:t>
      </w:r>
      <w:r>
        <w:rPr>
          <w:sz w:val="24"/>
        </w:rPr>
        <w:t xml:space="preserve">T </w:t>
      </w:r>
      <w:r w:rsidRPr="00D75F9B">
        <w:rPr>
          <w:sz w:val="24"/>
        </w:rPr>
        <w:t>A</w:t>
      </w:r>
      <w:r>
        <w:rPr>
          <w:sz w:val="24"/>
        </w:rPr>
        <w:t xml:space="preserve">gency of </w:t>
      </w:r>
      <w:r w:rsidRPr="00D75F9B">
        <w:rPr>
          <w:sz w:val="24"/>
        </w:rPr>
        <w:t>N</w:t>
      </w:r>
      <w:r>
        <w:rPr>
          <w:sz w:val="24"/>
        </w:rPr>
        <w:t xml:space="preserve">atural </w:t>
      </w:r>
      <w:r w:rsidRPr="00D75F9B">
        <w:rPr>
          <w:sz w:val="24"/>
        </w:rPr>
        <w:t>R</w:t>
      </w:r>
      <w:r>
        <w:rPr>
          <w:sz w:val="24"/>
        </w:rPr>
        <w:t>esources</w:t>
      </w:r>
      <w:r w:rsidRPr="00D75F9B">
        <w:rPr>
          <w:sz w:val="24"/>
        </w:rPr>
        <w:t xml:space="preserve"> for meeting a variety of needs (e.g., listing / delisting of waters, basin planning, prioritization of resources to groups for project implementation)</w:t>
      </w:r>
      <w:r>
        <w:rPr>
          <w:sz w:val="24"/>
        </w:rPr>
        <w:t xml:space="preserve">.  This template has been prepared by South Mountain Research &amp; Consulting of Bristol, VT, under contract to VTDEC.  </w:t>
      </w:r>
      <w:r>
        <w:rPr>
          <w:sz w:val="24"/>
        </w:rPr>
        <w:br/>
      </w:r>
      <w:r>
        <w:rPr>
          <w:rFonts w:ascii="Calibri" w:hAnsi="Calibri"/>
          <w:sz w:val="24"/>
          <w:szCs w:val="24"/>
        </w:rPr>
        <w:br/>
        <w:t xml:space="preserve">This template relies on water quality data from the Lewis Creek watershed, where sampling </w:t>
      </w:r>
      <w:r w:rsidRPr="00CF0FDB">
        <w:rPr>
          <w:rFonts w:ascii="Calibri" w:hAnsi="Calibri"/>
          <w:sz w:val="24"/>
          <w:szCs w:val="24"/>
        </w:rPr>
        <w:t>is carried out by a network of trained volunteers operating under the Addison County River Watch Collaborative (fiscal agent, Lewis Creek Association), with logistical and technical support provided by the VTDEC Monitoring, Assessment and Planning Program, the Addison County Regional Planning Commission and South Mountain Research &amp; Consulting.  Analytical services are provided by the</w:t>
      </w:r>
      <w:r>
        <w:rPr>
          <w:rFonts w:ascii="Calibri" w:hAnsi="Calibri"/>
          <w:sz w:val="24"/>
          <w:szCs w:val="24"/>
        </w:rPr>
        <w:t xml:space="preserve"> Vermont Agricultural &amp; Environmental Laboratory</w:t>
      </w:r>
      <w:r w:rsidRPr="00CF0FDB">
        <w:rPr>
          <w:rFonts w:ascii="Calibri" w:hAnsi="Calibri"/>
          <w:sz w:val="24"/>
          <w:szCs w:val="24"/>
        </w:rPr>
        <w:t xml:space="preserve"> </w:t>
      </w:r>
      <w:r>
        <w:rPr>
          <w:rFonts w:ascii="Calibri" w:hAnsi="Calibri"/>
          <w:sz w:val="24"/>
          <w:szCs w:val="24"/>
        </w:rPr>
        <w:t>(</w:t>
      </w:r>
      <w:hyperlink r:id="rId11" w:history="1">
        <w:r w:rsidRPr="00406FCB">
          <w:rPr>
            <w:rStyle w:val="Hyperlink"/>
            <w:rFonts w:ascii="Calibri" w:hAnsi="Calibri"/>
            <w:sz w:val="24"/>
            <w:szCs w:val="24"/>
          </w:rPr>
          <w:t>http://agriculture.vermont.gov/vael</w:t>
        </w:r>
      </w:hyperlink>
      <w:r>
        <w:rPr>
          <w:rFonts w:ascii="Calibri" w:hAnsi="Calibri"/>
          <w:sz w:val="24"/>
          <w:szCs w:val="24"/>
        </w:rPr>
        <w:t>) in Burlington, VT, through an</w:t>
      </w:r>
      <w:r w:rsidRPr="00CF0FDB">
        <w:rPr>
          <w:rFonts w:ascii="Calibri" w:hAnsi="Calibri"/>
          <w:sz w:val="24"/>
          <w:szCs w:val="24"/>
        </w:rPr>
        <w:t xml:space="preserve"> analytic</w:t>
      </w:r>
      <w:r>
        <w:rPr>
          <w:rFonts w:ascii="Calibri" w:hAnsi="Calibri"/>
          <w:sz w:val="24"/>
          <w:szCs w:val="24"/>
        </w:rPr>
        <w:t>al services partnership grant</w:t>
      </w:r>
      <w:r w:rsidRPr="00CF0FDB">
        <w:rPr>
          <w:rFonts w:ascii="Calibri" w:hAnsi="Calibri"/>
          <w:sz w:val="24"/>
          <w:szCs w:val="24"/>
        </w:rPr>
        <w:t>.</w:t>
      </w:r>
    </w:p>
    <w:p w:rsidR="00532595" w:rsidRDefault="00532595" w:rsidP="00537C63">
      <w:pPr>
        <w:pStyle w:val="Heading1"/>
      </w:pPr>
    </w:p>
    <w:p w:rsidR="008C014F" w:rsidRDefault="008C014F" w:rsidP="008C014F">
      <w:pPr>
        <w:sectPr w:rsidR="008C014F" w:rsidSect="00532595">
          <w:footerReference w:type="default" r:id="rId12"/>
          <w:pgSz w:w="12240" w:h="15840"/>
          <w:pgMar w:top="1440" w:right="1440" w:bottom="1440" w:left="1440" w:header="720" w:footer="720" w:gutter="0"/>
          <w:pgNumType w:fmt="lowerRoman" w:start="1"/>
          <w:cols w:space="720"/>
          <w:docGrid w:linePitch="360"/>
        </w:sectPr>
      </w:pPr>
    </w:p>
    <w:p w:rsidR="008C014F" w:rsidRDefault="008C014F" w:rsidP="008C014F"/>
    <w:p w:rsidR="008C014F" w:rsidRDefault="008C014F" w:rsidP="008C014F">
      <w:pPr>
        <w:pStyle w:val="Heading1"/>
      </w:pPr>
      <w:bookmarkStart w:id="3" w:name="_Toc497244910"/>
      <w:r>
        <w:t>Executive Summary</w:t>
      </w:r>
      <w:bookmarkEnd w:id="3"/>
      <w:r>
        <w:t xml:space="preserve"> </w:t>
      </w:r>
    </w:p>
    <w:p w:rsidR="008C014F" w:rsidRDefault="008C014F" w:rsidP="008C014F">
      <w:pPr>
        <w:spacing w:line="276" w:lineRule="auto"/>
        <w:rPr>
          <w:rFonts w:cs="Tahoma"/>
          <w:sz w:val="24"/>
          <w:szCs w:val="24"/>
        </w:rPr>
      </w:pPr>
    </w:p>
    <w:p w:rsidR="008C014F" w:rsidRPr="008C014F" w:rsidRDefault="008C014F" w:rsidP="008C014F">
      <w:pPr>
        <w:spacing w:line="276" w:lineRule="auto"/>
        <w:rPr>
          <w:rFonts w:ascii="Calibri" w:hAnsi="Calibri"/>
          <w:sz w:val="24"/>
        </w:rPr>
      </w:pPr>
      <w:r>
        <w:rPr>
          <w:rFonts w:ascii="Calibri" w:hAnsi="Calibri"/>
          <w:sz w:val="24"/>
        </w:rPr>
        <w:t>H</w:t>
      </w:r>
      <w:r>
        <w:rPr>
          <w:rFonts w:ascii="Calibri" w:hAnsi="Calibri"/>
          <w:sz w:val="24"/>
        </w:rPr>
        <w:t xml:space="preserve">istoric water quality at </w:t>
      </w:r>
      <w:r>
        <w:rPr>
          <w:rFonts w:ascii="Calibri" w:hAnsi="Calibri"/>
          <w:sz w:val="24"/>
        </w:rPr>
        <w:t>two water quality</w:t>
      </w:r>
      <w:r>
        <w:rPr>
          <w:rFonts w:ascii="Calibri" w:hAnsi="Calibri"/>
          <w:sz w:val="24"/>
        </w:rPr>
        <w:t xml:space="preserve"> stations </w:t>
      </w:r>
      <w:r>
        <w:rPr>
          <w:rFonts w:ascii="Calibri" w:hAnsi="Calibri"/>
          <w:sz w:val="24"/>
        </w:rPr>
        <w:t xml:space="preserve">in the Lewis Creek watershed was evaluated </w:t>
      </w:r>
      <w:r>
        <w:rPr>
          <w:rFonts w:ascii="Calibri" w:hAnsi="Calibri"/>
          <w:sz w:val="24"/>
        </w:rPr>
        <w:t xml:space="preserve">to discern possible </w:t>
      </w:r>
      <w:proofErr w:type="spellStart"/>
      <w:r>
        <w:rPr>
          <w:rFonts w:ascii="Calibri" w:hAnsi="Calibri"/>
          <w:sz w:val="24"/>
        </w:rPr>
        <w:t>longterm</w:t>
      </w:r>
      <w:proofErr w:type="spellEnd"/>
      <w:r>
        <w:rPr>
          <w:rFonts w:ascii="Calibri" w:hAnsi="Calibri"/>
          <w:sz w:val="24"/>
        </w:rPr>
        <w:t xml:space="preserve">, gradual changes in sediment, </w:t>
      </w:r>
      <w:proofErr w:type="gramStart"/>
      <w:r>
        <w:rPr>
          <w:rFonts w:ascii="Calibri" w:hAnsi="Calibri"/>
          <w:sz w:val="24"/>
        </w:rPr>
        <w:t>pathogen</w:t>
      </w:r>
      <w:proofErr w:type="gramEnd"/>
      <w:r>
        <w:rPr>
          <w:rFonts w:ascii="Calibri" w:hAnsi="Calibri"/>
          <w:sz w:val="24"/>
        </w:rPr>
        <w:t xml:space="preserve"> and nutrient concentrations </w:t>
      </w:r>
      <w:r>
        <w:rPr>
          <w:rFonts w:ascii="Calibri" w:hAnsi="Calibri"/>
          <w:sz w:val="24"/>
        </w:rPr>
        <w:t>in response to progressive implementation of restoration and conservation projects and practices</w:t>
      </w:r>
      <w:r>
        <w:rPr>
          <w:rFonts w:ascii="Calibri" w:hAnsi="Calibri"/>
          <w:sz w:val="24"/>
        </w:rPr>
        <w:t xml:space="preserve">.  </w:t>
      </w:r>
      <w:r>
        <w:rPr>
          <w:rFonts w:ascii="Calibri" w:hAnsi="Calibri"/>
          <w:sz w:val="24"/>
        </w:rPr>
        <w:t xml:space="preserve"> </w:t>
      </w:r>
      <w:r>
        <w:rPr>
          <w:rFonts w:cs="Tahoma"/>
          <w:sz w:val="24"/>
          <w:szCs w:val="24"/>
        </w:rPr>
        <w:t>Statistical t</w:t>
      </w:r>
      <w:r>
        <w:rPr>
          <w:rFonts w:cs="Tahoma"/>
          <w:sz w:val="24"/>
          <w:szCs w:val="24"/>
        </w:rPr>
        <w:t xml:space="preserve">rend analysis </w:t>
      </w:r>
      <w:r>
        <w:rPr>
          <w:rFonts w:cs="Tahoma"/>
          <w:sz w:val="24"/>
          <w:szCs w:val="24"/>
        </w:rPr>
        <w:t>was</w:t>
      </w:r>
      <w:r>
        <w:rPr>
          <w:rFonts w:cs="Tahoma"/>
          <w:sz w:val="24"/>
          <w:szCs w:val="24"/>
        </w:rPr>
        <w:t xml:space="preserve"> </w:t>
      </w:r>
      <w:r>
        <w:rPr>
          <w:rFonts w:cs="Tahoma"/>
          <w:sz w:val="24"/>
          <w:szCs w:val="24"/>
        </w:rPr>
        <w:t>carried out</w:t>
      </w:r>
      <w:r>
        <w:rPr>
          <w:rFonts w:cs="Tahoma"/>
          <w:sz w:val="24"/>
          <w:szCs w:val="24"/>
        </w:rPr>
        <w:t xml:space="preserve"> for </w:t>
      </w:r>
      <w:r>
        <w:rPr>
          <w:rFonts w:cs="Tahoma"/>
          <w:sz w:val="24"/>
          <w:szCs w:val="24"/>
        </w:rPr>
        <w:t xml:space="preserve">these </w:t>
      </w:r>
      <w:r>
        <w:rPr>
          <w:rFonts w:cs="Tahoma"/>
          <w:sz w:val="24"/>
          <w:szCs w:val="24"/>
        </w:rPr>
        <w:t xml:space="preserve">two sentinel stations (LCR3.7 and LCR14) which have been monitored in spring and summer for </w:t>
      </w:r>
      <w:r w:rsidRPr="00CA6F8C">
        <w:rPr>
          <w:rFonts w:cs="Tahoma"/>
          <w:i/>
          <w:sz w:val="24"/>
          <w:szCs w:val="24"/>
        </w:rPr>
        <w:t>E.coli</w:t>
      </w:r>
      <w:r>
        <w:rPr>
          <w:rFonts w:cs="Tahoma"/>
          <w:sz w:val="24"/>
          <w:szCs w:val="24"/>
        </w:rPr>
        <w:t xml:space="preserve"> (since 1992), Total Phosphorus (since 1997) and Turbidity (since 2006).  No significant trends in monthly water quality data were evident over the respective monitoring periods at either sentinel station</w:t>
      </w:r>
      <w:r>
        <w:rPr>
          <w:rFonts w:cs="Tahoma"/>
          <w:sz w:val="24"/>
          <w:szCs w:val="24"/>
        </w:rPr>
        <w:t xml:space="preserve">.   </w:t>
      </w:r>
      <w:r>
        <w:rPr>
          <w:sz w:val="24"/>
        </w:rPr>
        <w:t xml:space="preserve">While </w:t>
      </w:r>
      <w:r w:rsidRPr="008E264D">
        <w:rPr>
          <w:sz w:val="24"/>
        </w:rPr>
        <w:t xml:space="preserve">gradual improvements in water </w:t>
      </w:r>
      <w:r w:rsidRPr="00A059D3">
        <w:rPr>
          <w:sz w:val="24"/>
          <w:szCs w:val="24"/>
        </w:rPr>
        <w:t>quality</w:t>
      </w:r>
      <w:r>
        <w:rPr>
          <w:sz w:val="24"/>
          <w:szCs w:val="24"/>
        </w:rPr>
        <w:t xml:space="preserve"> are to be expected as a result of these </w:t>
      </w:r>
      <w:r>
        <w:rPr>
          <w:sz w:val="24"/>
          <w:szCs w:val="24"/>
        </w:rPr>
        <w:t xml:space="preserve">restoration </w:t>
      </w:r>
      <w:r>
        <w:rPr>
          <w:sz w:val="24"/>
          <w:szCs w:val="24"/>
        </w:rPr>
        <w:t>projects, an increased magnitude and frequency of high flows may be complicating the water quality response</w:t>
      </w:r>
      <w:r w:rsidRPr="00A059D3">
        <w:rPr>
          <w:sz w:val="24"/>
          <w:szCs w:val="24"/>
        </w:rPr>
        <w:t xml:space="preserve">.  </w:t>
      </w:r>
      <w:r>
        <w:rPr>
          <w:rFonts w:cs="Tahoma"/>
          <w:sz w:val="24"/>
          <w:szCs w:val="24"/>
        </w:rPr>
        <w:t xml:space="preserve">A statistically-significant, positive trend in </w:t>
      </w:r>
      <w:r>
        <w:rPr>
          <w:rFonts w:cstheme="minorHAnsi"/>
          <w:sz w:val="24"/>
          <w:szCs w:val="24"/>
        </w:rPr>
        <w:t xml:space="preserve">daily mean flow over the 24-year period from 1992 through 2015, and a significant positive trend in the number of High Flow days per year over the same period were detected.  These results underscore the importance of continued implementation of Best Management Practices and riparian </w:t>
      </w:r>
      <w:proofErr w:type="gramStart"/>
      <w:r>
        <w:rPr>
          <w:rFonts w:cstheme="minorHAnsi"/>
          <w:sz w:val="24"/>
          <w:szCs w:val="24"/>
        </w:rPr>
        <w:t>conservation</w:t>
      </w:r>
      <w:proofErr w:type="gramEnd"/>
      <w:r>
        <w:rPr>
          <w:rFonts w:cstheme="minorHAnsi"/>
          <w:sz w:val="24"/>
          <w:szCs w:val="24"/>
        </w:rPr>
        <w:t xml:space="preserve"> measures in the face of increasing climate change.</w:t>
      </w:r>
    </w:p>
    <w:p w:rsidR="008C014F" w:rsidRPr="008C014F" w:rsidRDefault="008C014F" w:rsidP="008C014F">
      <w:pPr>
        <w:sectPr w:rsidR="008C014F" w:rsidRPr="008C014F" w:rsidSect="001B230D">
          <w:pgSz w:w="12240" w:h="15840"/>
          <w:pgMar w:top="1440" w:right="1440" w:bottom="1440" w:left="1440" w:header="720" w:footer="720" w:gutter="0"/>
          <w:pgNumType w:fmt="lowerRoman"/>
          <w:cols w:space="720"/>
          <w:docGrid w:linePitch="360"/>
        </w:sectPr>
      </w:pPr>
    </w:p>
    <w:p w:rsidR="00884987" w:rsidRDefault="00537C63" w:rsidP="00537C63">
      <w:pPr>
        <w:pStyle w:val="Heading1"/>
      </w:pPr>
      <w:bookmarkStart w:id="4" w:name="_Toc497244911"/>
      <w:r>
        <w:lastRenderedPageBreak/>
        <w:t>1.0</w:t>
      </w:r>
      <w:r>
        <w:tab/>
      </w:r>
      <w:r w:rsidR="00884987">
        <w:t>Intro</w:t>
      </w:r>
      <w:r w:rsidR="00196B22">
        <w:t>duction</w:t>
      </w:r>
      <w:bookmarkEnd w:id="4"/>
      <w:r w:rsidR="00B56DB6">
        <w:br/>
      </w:r>
    </w:p>
    <w:p w:rsidR="00BF3FD4" w:rsidRPr="00BF3FD4" w:rsidRDefault="00F56043" w:rsidP="00B56FC6">
      <w:pPr>
        <w:spacing w:line="276" w:lineRule="auto"/>
        <w:rPr>
          <w:rFonts w:ascii="Calibri" w:hAnsi="Calibri"/>
          <w:sz w:val="24"/>
        </w:rPr>
      </w:pPr>
      <w:r w:rsidRPr="008836A6">
        <w:rPr>
          <w:rFonts w:ascii="Calibri" w:hAnsi="Calibri" w:cs="Tunga"/>
          <w:color w:val="000000"/>
          <w:sz w:val="24"/>
          <w:szCs w:val="24"/>
        </w:rPr>
        <w:t>The</w:t>
      </w:r>
      <w:r w:rsidR="008E23A8">
        <w:rPr>
          <w:rFonts w:ascii="Calibri" w:hAnsi="Calibri" w:cs="Tunga"/>
          <w:color w:val="000000"/>
          <w:sz w:val="24"/>
          <w:szCs w:val="24"/>
        </w:rPr>
        <w:t xml:space="preserve"> Lewis Creek Association, through the</w:t>
      </w:r>
      <w:r w:rsidRPr="008836A6">
        <w:rPr>
          <w:rFonts w:ascii="Calibri" w:hAnsi="Calibri" w:cs="Tunga"/>
          <w:color w:val="000000"/>
          <w:sz w:val="24"/>
          <w:szCs w:val="24"/>
        </w:rPr>
        <w:t xml:space="preserve"> Addison County River Watch Collaborative </w:t>
      </w:r>
      <w:r w:rsidR="008E23A8">
        <w:rPr>
          <w:rFonts w:ascii="Calibri" w:hAnsi="Calibri" w:cs="Tunga"/>
          <w:color w:val="000000"/>
          <w:sz w:val="24"/>
          <w:szCs w:val="24"/>
        </w:rPr>
        <w:t>(ACRWC)</w:t>
      </w:r>
      <w:r w:rsidR="00EF1D61">
        <w:rPr>
          <w:rFonts w:ascii="Calibri" w:hAnsi="Calibri" w:cs="Tunga"/>
          <w:color w:val="000000"/>
          <w:sz w:val="24"/>
          <w:szCs w:val="24"/>
        </w:rPr>
        <w:t>,</w:t>
      </w:r>
      <w:r w:rsidR="008E23A8">
        <w:rPr>
          <w:rFonts w:ascii="Calibri" w:hAnsi="Calibri" w:cs="Tunga"/>
          <w:color w:val="000000"/>
          <w:sz w:val="24"/>
          <w:szCs w:val="24"/>
        </w:rPr>
        <w:t xml:space="preserve"> </w:t>
      </w:r>
      <w:r w:rsidRPr="008836A6">
        <w:rPr>
          <w:rFonts w:ascii="Calibri" w:hAnsi="Calibri" w:cs="Tunga"/>
          <w:color w:val="000000"/>
          <w:sz w:val="24"/>
          <w:szCs w:val="24"/>
        </w:rPr>
        <w:t xml:space="preserve">has been monitoring water quality </w:t>
      </w:r>
      <w:r w:rsidR="00BF3FD4" w:rsidRPr="008836A6">
        <w:rPr>
          <w:rFonts w:ascii="Calibri" w:hAnsi="Calibri" w:cs="Tunga"/>
          <w:color w:val="000000"/>
          <w:sz w:val="24"/>
          <w:szCs w:val="24"/>
        </w:rPr>
        <w:t xml:space="preserve">at several stations </w:t>
      </w:r>
      <w:r w:rsidRPr="008836A6">
        <w:rPr>
          <w:rFonts w:ascii="Calibri" w:hAnsi="Calibri" w:cs="Tunga"/>
          <w:color w:val="000000"/>
          <w:sz w:val="24"/>
          <w:szCs w:val="24"/>
        </w:rPr>
        <w:t>in the Lewis Creek since 1992</w:t>
      </w:r>
      <w:r w:rsidR="00082E41" w:rsidRPr="008836A6">
        <w:rPr>
          <w:rFonts w:ascii="Calibri" w:hAnsi="Calibri" w:cs="Tunga"/>
          <w:color w:val="000000"/>
          <w:sz w:val="24"/>
          <w:szCs w:val="24"/>
        </w:rPr>
        <w:t xml:space="preserve">. </w:t>
      </w:r>
      <w:r w:rsidR="00484743" w:rsidRPr="008836A6">
        <w:rPr>
          <w:rFonts w:ascii="Calibri" w:hAnsi="Calibri" w:cs="Tunga"/>
          <w:color w:val="000000"/>
          <w:sz w:val="24"/>
          <w:szCs w:val="24"/>
        </w:rPr>
        <w:t xml:space="preserve"> </w:t>
      </w:r>
      <w:r w:rsidR="00B34F9A">
        <w:rPr>
          <w:rFonts w:cs="Tahoma"/>
          <w:sz w:val="24"/>
          <w:szCs w:val="24"/>
        </w:rPr>
        <w:t xml:space="preserve">Phosphorus, </w:t>
      </w:r>
      <w:r w:rsidR="00B34F9A" w:rsidRPr="001C4FAC">
        <w:rPr>
          <w:rFonts w:cs="Tahoma"/>
          <w:sz w:val="24"/>
          <w:szCs w:val="24"/>
        </w:rPr>
        <w:t>suspended sediments</w:t>
      </w:r>
      <w:r w:rsidR="00B34F9A">
        <w:rPr>
          <w:rFonts w:cs="Tahoma"/>
          <w:sz w:val="24"/>
          <w:szCs w:val="24"/>
        </w:rPr>
        <w:t xml:space="preserve">, and </w:t>
      </w:r>
      <w:r w:rsidR="0039536A">
        <w:rPr>
          <w:rFonts w:cs="Tahoma"/>
          <w:i/>
          <w:sz w:val="24"/>
          <w:szCs w:val="24"/>
        </w:rPr>
        <w:t>E. coli</w:t>
      </w:r>
      <w:r w:rsidR="00B34F9A" w:rsidRPr="001C4FAC">
        <w:rPr>
          <w:rFonts w:cs="Tahoma"/>
          <w:sz w:val="24"/>
          <w:szCs w:val="24"/>
        </w:rPr>
        <w:t xml:space="preserve"> are </w:t>
      </w:r>
      <w:r w:rsidR="00B34F9A">
        <w:rPr>
          <w:rFonts w:cs="Tahoma"/>
          <w:sz w:val="24"/>
          <w:szCs w:val="24"/>
        </w:rPr>
        <w:t>impacting the Creek as a result of</w:t>
      </w:r>
      <w:r w:rsidR="00B34F9A" w:rsidRPr="001C4FAC">
        <w:rPr>
          <w:rFonts w:cs="Tahoma"/>
          <w:sz w:val="24"/>
          <w:szCs w:val="24"/>
        </w:rPr>
        <w:t xml:space="preserve"> channel erosion, land erosion, and non-erosion-related nutrient </w:t>
      </w:r>
      <w:r w:rsidR="00B34F9A">
        <w:rPr>
          <w:rFonts w:cs="Tahoma"/>
          <w:sz w:val="24"/>
          <w:szCs w:val="24"/>
        </w:rPr>
        <w:t xml:space="preserve">and pathogen </w:t>
      </w:r>
      <w:r w:rsidR="00B34F9A" w:rsidRPr="001C4FAC">
        <w:rPr>
          <w:rFonts w:cs="Tahoma"/>
          <w:sz w:val="24"/>
          <w:szCs w:val="24"/>
        </w:rPr>
        <w:t>loading</w:t>
      </w:r>
      <w:r w:rsidR="00323F86">
        <w:rPr>
          <w:rFonts w:cs="Tahoma"/>
          <w:sz w:val="24"/>
          <w:szCs w:val="24"/>
        </w:rPr>
        <w:t xml:space="preserve"> (</w:t>
      </w:r>
      <w:r w:rsidR="00323F86" w:rsidRPr="0000794E">
        <w:rPr>
          <w:rFonts w:cs="Tahoma"/>
          <w:sz w:val="24"/>
        </w:rPr>
        <w:t>VTDEC, 2012; SMRC, 201</w:t>
      </w:r>
      <w:r w:rsidR="00323F86">
        <w:rPr>
          <w:rFonts w:cs="Tahoma"/>
          <w:sz w:val="24"/>
        </w:rPr>
        <w:t>0, 2013)</w:t>
      </w:r>
      <w:r w:rsidR="00B34F9A">
        <w:rPr>
          <w:rFonts w:cs="Tahoma"/>
          <w:sz w:val="24"/>
          <w:szCs w:val="24"/>
        </w:rPr>
        <w:t xml:space="preserve">.  </w:t>
      </w:r>
      <w:r w:rsidR="00B34F9A" w:rsidRPr="008836A6">
        <w:rPr>
          <w:rFonts w:ascii="Calibri" w:hAnsi="Calibri"/>
          <w:sz w:val="24"/>
          <w:szCs w:val="24"/>
        </w:rPr>
        <w:t xml:space="preserve"> </w:t>
      </w:r>
      <w:r w:rsidR="00BF3FD4" w:rsidRPr="008836A6">
        <w:rPr>
          <w:rFonts w:ascii="Calibri" w:hAnsi="Calibri"/>
          <w:sz w:val="24"/>
          <w:szCs w:val="24"/>
        </w:rPr>
        <w:t>Two sentinel stations have been established (Figur</w:t>
      </w:r>
      <w:r w:rsidR="008E23A8">
        <w:rPr>
          <w:rFonts w:ascii="Calibri" w:hAnsi="Calibri"/>
          <w:sz w:val="24"/>
          <w:szCs w:val="24"/>
        </w:rPr>
        <w:t>e 1) to track long-term (annual-</w:t>
      </w:r>
      <w:r w:rsidR="00BF3FD4" w:rsidRPr="008836A6">
        <w:rPr>
          <w:rFonts w:ascii="Calibri" w:hAnsi="Calibri"/>
          <w:sz w:val="24"/>
          <w:szCs w:val="24"/>
        </w:rPr>
        <w:t xml:space="preserve">scale) variations in water quality resulting from naturally fluctuating weather and vegetation, but also human-influenced factors such as shifting land use or changes in management practices.  </w:t>
      </w:r>
    </w:p>
    <w:p w:rsidR="00794ABB" w:rsidRDefault="00BF3FD4" w:rsidP="00AA6C4E">
      <w:pPr>
        <w:spacing w:line="276" w:lineRule="auto"/>
        <w:rPr>
          <w:rFonts w:ascii="Calibri" w:hAnsi="Calibri"/>
          <w:sz w:val="24"/>
        </w:rPr>
      </w:pPr>
      <w:r>
        <w:rPr>
          <w:rFonts w:ascii="Calibri" w:hAnsi="Calibri"/>
          <w:sz w:val="24"/>
        </w:rPr>
        <w:t xml:space="preserve">These </w:t>
      </w:r>
      <w:r w:rsidR="00075448">
        <w:rPr>
          <w:rFonts w:ascii="Calibri" w:hAnsi="Calibri"/>
          <w:sz w:val="24"/>
        </w:rPr>
        <w:t xml:space="preserve">two </w:t>
      </w:r>
      <w:r>
        <w:rPr>
          <w:rFonts w:ascii="Calibri" w:hAnsi="Calibri"/>
          <w:sz w:val="24"/>
        </w:rPr>
        <w:t>sentinel stations</w:t>
      </w:r>
      <w:r w:rsidR="00075448">
        <w:rPr>
          <w:rFonts w:ascii="Calibri" w:hAnsi="Calibri"/>
          <w:sz w:val="24"/>
        </w:rPr>
        <w:t xml:space="preserve"> </w:t>
      </w:r>
      <w:r w:rsidR="00075448" w:rsidRPr="00EE3C5B">
        <w:rPr>
          <w:rFonts w:ascii="Calibri" w:hAnsi="Calibri"/>
          <w:sz w:val="24"/>
        </w:rPr>
        <w:t xml:space="preserve">complement </w:t>
      </w:r>
      <w:r w:rsidR="00EE3C5B" w:rsidRPr="00EE3C5B">
        <w:rPr>
          <w:rFonts w:ascii="Calibri" w:hAnsi="Calibri"/>
          <w:sz w:val="24"/>
        </w:rPr>
        <w:t>20</w:t>
      </w:r>
      <w:r w:rsidR="00075448" w:rsidRPr="00EE3C5B">
        <w:rPr>
          <w:rFonts w:ascii="Calibri" w:hAnsi="Calibri"/>
          <w:sz w:val="24"/>
        </w:rPr>
        <w:t xml:space="preserve"> additional </w:t>
      </w:r>
      <w:r w:rsidR="00075448">
        <w:rPr>
          <w:rFonts w:ascii="Calibri" w:hAnsi="Calibri"/>
          <w:sz w:val="24"/>
        </w:rPr>
        <w:t xml:space="preserve">monitoring stations in the watershed </w:t>
      </w:r>
      <w:r w:rsidR="008E23A8">
        <w:rPr>
          <w:rFonts w:ascii="Calibri" w:hAnsi="Calibri"/>
          <w:sz w:val="24"/>
        </w:rPr>
        <w:t>sampled less frequently</w:t>
      </w:r>
      <w:r w:rsidR="00075448">
        <w:rPr>
          <w:rFonts w:ascii="Calibri" w:hAnsi="Calibri"/>
          <w:sz w:val="24"/>
        </w:rPr>
        <w:t xml:space="preserve"> in support</w:t>
      </w:r>
      <w:r>
        <w:rPr>
          <w:rFonts w:ascii="Calibri" w:hAnsi="Calibri"/>
          <w:sz w:val="24"/>
        </w:rPr>
        <w:t xml:space="preserve"> </w:t>
      </w:r>
      <w:r w:rsidR="00075448">
        <w:rPr>
          <w:rFonts w:ascii="Calibri" w:hAnsi="Calibri"/>
          <w:sz w:val="24"/>
        </w:rPr>
        <w:t>of</w:t>
      </w:r>
      <w:r>
        <w:rPr>
          <w:rFonts w:ascii="Calibri" w:hAnsi="Calibri"/>
          <w:sz w:val="24"/>
        </w:rPr>
        <w:t xml:space="preserve"> other monitoring objectives, such as spatial trend monitoring, </w:t>
      </w:r>
      <w:r w:rsidRPr="00BF3FD4">
        <w:rPr>
          <w:rFonts w:ascii="Calibri" w:hAnsi="Calibri"/>
          <w:sz w:val="24"/>
        </w:rPr>
        <w:t xml:space="preserve">bracketing monitoring to discern effectiveness </w:t>
      </w:r>
      <w:r>
        <w:rPr>
          <w:rFonts w:ascii="Calibri" w:hAnsi="Calibri"/>
          <w:sz w:val="24"/>
        </w:rPr>
        <w:t xml:space="preserve">of </w:t>
      </w:r>
      <w:r w:rsidRPr="00BF3FD4">
        <w:rPr>
          <w:rFonts w:ascii="Calibri" w:hAnsi="Calibri"/>
          <w:sz w:val="24"/>
        </w:rPr>
        <w:t>treatment</w:t>
      </w:r>
      <w:r>
        <w:rPr>
          <w:rFonts w:ascii="Calibri" w:hAnsi="Calibri"/>
          <w:sz w:val="24"/>
        </w:rPr>
        <w:t xml:space="preserve"> practices, health and safety monitoring</w:t>
      </w:r>
      <w:r w:rsidR="00075448">
        <w:rPr>
          <w:rFonts w:ascii="Calibri" w:hAnsi="Calibri"/>
          <w:sz w:val="24"/>
        </w:rPr>
        <w:t xml:space="preserve"> at recreational sites, and evaluation </w:t>
      </w:r>
      <w:r w:rsidR="008E23A8">
        <w:rPr>
          <w:rFonts w:ascii="Calibri" w:hAnsi="Calibri"/>
          <w:sz w:val="24"/>
        </w:rPr>
        <w:t xml:space="preserve">of </w:t>
      </w:r>
      <w:r w:rsidR="00EE3C5B">
        <w:rPr>
          <w:rFonts w:ascii="Calibri" w:hAnsi="Calibri"/>
          <w:sz w:val="24"/>
        </w:rPr>
        <w:t xml:space="preserve">instream </w:t>
      </w:r>
      <w:r w:rsidR="008E23A8">
        <w:rPr>
          <w:rFonts w:ascii="Calibri" w:hAnsi="Calibri"/>
          <w:sz w:val="24"/>
        </w:rPr>
        <w:t>biologi</w:t>
      </w:r>
      <w:r w:rsidR="00EE3C5B">
        <w:rPr>
          <w:rFonts w:ascii="Calibri" w:hAnsi="Calibri"/>
          <w:sz w:val="24"/>
        </w:rPr>
        <w:t>cal health and reference-</w:t>
      </w:r>
      <w:r w:rsidR="008E23A8">
        <w:rPr>
          <w:rFonts w:ascii="Calibri" w:hAnsi="Calibri"/>
          <w:sz w:val="24"/>
        </w:rPr>
        <w:t>reach status</w:t>
      </w:r>
      <w:r>
        <w:rPr>
          <w:rFonts w:ascii="Calibri" w:hAnsi="Calibri"/>
          <w:sz w:val="24"/>
        </w:rPr>
        <w:t>.</w:t>
      </w:r>
      <w:r w:rsidR="00323F86">
        <w:rPr>
          <w:rFonts w:ascii="Calibri" w:hAnsi="Calibri"/>
          <w:sz w:val="24"/>
        </w:rPr>
        <w:t xml:space="preserve"> </w:t>
      </w:r>
      <w:r w:rsidR="00794ABB">
        <w:rPr>
          <w:rFonts w:ascii="Calibri" w:hAnsi="Calibri"/>
          <w:sz w:val="24"/>
        </w:rPr>
        <w:t xml:space="preserve">This report examines historic water quality at these two sentinel stations to discern possible </w:t>
      </w:r>
      <w:proofErr w:type="spellStart"/>
      <w:r w:rsidR="00794ABB">
        <w:rPr>
          <w:rFonts w:ascii="Calibri" w:hAnsi="Calibri"/>
          <w:sz w:val="24"/>
        </w:rPr>
        <w:t>longterm</w:t>
      </w:r>
      <w:proofErr w:type="spellEnd"/>
      <w:r w:rsidR="00794ABB">
        <w:rPr>
          <w:rFonts w:ascii="Calibri" w:hAnsi="Calibri"/>
          <w:sz w:val="24"/>
        </w:rPr>
        <w:t xml:space="preserve">, gradual changes in </w:t>
      </w:r>
      <w:r w:rsidR="00484743">
        <w:rPr>
          <w:rFonts w:ascii="Calibri" w:hAnsi="Calibri"/>
          <w:sz w:val="24"/>
        </w:rPr>
        <w:t xml:space="preserve">sediment, </w:t>
      </w:r>
      <w:proofErr w:type="gramStart"/>
      <w:r w:rsidR="00484743">
        <w:rPr>
          <w:rFonts w:ascii="Calibri" w:hAnsi="Calibri"/>
          <w:sz w:val="24"/>
        </w:rPr>
        <w:t>pathogen</w:t>
      </w:r>
      <w:proofErr w:type="gramEnd"/>
      <w:r w:rsidR="00484743">
        <w:rPr>
          <w:rFonts w:ascii="Calibri" w:hAnsi="Calibri"/>
          <w:sz w:val="24"/>
        </w:rPr>
        <w:t xml:space="preserve"> and nutrient concentrations over time</w:t>
      </w:r>
      <w:r w:rsidR="00794ABB">
        <w:rPr>
          <w:rFonts w:ascii="Calibri" w:hAnsi="Calibri"/>
          <w:sz w:val="24"/>
        </w:rPr>
        <w:t xml:space="preserve">.  </w:t>
      </w:r>
      <w:r w:rsidR="00C66EAF">
        <w:rPr>
          <w:rFonts w:ascii="Calibri" w:hAnsi="Calibri"/>
          <w:sz w:val="24"/>
        </w:rPr>
        <w:br/>
      </w:r>
    </w:p>
    <w:p w:rsidR="00537C63" w:rsidRDefault="00537C63" w:rsidP="00537C63">
      <w:pPr>
        <w:pStyle w:val="Heading1"/>
      </w:pPr>
      <w:bookmarkStart w:id="5" w:name="_Toc497244912"/>
      <w:r>
        <w:t>2.0</w:t>
      </w:r>
      <w:r>
        <w:tab/>
        <w:t>Background</w:t>
      </w:r>
      <w:bookmarkEnd w:id="5"/>
    </w:p>
    <w:p w:rsidR="003F73F9" w:rsidRPr="00F26E3E" w:rsidRDefault="00537C63" w:rsidP="00537C63">
      <w:pPr>
        <w:pStyle w:val="Heading2"/>
      </w:pPr>
      <w:bookmarkStart w:id="6" w:name="_Toc497244913"/>
      <w:r>
        <w:t>2.1</w:t>
      </w:r>
      <w:r>
        <w:tab/>
      </w:r>
      <w:r w:rsidR="00884987" w:rsidRPr="00F26E3E">
        <w:t>Description of Watershed</w:t>
      </w:r>
      <w:bookmarkEnd w:id="6"/>
    </w:p>
    <w:p w:rsidR="003F73F9" w:rsidRDefault="003F73F9" w:rsidP="00F26E3E">
      <w:pPr>
        <w:autoSpaceDE w:val="0"/>
        <w:autoSpaceDN w:val="0"/>
        <w:adjustRightInd w:val="0"/>
        <w:spacing w:line="276" w:lineRule="auto"/>
        <w:rPr>
          <w:rFonts w:cstheme="minorHAnsi"/>
          <w:sz w:val="24"/>
          <w:szCs w:val="24"/>
        </w:rPr>
      </w:pPr>
      <w:r w:rsidRPr="00F26E3E">
        <w:rPr>
          <w:rFonts w:cstheme="minorHAnsi"/>
          <w:sz w:val="24"/>
          <w:szCs w:val="24"/>
        </w:rPr>
        <w:t>The Lewis Creek watershed is an 81-square-mile basin located in Addison and</w:t>
      </w:r>
      <w:r w:rsidR="00F26E3E">
        <w:rPr>
          <w:rFonts w:cstheme="minorHAnsi"/>
          <w:sz w:val="24"/>
          <w:szCs w:val="24"/>
        </w:rPr>
        <w:t xml:space="preserve"> </w:t>
      </w:r>
      <w:r w:rsidRPr="00F26E3E">
        <w:rPr>
          <w:rFonts w:cstheme="minorHAnsi"/>
          <w:sz w:val="24"/>
          <w:szCs w:val="24"/>
        </w:rPr>
        <w:t>C</w:t>
      </w:r>
      <w:r w:rsidR="00B81BBD">
        <w:rPr>
          <w:rFonts w:cstheme="minorHAnsi"/>
          <w:sz w:val="24"/>
          <w:szCs w:val="24"/>
        </w:rPr>
        <w:t>hittenden Counties,</w:t>
      </w:r>
      <w:r w:rsidR="00537C63">
        <w:rPr>
          <w:rFonts w:cstheme="minorHAnsi"/>
          <w:sz w:val="24"/>
          <w:szCs w:val="24"/>
        </w:rPr>
        <w:t xml:space="preserve"> Vermont, and </w:t>
      </w:r>
      <w:r w:rsidRPr="00F26E3E">
        <w:rPr>
          <w:rFonts w:cstheme="minorHAnsi"/>
          <w:sz w:val="24"/>
          <w:szCs w:val="24"/>
        </w:rPr>
        <w:t xml:space="preserve">drains directly into Lake Champlain at Hawkins Bay near Long Point and Gardner Island.  The watershed spans two major geologic </w:t>
      </w:r>
      <w:r w:rsidR="00F26E3E">
        <w:rPr>
          <w:rFonts w:cstheme="minorHAnsi"/>
          <w:sz w:val="24"/>
          <w:szCs w:val="24"/>
        </w:rPr>
        <w:t xml:space="preserve">provinces. Approximately 30% of </w:t>
      </w:r>
      <w:r w:rsidRPr="00F26E3E">
        <w:rPr>
          <w:rFonts w:cstheme="minorHAnsi"/>
          <w:sz w:val="24"/>
          <w:szCs w:val="24"/>
        </w:rPr>
        <w:t>the watershed occupies the till-blanketed bedrock slopes of the Northern</w:t>
      </w:r>
      <w:r w:rsidR="00EE3C5B">
        <w:rPr>
          <w:rFonts w:cstheme="minorHAnsi"/>
          <w:sz w:val="24"/>
          <w:szCs w:val="24"/>
        </w:rPr>
        <w:t xml:space="preserve"> Green Mountain province within </w:t>
      </w:r>
      <w:r w:rsidR="00F26E3E">
        <w:rPr>
          <w:rFonts w:cstheme="minorHAnsi"/>
          <w:sz w:val="24"/>
          <w:szCs w:val="24"/>
        </w:rPr>
        <w:t xml:space="preserve">the </w:t>
      </w:r>
      <w:r w:rsidRPr="00F26E3E">
        <w:rPr>
          <w:rFonts w:cstheme="minorHAnsi"/>
          <w:sz w:val="24"/>
          <w:szCs w:val="24"/>
        </w:rPr>
        <w:t xml:space="preserve">steep headwaters of </w:t>
      </w:r>
      <w:r w:rsidR="00EE3C5B">
        <w:rPr>
          <w:rFonts w:cstheme="minorHAnsi"/>
          <w:sz w:val="24"/>
          <w:szCs w:val="24"/>
        </w:rPr>
        <w:t xml:space="preserve">the </w:t>
      </w:r>
      <w:r w:rsidRPr="00F26E3E">
        <w:rPr>
          <w:rFonts w:cstheme="minorHAnsi"/>
          <w:sz w:val="24"/>
          <w:szCs w:val="24"/>
        </w:rPr>
        <w:t>Lewis Creek main stem, High Knob tributary and Hol</w:t>
      </w:r>
      <w:r w:rsidR="00F26E3E">
        <w:rPr>
          <w:rFonts w:cstheme="minorHAnsi"/>
          <w:sz w:val="24"/>
          <w:szCs w:val="24"/>
        </w:rPr>
        <w:t xml:space="preserve">low Brook in eastern </w:t>
      </w:r>
      <w:proofErr w:type="spellStart"/>
      <w:r w:rsidR="00F26E3E">
        <w:rPr>
          <w:rFonts w:cstheme="minorHAnsi"/>
          <w:sz w:val="24"/>
          <w:szCs w:val="24"/>
        </w:rPr>
        <w:t>Starksboro</w:t>
      </w:r>
      <w:proofErr w:type="spellEnd"/>
      <w:r w:rsidR="00F26E3E">
        <w:rPr>
          <w:rFonts w:cstheme="minorHAnsi"/>
          <w:sz w:val="24"/>
          <w:szCs w:val="24"/>
        </w:rPr>
        <w:t xml:space="preserve"> </w:t>
      </w:r>
      <w:r w:rsidRPr="00F26E3E">
        <w:rPr>
          <w:rFonts w:cstheme="minorHAnsi"/>
          <w:sz w:val="24"/>
          <w:szCs w:val="24"/>
        </w:rPr>
        <w:t>and Hinesburg. The remaining 70% of the Lewis Creek watershed</w:t>
      </w:r>
      <w:r w:rsidR="00537C63">
        <w:rPr>
          <w:rFonts w:cstheme="minorHAnsi"/>
          <w:sz w:val="24"/>
          <w:szCs w:val="24"/>
        </w:rPr>
        <w:t>, including the Pond Brook tributary,</w:t>
      </w:r>
      <w:r w:rsidRPr="00F26E3E">
        <w:rPr>
          <w:rFonts w:cstheme="minorHAnsi"/>
          <w:sz w:val="24"/>
          <w:szCs w:val="24"/>
        </w:rPr>
        <w:t xml:space="preserve"> is po</w:t>
      </w:r>
      <w:r w:rsidR="00F26E3E">
        <w:rPr>
          <w:rFonts w:cstheme="minorHAnsi"/>
          <w:sz w:val="24"/>
          <w:szCs w:val="24"/>
        </w:rPr>
        <w:t xml:space="preserve">sitioned in the broad Champlain </w:t>
      </w:r>
      <w:r w:rsidRPr="00F26E3E">
        <w:rPr>
          <w:rFonts w:cstheme="minorHAnsi"/>
          <w:sz w:val="24"/>
          <w:szCs w:val="24"/>
        </w:rPr>
        <w:t xml:space="preserve">Valley province (Stewart, 1973; </w:t>
      </w:r>
      <w:proofErr w:type="spellStart"/>
      <w:r w:rsidRPr="00F26E3E">
        <w:rPr>
          <w:rFonts w:cstheme="minorHAnsi"/>
          <w:sz w:val="24"/>
          <w:szCs w:val="24"/>
        </w:rPr>
        <w:t>Capen</w:t>
      </w:r>
      <w:proofErr w:type="spellEnd"/>
      <w:r w:rsidRPr="00F26E3E">
        <w:rPr>
          <w:rFonts w:cstheme="minorHAnsi"/>
          <w:sz w:val="24"/>
          <w:szCs w:val="24"/>
        </w:rPr>
        <w:t>, 1998).</w:t>
      </w:r>
    </w:p>
    <w:p w:rsidR="00C66EAF" w:rsidRPr="00C66EAF" w:rsidRDefault="00C66EAF" w:rsidP="00C66EAF">
      <w:pPr>
        <w:spacing w:line="276" w:lineRule="auto"/>
        <w:rPr>
          <w:rFonts w:ascii="Calibri" w:hAnsi="Calibri" w:cs="Tahoma"/>
          <w:sz w:val="24"/>
          <w:szCs w:val="24"/>
        </w:rPr>
      </w:pPr>
      <w:r w:rsidRPr="00EF1D61">
        <w:rPr>
          <w:rFonts w:ascii="Calibri" w:hAnsi="Calibri"/>
          <w:color w:val="000000"/>
          <w:sz w:val="24"/>
          <w:szCs w:val="24"/>
        </w:rPr>
        <w:t xml:space="preserve">Lewis Creek is a largely rural watershed, dominated by agricultural and forested land uses, with lesser percentages of urbanized land cover associated with roads and driveways, sparse development, and the village centers of </w:t>
      </w:r>
      <w:proofErr w:type="spellStart"/>
      <w:r w:rsidRPr="00EF1D61">
        <w:rPr>
          <w:rFonts w:ascii="Calibri" w:hAnsi="Calibri"/>
          <w:color w:val="000000"/>
          <w:sz w:val="24"/>
          <w:szCs w:val="24"/>
        </w:rPr>
        <w:t>Starksboro</w:t>
      </w:r>
      <w:proofErr w:type="spellEnd"/>
      <w:r w:rsidRPr="00EF1D61">
        <w:rPr>
          <w:rFonts w:ascii="Calibri" w:hAnsi="Calibri"/>
          <w:color w:val="000000"/>
          <w:sz w:val="24"/>
          <w:szCs w:val="24"/>
        </w:rPr>
        <w:t xml:space="preserve"> and North </w:t>
      </w:r>
      <w:proofErr w:type="spellStart"/>
      <w:r w:rsidRPr="00EF1D61">
        <w:rPr>
          <w:rFonts w:ascii="Calibri" w:hAnsi="Calibri"/>
          <w:color w:val="000000"/>
          <w:sz w:val="24"/>
          <w:szCs w:val="24"/>
        </w:rPr>
        <w:t>Ferrisburgh</w:t>
      </w:r>
      <w:proofErr w:type="spellEnd"/>
      <w:r w:rsidRPr="00EF1D61">
        <w:rPr>
          <w:rFonts w:ascii="Calibri" w:hAnsi="Calibri"/>
          <w:color w:val="000000"/>
          <w:sz w:val="24"/>
          <w:szCs w:val="24"/>
        </w:rPr>
        <w:t xml:space="preserve">.   </w:t>
      </w:r>
      <w:r>
        <w:rPr>
          <w:rFonts w:ascii="Calibri" w:hAnsi="Calibri" w:cs="Tahoma"/>
          <w:sz w:val="24"/>
          <w:szCs w:val="24"/>
        </w:rPr>
        <w:t>L</w:t>
      </w:r>
      <w:r w:rsidRPr="00EF1D61">
        <w:rPr>
          <w:rFonts w:ascii="Calibri" w:hAnsi="Calibri" w:cs="Tahoma"/>
          <w:sz w:val="24"/>
          <w:szCs w:val="24"/>
        </w:rPr>
        <w:t xml:space="preserve">and cover in the Lewis Creek watershed has remained fairly consistent over the monitoring period from water year 1991 through 2015.  Population centers (e.g., </w:t>
      </w:r>
      <w:proofErr w:type="spellStart"/>
      <w:r w:rsidRPr="00EF1D61">
        <w:rPr>
          <w:rFonts w:ascii="Calibri" w:hAnsi="Calibri" w:cs="Tahoma"/>
          <w:sz w:val="24"/>
          <w:szCs w:val="24"/>
        </w:rPr>
        <w:t>Starksboro</w:t>
      </w:r>
      <w:proofErr w:type="spellEnd"/>
      <w:r w:rsidRPr="00EF1D61">
        <w:rPr>
          <w:rFonts w:ascii="Calibri" w:hAnsi="Calibri" w:cs="Tahoma"/>
          <w:sz w:val="24"/>
          <w:szCs w:val="24"/>
        </w:rPr>
        <w:t xml:space="preserve"> village, North </w:t>
      </w:r>
      <w:proofErr w:type="spellStart"/>
      <w:r w:rsidRPr="00EF1D61">
        <w:rPr>
          <w:rFonts w:ascii="Calibri" w:hAnsi="Calibri" w:cs="Tahoma"/>
          <w:sz w:val="24"/>
          <w:szCs w:val="24"/>
        </w:rPr>
        <w:t>Ferrisburgh</w:t>
      </w:r>
      <w:proofErr w:type="spellEnd"/>
      <w:r w:rsidRPr="00EF1D61">
        <w:rPr>
          <w:rFonts w:ascii="Calibri" w:hAnsi="Calibri" w:cs="Tahoma"/>
          <w:sz w:val="24"/>
          <w:szCs w:val="24"/>
        </w:rPr>
        <w:t xml:space="preserve"> village) have not grown appreciably in the last 25 years.</w:t>
      </w:r>
    </w:p>
    <w:p w:rsidR="00A00945" w:rsidRDefault="00397B32" w:rsidP="00397B32">
      <w:pPr>
        <w:autoSpaceDE w:val="0"/>
        <w:autoSpaceDN w:val="0"/>
        <w:adjustRightInd w:val="0"/>
        <w:spacing w:line="276" w:lineRule="auto"/>
        <w:jc w:val="center"/>
        <w:rPr>
          <w:rFonts w:cstheme="minorHAnsi"/>
          <w:sz w:val="24"/>
          <w:szCs w:val="24"/>
        </w:rPr>
      </w:pPr>
      <w:r>
        <w:rPr>
          <w:rFonts w:cstheme="minorHAnsi"/>
          <w:noProof/>
          <w:sz w:val="24"/>
          <w:szCs w:val="24"/>
        </w:rPr>
        <w:lastRenderedPageBreak/>
        <w:drawing>
          <wp:inline distT="0" distB="0" distL="0" distR="0" wp14:anchorId="6D8747FB" wp14:editId="79E15161">
            <wp:extent cx="4630506" cy="4343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1392" cy="4362991"/>
                    </a:xfrm>
                    <a:prstGeom prst="rect">
                      <a:avLst/>
                    </a:prstGeom>
                    <a:noFill/>
                  </pic:spPr>
                </pic:pic>
              </a:graphicData>
            </a:graphic>
          </wp:inline>
        </w:drawing>
      </w:r>
    </w:p>
    <w:p w:rsidR="006148CC" w:rsidRPr="009D2B86" w:rsidRDefault="00B81BBD" w:rsidP="00B81BBD">
      <w:pPr>
        <w:autoSpaceDE w:val="0"/>
        <w:autoSpaceDN w:val="0"/>
        <w:adjustRightInd w:val="0"/>
        <w:spacing w:line="276" w:lineRule="auto"/>
        <w:jc w:val="center"/>
        <w:rPr>
          <w:rFonts w:cstheme="minorHAnsi"/>
          <w:i/>
          <w:sz w:val="24"/>
          <w:szCs w:val="24"/>
        </w:rPr>
      </w:pPr>
      <w:proofErr w:type="gramStart"/>
      <w:r w:rsidRPr="009D2B86">
        <w:rPr>
          <w:rFonts w:cstheme="minorHAnsi"/>
          <w:i/>
          <w:sz w:val="24"/>
          <w:szCs w:val="24"/>
        </w:rPr>
        <w:t>Figure 1.</w:t>
      </w:r>
      <w:proofErr w:type="gramEnd"/>
      <w:r w:rsidRPr="009D2B86">
        <w:rPr>
          <w:rFonts w:cstheme="minorHAnsi"/>
          <w:i/>
          <w:sz w:val="24"/>
          <w:szCs w:val="24"/>
        </w:rPr>
        <w:t xml:space="preserve">  Location of sentinel stations in Lewis Creek Watershed</w:t>
      </w:r>
    </w:p>
    <w:p w:rsidR="008836A6" w:rsidRDefault="008836A6" w:rsidP="008836A6">
      <w:pPr>
        <w:spacing w:line="276" w:lineRule="auto"/>
      </w:pPr>
    </w:p>
    <w:p w:rsidR="006148CC" w:rsidRDefault="00EE3C5B" w:rsidP="00B81BBD">
      <w:pPr>
        <w:pStyle w:val="Heading2"/>
      </w:pPr>
      <w:bookmarkStart w:id="7" w:name="_Toc497244914"/>
      <w:r>
        <w:t>2.</w:t>
      </w:r>
      <w:r w:rsidR="00C66EAF">
        <w:t>2</w:t>
      </w:r>
      <w:r w:rsidR="00B81BBD">
        <w:tab/>
      </w:r>
      <w:r w:rsidR="00B86E18">
        <w:t xml:space="preserve">Description of </w:t>
      </w:r>
      <w:r w:rsidR="008A70EF">
        <w:t>Sentinel Stations</w:t>
      </w:r>
      <w:bookmarkEnd w:id="7"/>
    </w:p>
    <w:p w:rsidR="00C66EAF" w:rsidRDefault="00C66EAF" w:rsidP="00C66EAF">
      <w:pPr>
        <w:spacing w:line="276" w:lineRule="auto"/>
        <w:rPr>
          <w:sz w:val="24"/>
        </w:rPr>
      </w:pPr>
    </w:p>
    <w:p w:rsidR="00B56FC6" w:rsidRPr="00C66EAF" w:rsidRDefault="00C66EAF" w:rsidP="00C66EAF">
      <w:pPr>
        <w:spacing w:line="276" w:lineRule="auto"/>
        <w:rPr>
          <w:sz w:val="24"/>
        </w:rPr>
      </w:pPr>
      <w:r w:rsidRPr="00C66EAF">
        <w:rPr>
          <w:sz w:val="24"/>
        </w:rPr>
        <w:t>Sentinel station, LCR14, is located at the Tyler Bridge Road crossing of Lewis Creek approximately 1,500 feet downstream of the confluence of Hollow Brook tributary in the town of Monkton.  This station has an upstream drainage area of 36.0 square miles (mi</w:t>
      </w:r>
      <w:r w:rsidRPr="00C66EAF">
        <w:rPr>
          <w:sz w:val="24"/>
          <w:vertAlign w:val="superscript"/>
        </w:rPr>
        <w:t>2</w:t>
      </w:r>
      <w:r w:rsidRPr="00C66EAF">
        <w:rPr>
          <w:sz w:val="24"/>
        </w:rPr>
        <w:t xml:space="preserve">). </w:t>
      </w:r>
    </w:p>
    <w:p w:rsidR="00B86E18" w:rsidRPr="00B86E18" w:rsidRDefault="00C66EAF" w:rsidP="00B56FC6">
      <w:pPr>
        <w:pStyle w:val="ListParagraph"/>
        <w:numPr>
          <w:ilvl w:val="0"/>
          <w:numId w:val="4"/>
        </w:numPr>
        <w:spacing w:line="276" w:lineRule="auto"/>
        <w:rPr>
          <w:rFonts w:ascii="Calibri" w:hAnsi="Calibri"/>
          <w:sz w:val="24"/>
        </w:rPr>
      </w:pPr>
      <w:r>
        <w:rPr>
          <w:rFonts w:cstheme="minorHAnsi"/>
          <w:sz w:val="24"/>
          <w:szCs w:val="24"/>
        </w:rPr>
        <w:t xml:space="preserve">Soils:  </w:t>
      </w:r>
      <w:r w:rsidR="00B56FC6" w:rsidRPr="00A00945">
        <w:rPr>
          <w:rFonts w:cstheme="minorHAnsi"/>
          <w:sz w:val="24"/>
          <w:szCs w:val="24"/>
        </w:rPr>
        <w:t>Upland slopes</w:t>
      </w:r>
      <w:r w:rsidR="00B56FC6">
        <w:rPr>
          <w:rFonts w:cstheme="minorHAnsi"/>
          <w:sz w:val="24"/>
          <w:szCs w:val="24"/>
        </w:rPr>
        <w:t xml:space="preserve"> in the eastern extent of the watershed</w:t>
      </w:r>
      <w:r w:rsidR="00B56FC6" w:rsidRPr="00A00945">
        <w:rPr>
          <w:rFonts w:cstheme="minorHAnsi"/>
          <w:sz w:val="24"/>
          <w:szCs w:val="24"/>
        </w:rPr>
        <w:t xml:space="preserve"> </w:t>
      </w:r>
      <w:r w:rsidR="00B56FC6">
        <w:rPr>
          <w:rFonts w:cstheme="minorHAnsi"/>
          <w:sz w:val="24"/>
          <w:szCs w:val="24"/>
        </w:rPr>
        <w:t xml:space="preserve">draining to LCR14 </w:t>
      </w:r>
      <w:r w:rsidR="00B56FC6" w:rsidRPr="00A00945">
        <w:rPr>
          <w:rFonts w:cstheme="minorHAnsi"/>
          <w:sz w:val="24"/>
          <w:szCs w:val="24"/>
        </w:rPr>
        <w:t>are dominated by soils derived from glacial till</w:t>
      </w:r>
      <w:r w:rsidR="00B56FC6">
        <w:rPr>
          <w:rFonts w:cstheme="minorHAnsi"/>
          <w:sz w:val="24"/>
          <w:szCs w:val="24"/>
        </w:rPr>
        <w:t xml:space="preserve"> and glacial outwash deposits including kame terraces that run north-south along the flanks of the Northern Green Mountains</w:t>
      </w:r>
      <w:r w:rsidR="00B56FC6" w:rsidRPr="00A00945">
        <w:rPr>
          <w:rFonts w:cstheme="minorHAnsi"/>
          <w:sz w:val="24"/>
          <w:szCs w:val="24"/>
        </w:rPr>
        <w:t>.</w:t>
      </w:r>
      <w:r w:rsidR="00B56FC6">
        <w:rPr>
          <w:rFonts w:cstheme="minorHAnsi"/>
          <w:sz w:val="24"/>
          <w:szCs w:val="24"/>
        </w:rPr>
        <w:t xml:space="preserve">  These soils are a mix of sediment sizes and </w:t>
      </w:r>
      <w:proofErr w:type="spellStart"/>
      <w:r w:rsidR="00B56FC6">
        <w:rPr>
          <w:rFonts w:cstheme="minorHAnsi"/>
          <w:sz w:val="24"/>
          <w:szCs w:val="24"/>
        </w:rPr>
        <w:t>permeabilities</w:t>
      </w:r>
      <w:proofErr w:type="spellEnd"/>
      <w:r w:rsidR="00B56FC6">
        <w:rPr>
          <w:rFonts w:cstheme="minorHAnsi"/>
          <w:sz w:val="24"/>
          <w:szCs w:val="24"/>
        </w:rPr>
        <w:t>, ranging from higher infiltration capacities of the outwash deposits and ablation tills to lower infiltration capacities of soils formed on the dense till and glacial lake deposits.</w:t>
      </w:r>
      <w:r w:rsidR="00B86E18">
        <w:rPr>
          <w:rFonts w:cstheme="minorHAnsi"/>
          <w:sz w:val="24"/>
          <w:szCs w:val="24"/>
        </w:rPr>
        <w:br/>
      </w:r>
    </w:p>
    <w:p w:rsidR="00B56FC6" w:rsidRPr="00B86E18" w:rsidRDefault="00B86E18" w:rsidP="00B86E18">
      <w:pPr>
        <w:pStyle w:val="ListParagraph"/>
        <w:numPr>
          <w:ilvl w:val="0"/>
          <w:numId w:val="4"/>
        </w:numPr>
        <w:spacing w:line="276" w:lineRule="auto"/>
        <w:rPr>
          <w:sz w:val="24"/>
        </w:rPr>
      </w:pPr>
      <w:r>
        <w:rPr>
          <w:sz w:val="24"/>
        </w:rPr>
        <w:lastRenderedPageBreak/>
        <w:t xml:space="preserve">Land cover / land use: </w:t>
      </w:r>
      <w:r w:rsidRPr="00B86E18">
        <w:rPr>
          <w:sz w:val="24"/>
        </w:rPr>
        <w:t xml:space="preserve">The sub-watershed draining to LCR14 is </w:t>
      </w:r>
      <w:r>
        <w:rPr>
          <w:sz w:val="24"/>
        </w:rPr>
        <w:t>largely</w:t>
      </w:r>
      <w:r w:rsidRPr="00B86E18">
        <w:rPr>
          <w:sz w:val="24"/>
        </w:rPr>
        <w:t xml:space="preserve"> forested (79%) but contains significant agricultural (13%) and developed uses (6%), particularly along the main stem through the </w:t>
      </w:r>
      <w:proofErr w:type="spellStart"/>
      <w:r w:rsidRPr="00B86E18">
        <w:rPr>
          <w:sz w:val="24"/>
        </w:rPr>
        <w:t>Starksboro</w:t>
      </w:r>
      <w:proofErr w:type="spellEnd"/>
      <w:r w:rsidRPr="00B86E18">
        <w:rPr>
          <w:sz w:val="24"/>
        </w:rPr>
        <w:t xml:space="preserve"> valley</w:t>
      </w:r>
      <w:r>
        <w:rPr>
          <w:sz w:val="24"/>
        </w:rPr>
        <w:t xml:space="preserve"> </w:t>
      </w:r>
      <w:r w:rsidRPr="00B86E18">
        <w:rPr>
          <w:sz w:val="24"/>
        </w:rPr>
        <w:t xml:space="preserve">(Troy </w:t>
      </w:r>
      <w:r w:rsidRPr="00B86E18">
        <w:rPr>
          <w:i/>
          <w:sz w:val="24"/>
        </w:rPr>
        <w:t>et al</w:t>
      </w:r>
      <w:r>
        <w:rPr>
          <w:sz w:val="24"/>
        </w:rPr>
        <w:t>., 2007; source date 2001)</w:t>
      </w:r>
      <w:r w:rsidRPr="00B86E18">
        <w:rPr>
          <w:sz w:val="24"/>
        </w:rPr>
        <w:t xml:space="preserve">.  </w:t>
      </w:r>
      <w:r w:rsidRPr="00B86E18">
        <w:rPr>
          <w:rFonts w:cs="Tunga"/>
          <w:sz w:val="24"/>
        </w:rPr>
        <w:t>Station LCR14 is located 1,500 feet downstream of the confluence with Hollow Brook tributary which flows through wetlands populated by beavers.</w:t>
      </w:r>
      <w:r w:rsidRPr="00B86E18">
        <w:rPr>
          <w:sz w:val="24"/>
        </w:rPr>
        <w:t xml:space="preserve"> </w:t>
      </w:r>
      <w:r w:rsidRPr="00B86E18">
        <w:rPr>
          <w:rFonts w:cs="Tunga"/>
          <w:sz w:val="24"/>
        </w:rPr>
        <w:t xml:space="preserve">This station is also located one mile downstream of a pasture where for several decades dairy cows have had direct access to the stream along a mile of pasture.  Since 2007, a second farm located 0.3 mile upstream of LCR14 has excluded dairy cows along 3,600 feet the Lewis Creek via fencing, and reduced access to a single stabilized crossing.   </w:t>
      </w:r>
    </w:p>
    <w:p w:rsidR="00C66EAF" w:rsidRDefault="00C66EAF" w:rsidP="00C66EAF">
      <w:pPr>
        <w:spacing w:line="276" w:lineRule="auto"/>
        <w:rPr>
          <w:rFonts w:ascii="Calibri" w:hAnsi="Calibri"/>
          <w:sz w:val="24"/>
        </w:rPr>
      </w:pPr>
      <w:r>
        <w:rPr>
          <w:rFonts w:ascii="Calibri" w:hAnsi="Calibri"/>
          <w:sz w:val="24"/>
        </w:rPr>
        <w:t xml:space="preserve">Sentinel station, </w:t>
      </w:r>
      <w:r w:rsidR="00B56FC6" w:rsidRPr="00C66EAF">
        <w:rPr>
          <w:rFonts w:ascii="Calibri" w:hAnsi="Calibri"/>
          <w:sz w:val="24"/>
        </w:rPr>
        <w:t>LCR3.7</w:t>
      </w:r>
      <w:r>
        <w:rPr>
          <w:rFonts w:ascii="Calibri" w:hAnsi="Calibri"/>
          <w:sz w:val="24"/>
        </w:rPr>
        <w:t>,</w:t>
      </w:r>
      <w:r w:rsidR="00B56FC6" w:rsidRPr="00C66EAF">
        <w:rPr>
          <w:rFonts w:ascii="Calibri" w:hAnsi="Calibri"/>
          <w:sz w:val="24"/>
        </w:rPr>
        <w:t xml:space="preserve"> is located at the former Route 7 </w:t>
      </w:r>
      <w:proofErr w:type="gramStart"/>
      <w:r w:rsidR="00B56FC6" w:rsidRPr="00C66EAF">
        <w:rPr>
          <w:rFonts w:ascii="Calibri" w:hAnsi="Calibri"/>
          <w:sz w:val="24"/>
        </w:rPr>
        <w:t>bridge</w:t>
      </w:r>
      <w:proofErr w:type="gramEnd"/>
      <w:r w:rsidR="00B56FC6" w:rsidRPr="00C66EAF">
        <w:rPr>
          <w:rFonts w:ascii="Calibri" w:hAnsi="Calibri"/>
          <w:sz w:val="24"/>
        </w:rPr>
        <w:t xml:space="preserve"> crossing, approximately 1,000 feet downstream of the current US Route 7 bridge crossing and 1,500 feet downstream of the USGS streamflow gaging station in the town of </w:t>
      </w:r>
      <w:proofErr w:type="spellStart"/>
      <w:r w:rsidR="00B56FC6" w:rsidRPr="00C66EAF">
        <w:rPr>
          <w:rFonts w:ascii="Calibri" w:hAnsi="Calibri"/>
          <w:sz w:val="24"/>
        </w:rPr>
        <w:t>Ferrisburgh</w:t>
      </w:r>
      <w:proofErr w:type="spellEnd"/>
      <w:r w:rsidR="00B56FC6" w:rsidRPr="00C66EAF">
        <w:rPr>
          <w:rFonts w:ascii="Calibri" w:hAnsi="Calibri"/>
          <w:sz w:val="24"/>
        </w:rPr>
        <w:t>.  The total upstream drainage area to this station is 77.3 mi</w:t>
      </w:r>
      <w:r w:rsidR="00B56FC6" w:rsidRPr="00C66EAF">
        <w:rPr>
          <w:rFonts w:ascii="Calibri" w:hAnsi="Calibri"/>
          <w:sz w:val="24"/>
          <w:vertAlign w:val="superscript"/>
        </w:rPr>
        <w:t>2</w:t>
      </w:r>
      <w:r w:rsidR="00B56FC6" w:rsidRPr="00C66EAF">
        <w:rPr>
          <w:rFonts w:ascii="Calibri" w:hAnsi="Calibri"/>
          <w:sz w:val="24"/>
        </w:rPr>
        <w:t>, representing an incremental drainage area of 41.3 mi</w:t>
      </w:r>
      <w:r w:rsidR="00B56FC6" w:rsidRPr="00C66EAF">
        <w:rPr>
          <w:rFonts w:ascii="Calibri" w:hAnsi="Calibri"/>
          <w:sz w:val="24"/>
          <w:vertAlign w:val="superscript"/>
        </w:rPr>
        <w:t>2</w:t>
      </w:r>
      <w:r w:rsidR="00B56FC6" w:rsidRPr="00C66EAF">
        <w:rPr>
          <w:rFonts w:ascii="Calibri" w:hAnsi="Calibri"/>
          <w:sz w:val="24"/>
        </w:rPr>
        <w:t xml:space="preserve"> downstream of station LCR14.  </w:t>
      </w:r>
    </w:p>
    <w:p w:rsidR="00C66EAF" w:rsidRPr="00C66EAF" w:rsidRDefault="00C66EAF" w:rsidP="00C66EAF">
      <w:pPr>
        <w:pStyle w:val="ListParagraph"/>
        <w:numPr>
          <w:ilvl w:val="0"/>
          <w:numId w:val="4"/>
        </w:numPr>
        <w:spacing w:line="276" w:lineRule="auto"/>
        <w:rPr>
          <w:rFonts w:ascii="Calibri" w:hAnsi="Calibri"/>
          <w:sz w:val="24"/>
        </w:rPr>
      </w:pPr>
      <w:r w:rsidRPr="00C66EAF">
        <w:rPr>
          <w:rFonts w:cstheme="minorHAnsi"/>
          <w:sz w:val="24"/>
          <w:szCs w:val="24"/>
        </w:rPr>
        <w:t xml:space="preserve">Soils: The central and western portions of the watershed draining to LCR3.7 are dominated by silt loams originating from silty-clay deposits of marine and freshwater lake environments. These deposits tend to be less permeable and have lower infiltration rates, and are more prone to runoff (Stewart, 1973; Stewart &amp; </w:t>
      </w:r>
      <w:proofErr w:type="spellStart"/>
      <w:r w:rsidRPr="00C66EAF">
        <w:rPr>
          <w:rFonts w:cstheme="minorHAnsi"/>
          <w:sz w:val="24"/>
          <w:szCs w:val="24"/>
        </w:rPr>
        <w:t>MacClintock</w:t>
      </w:r>
      <w:proofErr w:type="spellEnd"/>
      <w:r w:rsidRPr="00C66EAF">
        <w:rPr>
          <w:rFonts w:cstheme="minorHAnsi"/>
          <w:sz w:val="24"/>
          <w:szCs w:val="24"/>
        </w:rPr>
        <w:t xml:space="preserve">, 1969; </w:t>
      </w:r>
      <w:r w:rsidRPr="00C66EAF">
        <w:rPr>
          <w:rFonts w:ascii="Calibri" w:hAnsi="Calibri"/>
          <w:sz w:val="24"/>
        </w:rPr>
        <w:t>USDA 2013, 2011</w:t>
      </w:r>
      <w:r w:rsidRPr="00C66EAF">
        <w:rPr>
          <w:rFonts w:cstheme="minorHAnsi"/>
          <w:sz w:val="24"/>
          <w:szCs w:val="24"/>
        </w:rPr>
        <w:t>)</w:t>
      </w:r>
      <w:r>
        <w:rPr>
          <w:rFonts w:cstheme="minorHAnsi"/>
          <w:sz w:val="24"/>
          <w:szCs w:val="24"/>
        </w:rPr>
        <w:t>.</w:t>
      </w:r>
      <w:r>
        <w:rPr>
          <w:rFonts w:cstheme="minorHAnsi"/>
          <w:sz w:val="24"/>
          <w:szCs w:val="24"/>
        </w:rPr>
        <w:br/>
      </w:r>
    </w:p>
    <w:p w:rsidR="00B56FC6" w:rsidRPr="00C66EAF" w:rsidRDefault="00C66EAF" w:rsidP="00C66EAF">
      <w:pPr>
        <w:pStyle w:val="ListParagraph"/>
        <w:numPr>
          <w:ilvl w:val="0"/>
          <w:numId w:val="4"/>
        </w:numPr>
        <w:spacing w:line="276" w:lineRule="auto"/>
        <w:rPr>
          <w:rFonts w:ascii="Calibri" w:hAnsi="Calibri"/>
          <w:sz w:val="24"/>
        </w:rPr>
      </w:pPr>
      <w:r>
        <w:rPr>
          <w:rFonts w:cstheme="minorHAnsi"/>
          <w:sz w:val="24"/>
          <w:szCs w:val="24"/>
        </w:rPr>
        <w:t xml:space="preserve">Land cover / land use: </w:t>
      </w:r>
      <w:r w:rsidR="00B56FC6" w:rsidRPr="00C66EAF">
        <w:rPr>
          <w:rFonts w:ascii="Calibri" w:hAnsi="Calibri"/>
          <w:sz w:val="24"/>
          <w:szCs w:val="24"/>
        </w:rPr>
        <w:t>The incremental drainage area to LCR3.7 is composed of 50% forested, 32% agricultural and 10% developed uses</w:t>
      </w:r>
      <w:r w:rsidR="00B86E18">
        <w:rPr>
          <w:rFonts w:ascii="Calibri" w:hAnsi="Calibri"/>
          <w:sz w:val="24"/>
          <w:szCs w:val="24"/>
        </w:rPr>
        <w:t xml:space="preserve"> </w:t>
      </w:r>
      <w:r w:rsidR="00B86E18" w:rsidRPr="00B86E18">
        <w:rPr>
          <w:sz w:val="24"/>
        </w:rPr>
        <w:t xml:space="preserve">(Troy </w:t>
      </w:r>
      <w:r w:rsidR="00B86E18" w:rsidRPr="00B86E18">
        <w:rPr>
          <w:i/>
          <w:sz w:val="24"/>
        </w:rPr>
        <w:t>et al</w:t>
      </w:r>
      <w:r w:rsidR="00B86E18">
        <w:rPr>
          <w:sz w:val="24"/>
        </w:rPr>
        <w:t>., 2007; source date 2001)</w:t>
      </w:r>
      <w:r w:rsidR="00B56FC6" w:rsidRPr="00C66EAF">
        <w:rPr>
          <w:rFonts w:ascii="Calibri" w:hAnsi="Calibri"/>
          <w:sz w:val="24"/>
          <w:szCs w:val="24"/>
        </w:rPr>
        <w:t xml:space="preserve">.  This station is located 1.5 miles downstream from North </w:t>
      </w:r>
      <w:proofErr w:type="spellStart"/>
      <w:r w:rsidR="00B56FC6" w:rsidRPr="00C66EAF">
        <w:rPr>
          <w:rFonts w:ascii="Calibri" w:hAnsi="Calibri"/>
          <w:sz w:val="24"/>
          <w:szCs w:val="24"/>
        </w:rPr>
        <w:t>Ferrisburgh</w:t>
      </w:r>
      <w:proofErr w:type="spellEnd"/>
      <w:r w:rsidR="00B56FC6" w:rsidRPr="00C66EAF">
        <w:rPr>
          <w:rFonts w:ascii="Calibri" w:hAnsi="Calibri"/>
          <w:sz w:val="24"/>
          <w:szCs w:val="24"/>
        </w:rPr>
        <w:t xml:space="preserve"> village, where homes and commercial properties are serviced by onsite wastewater systems.   </w:t>
      </w:r>
    </w:p>
    <w:p w:rsidR="00C66EAF" w:rsidRDefault="00B56DB6" w:rsidP="00C66EAF">
      <w:pPr>
        <w:pStyle w:val="Heading2"/>
      </w:pPr>
      <w:r>
        <w:rPr>
          <w:rFonts w:ascii="Calibri" w:hAnsi="Calibri"/>
          <w:sz w:val="24"/>
          <w:szCs w:val="24"/>
        </w:rPr>
        <w:br/>
      </w:r>
      <w:bookmarkStart w:id="8" w:name="_Toc497244915"/>
      <w:r w:rsidR="00C66EAF">
        <w:t>2.3</w:t>
      </w:r>
      <w:r w:rsidR="00C66EAF">
        <w:tab/>
        <w:t>Discharge Measurement</w:t>
      </w:r>
      <w:bookmarkEnd w:id="8"/>
    </w:p>
    <w:p w:rsidR="00C66EAF" w:rsidRDefault="00C66EAF" w:rsidP="00C66EAF">
      <w:pPr>
        <w:spacing w:line="276" w:lineRule="auto"/>
        <w:rPr>
          <w:rFonts w:ascii="Calibri" w:hAnsi="Calibri" w:cs="Tahoma"/>
          <w:sz w:val="24"/>
          <w:szCs w:val="24"/>
        </w:rPr>
      </w:pPr>
      <w:r w:rsidRPr="00E62A68">
        <w:rPr>
          <w:rFonts w:ascii="Calibri" w:hAnsi="Calibri" w:cs="Tahoma"/>
          <w:sz w:val="24"/>
          <w:szCs w:val="24"/>
        </w:rPr>
        <w:t xml:space="preserve">The United States Geological Survey (USGS) maintains </w:t>
      </w:r>
      <w:r>
        <w:rPr>
          <w:rFonts w:ascii="Calibri" w:hAnsi="Calibri" w:cs="Tahoma"/>
          <w:sz w:val="24"/>
          <w:szCs w:val="24"/>
        </w:rPr>
        <w:t>a</w:t>
      </w:r>
      <w:r w:rsidRPr="00E62A68">
        <w:rPr>
          <w:rFonts w:ascii="Calibri" w:hAnsi="Calibri" w:cs="Tahoma"/>
          <w:sz w:val="24"/>
          <w:szCs w:val="24"/>
        </w:rPr>
        <w:t xml:space="preserve"> streamflow gaging station on the Lewis Creek </w:t>
      </w:r>
      <w:r>
        <w:rPr>
          <w:rFonts w:ascii="Calibri" w:hAnsi="Calibri" w:cs="Tahoma"/>
          <w:sz w:val="24"/>
          <w:szCs w:val="24"/>
        </w:rPr>
        <w:t xml:space="preserve">just upstream from LCR3.7.  </w:t>
      </w:r>
      <w:r w:rsidRPr="00E62A68">
        <w:rPr>
          <w:rFonts w:ascii="Calibri" w:hAnsi="Calibri" w:cs="Tahoma"/>
          <w:sz w:val="24"/>
          <w:szCs w:val="24"/>
        </w:rPr>
        <w:t xml:space="preserve">Station #04282780 is located near the </w:t>
      </w:r>
      <w:r>
        <w:rPr>
          <w:rFonts w:ascii="Calibri" w:hAnsi="Calibri" w:cs="Tahoma"/>
          <w:sz w:val="24"/>
          <w:szCs w:val="24"/>
        </w:rPr>
        <w:t xml:space="preserve">US </w:t>
      </w:r>
      <w:r w:rsidRPr="00E62A68">
        <w:rPr>
          <w:rFonts w:ascii="Calibri" w:hAnsi="Calibri" w:cs="Tahoma"/>
          <w:sz w:val="24"/>
          <w:szCs w:val="24"/>
        </w:rPr>
        <w:t>Route 7 crossing and measures flow from an approximate drainage area of 77.2 square miles</w:t>
      </w:r>
      <w:r>
        <w:rPr>
          <w:rFonts w:ascii="Calibri" w:hAnsi="Calibri" w:cs="Tahoma"/>
          <w:sz w:val="24"/>
          <w:szCs w:val="24"/>
        </w:rPr>
        <w:t>, or 95% of the watershed</w:t>
      </w:r>
      <w:r w:rsidRPr="00FE0695">
        <w:rPr>
          <w:rFonts w:ascii="Calibri" w:hAnsi="Calibri" w:cs="Tahoma"/>
          <w:sz w:val="24"/>
          <w:szCs w:val="24"/>
        </w:rPr>
        <w:t xml:space="preserve"> </w:t>
      </w:r>
      <w:r>
        <w:rPr>
          <w:rFonts w:ascii="Calibri" w:hAnsi="Calibri" w:cs="Tahoma"/>
          <w:sz w:val="24"/>
          <w:szCs w:val="24"/>
        </w:rPr>
        <w:t>(USGS, 2017)</w:t>
      </w:r>
      <w:r w:rsidRPr="00E62A68">
        <w:rPr>
          <w:rFonts w:ascii="Calibri" w:hAnsi="Calibri" w:cs="Tahoma"/>
          <w:sz w:val="24"/>
          <w:szCs w:val="24"/>
        </w:rPr>
        <w:t xml:space="preserve">. </w:t>
      </w:r>
      <w:r>
        <w:rPr>
          <w:rFonts w:ascii="Calibri" w:hAnsi="Calibri" w:cs="Tahoma"/>
          <w:sz w:val="24"/>
          <w:szCs w:val="24"/>
        </w:rPr>
        <w:t xml:space="preserve">  ACRWC assigns a discharge for each sampling date based on reference to the daily mean flow (DMF) recorded at this gage, applying a correction factor for the proportional drainage area at each sampling station.  </w:t>
      </w:r>
    </w:p>
    <w:p w:rsidR="00C66EAF" w:rsidRPr="00C66EAF" w:rsidRDefault="00C66EAF" w:rsidP="00C66EAF">
      <w:pPr>
        <w:spacing w:line="276" w:lineRule="auto"/>
        <w:rPr>
          <w:rFonts w:cs="Tahoma"/>
          <w:sz w:val="24"/>
          <w:szCs w:val="24"/>
        </w:rPr>
      </w:pPr>
      <w:r>
        <w:rPr>
          <w:sz w:val="24"/>
          <w:szCs w:val="24"/>
        </w:rPr>
        <w:t>Figure 2</w:t>
      </w:r>
      <w:r w:rsidRPr="00060F21">
        <w:rPr>
          <w:sz w:val="24"/>
          <w:szCs w:val="24"/>
        </w:rPr>
        <w:t xml:space="preserve"> presents a flow duration curve computed on daily mean flows recorded </w:t>
      </w:r>
      <w:r>
        <w:rPr>
          <w:sz w:val="24"/>
          <w:szCs w:val="24"/>
        </w:rPr>
        <w:t xml:space="preserve">for </w:t>
      </w:r>
      <w:r w:rsidRPr="00060F21">
        <w:rPr>
          <w:sz w:val="24"/>
          <w:szCs w:val="24"/>
        </w:rPr>
        <w:t>water years 1991 through 2015</w:t>
      </w:r>
      <w:r>
        <w:rPr>
          <w:sz w:val="24"/>
          <w:szCs w:val="24"/>
        </w:rPr>
        <w:t xml:space="preserve">. Flows have been categorized </w:t>
      </w:r>
      <w:r w:rsidRPr="00E62A68">
        <w:rPr>
          <w:rFonts w:ascii="Calibri" w:hAnsi="Calibri"/>
          <w:sz w:val="24"/>
        </w:rPr>
        <w:t xml:space="preserve">following VTDEC </w:t>
      </w:r>
      <w:r w:rsidRPr="00E62A68">
        <w:rPr>
          <w:rFonts w:ascii="Calibri" w:hAnsi="Calibri"/>
          <w:i/>
          <w:sz w:val="24"/>
        </w:rPr>
        <w:t>Guidance on Streamflow Observations at time of Water Quality Sampling of Rivers and Streams</w:t>
      </w:r>
      <w:r>
        <w:rPr>
          <w:rFonts w:ascii="Calibri" w:hAnsi="Calibri"/>
          <w:sz w:val="24"/>
        </w:rPr>
        <w:t xml:space="preserve">.  High flows </w:t>
      </w:r>
      <w:r w:rsidRPr="009644B2">
        <w:rPr>
          <w:rFonts w:ascii="Calibri" w:hAnsi="Calibri"/>
          <w:sz w:val="24"/>
        </w:rPr>
        <w:t xml:space="preserve">are defined as those flow conditions which are equaled or exceeded only 25% of the </w:t>
      </w:r>
      <w:r w:rsidRPr="009644B2">
        <w:rPr>
          <w:rFonts w:ascii="Calibri" w:hAnsi="Calibri"/>
          <w:sz w:val="24"/>
        </w:rPr>
        <w:lastRenderedPageBreak/>
        <w:t>time, and low flow levels are those equaled or exceeded more than 75% of the time</w:t>
      </w:r>
      <w:r>
        <w:rPr>
          <w:rFonts w:ascii="Calibri" w:hAnsi="Calibri"/>
          <w:sz w:val="24"/>
        </w:rPr>
        <w:t>, while those flows occurring between 25 and 75% of the time are classified as moderate</w:t>
      </w:r>
      <w:r w:rsidRPr="009644B2">
        <w:rPr>
          <w:rFonts w:ascii="Calibri" w:hAnsi="Calibri"/>
          <w:sz w:val="24"/>
        </w:rPr>
        <w:t xml:space="preserve">.  </w:t>
      </w:r>
    </w:p>
    <w:p w:rsidR="00C66EAF" w:rsidRPr="00CC533C" w:rsidRDefault="00C66EAF" w:rsidP="00C66EAF">
      <w:pPr>
        <w:jc w:val="center"/>
        <w:rPr>
          <w:rFonts w:cs="Tahoma"/>
          <w:szCs w:val="24"/>
        </w:rPr>
      </w:pPr>
      <w:r>
        <w:rPr>
          <w:noProof/>
        </w:rPr>
        <mc:AlternateContent>
          <mc:Choice Requires="wps">
            <w:drawing>
              <wp:anchor distT="0" distB="0" distL="114300" distR="114300" simplePos="0" relativeHeight="251659264" behindDoc="0" locked="0" layoutInCell="1" allowOverlap="1" wp14:anchorId="20402392" wp14:editId="57A16A4F">
                <wp:simplePos x="0" y="0"/>
                <wp:positionH relativeFrom="column">
                  <wp:posOffset>838200</wp:posOffset>
                </wp:positionH>
                <wp:positionV relativeFrom="paragraph">
                  <wp:posOffset>1821180</wp:posOffset>
                </wp:positionV>
                <wp:extent cx="914400" cy="247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E18" w:rsidRDefault="00B86E18" w:rsidP="00C66EAF">
                            <w:r>
                              <w:t>High Flows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6pt;margin-top:143.4pt;width:1in;height:19.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" fillcolor="white [3201]" stroked="f" strokeweight=".5pt">
                <v:textbox>
                  <w:txbxContent>
                    <w:p w:rsidR="00B86E18" w:rsidRDefault="00B86E18" w:rsidP="00C66EAF">
                      <w:r>
                        <w:t>High Flows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6784378" wp14:editId="2EC14C94">
                <wp:simplePos x="0" y="0"/>
                <wp:positionH relativeFrom="column">
                  <wp:posOffset>2609850</wp:posOffset>
                </wp:positionH>
                <wp:positionV relativeFrom="paragraph">
                  <wp:posOffset>1821180</wp:posOffset>
                </wp:positionV>
                <wp:extent cx="914400" cy="247650"/>
                <wp:effectExtent l="0" t="0" r="3810" b="0"/>
                <wp:wrapNone/>
                <wp:docPr id="18" name="Text Box 18"/>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E18" w:rsidRDefault="00B86E18" w:rsidP="00C66EAF">
                            <w:r>
                              <w:t>Moderate Flows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left:0;text-align:left;margin-left:205.5pt;margin-top:143.4pt;width:1in;height:19.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" fillcolor="white [3201]" stroked="f" strokeweight=".5pt">
                <v:textbox>
                  <w:txbxContent>
                    <w:p w:rsidR="00B86E18" w:rsidRDefault="00B86E18" w:rsidP="00C66EAF">
                      <w:r>
                        <w:t>Moderate Flows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8A39884" wp14:editId="471ED61F">
                <wp:simplePos x="0" y="0"/>
                <wp:positionH relativeFrom="column">
                  <wp:posOffset>4391025</wp:posOffset>
                </wp:positionH>
                <wp:positionV relativeFrom="paragraph">
                  <wp:posOffset>1819275</wp:posOffset>
                </wp:positionV>
                <wp:extent cx="914400" cy="247650"/>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E18" w:rsidRDefault="00B86E18" w:rsidP="00C66EAF">
                            <w:r>
                              <w:t>Low Flows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8" type="#_x0000_t202" style="position:absolute;left:0;text-align:left;margin-left:345.75pt;margin-top:143.25pt;width:1in;height:19.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" fillcolor="white [3201]" stroked="f" strokeweight=".5pt">
                <v:textbox>
                  <w:txbxContent>
                    <w:p w:rsidR="00B86E18" w:rsidRDefault="00B86E18" w:rsidP="00C66EAF">
                      <w:r>
                        <w:t>Low Flows</w:t>
                      </w:r>
                    </w:p>
                  </w:txbxContent>
                </v:textbox>
              </v:shape>
            </w:pict>
          </mc:Fallback>
        </mc:AlternateContent>
      </w:r>
      <w:r>
        <w:rPr>
          <w:rFonts w:ascii="Tahoma" w:hAnsi="Tahoma" w:cs="Tahoma"/>
          <w:noProof/>
          <w:sz w:val="20"/>
          <w:szCs w:val="20"/>
        </w:rPr>
        <w:drawing>
          <wp:inline distT="0" distB="0" distL="0" distR="0" wp14:anchorId="050938C2" wp14:editId="4DD3279E">
            <wp:extent cx="5819775" cy="2874010"/>
            <wp:effectExtent l="0" t="0" r="952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DC_LEW.png"/>
                    <pic:cNvPicPr/>
                  </pic:nvPicPr>
                  <pic:blipFill rotWithShape="1">
                    <a:blip r:embed="rId14">
                      <a:extLst>
                        <a:ext uri="{28A0092B-C50C-407E-A947-70E740481C1C}">
                          <a14:useLocalDpi xmlns:a14="http://schemas.microsoft.com/office/drawing/2010/main" val="0"/>
                        </a:ext>
                      </a:extLst>
                    </a:blip>
                    <a:srcRect t="14215" r="2084"/>
                    <a:stretch/>
                  </pic:blipFill>
                  <pic:spPr bwMode="auto">
                    <a:xfrm>
                      <a:off x="0" y="0"/>
                      <a:ext cx="5819775" cy="2874010"/>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hAnsi="Tahoma" w:cs="Tahoma"/>
          <w:sz w:val="20"/>
          <w:szCs w:val="20"/>
        </w:rPr>
        <w:br/>
      </w:r>
      <w:proofErr w:type="gramStart"/>
      <w:r w:rsidRPr="009D2B86">
        <w:rPr>
          <w:rFonts w:cs="Tahoma"/>
          <w:i/>
          <w:sz w:val="24"/>
          <w:szCs w:val="24"/>
        </w:rPr>
        <w:t>Figure 2.</w:t>
      </w:r>
      <w:proofErr w:type="gramEnd"/>
      <w:r w:rsidRPr="009D2B86">
        <w:rPr>
          <w:rFonts w:cs="Tahoma"/>
          <w:i/>
          <w:sz w:val="24"/>
          <w:szCs w:val="24"/>
        </w:rPr>
        <w:t xml:space="preserve">  Flow Duration Curve for Lewis Creek at </w:t>
      </w:r>
      <w:proofErr w:type="spellStart"/>
      <w:r w:rsidRPr="009D2B86">
        <w:rPr>
          <w:rFonts w:cs="Tahoma"/>
          <w:i/>
          <w:sz w:val="24"/>
          <w:szCs w:val="24"/>
        </w:rPr>
        <w:t>Ferrisburgh</w:t>
      </w:r>
      <w:proofErr w:type="spellEnd"/>
      <w:r w:rsidRPr="009D2B86">
        <w:rPr>
          <w:rFonts w:cs="Tahoma"/>
          <w:i/>
          <w:sz w:val="24"/>
          <w:szCs w:val="24"/>
        </w:rPr>
        <w:t>, VT.</w:t>
      </w:r>
      <w:r w:rsidRPr="009D2B86">
        <w:rPr>
          <w:rFonts w:cs="Tahoma"/>
          <w:i/>
          <w:sz w:val="24"/>
          <w:szCs w:val="24"/>
        </w:rPr>
        <w:br/>
        <w:t>Black diamonds mark the discharge at the 95</w:t>
      </w:r>
      <w:r w:rsidRPr="009D2B86">
        <w:rPr>
          <w:rFonts w:cs="Tahoma"/>
          <w:i/>
          <w:sz w:val="24"/>
          <w:szCs w:val="24"/>
          <w:vertAlign w:val="superscript"/>
        </w:rPr>
        <w:t>th</w:t>
      </w:r>
      <w:r w:rsidRPr="009D2B86">
        <w:rPr>
          <w:rFonts w:cs="Tahoma"/>
          <w:i/>
          <w:sz w:val="24"/>
          <w:szCs w:val="24"/>
        </w:rPr>
        <w:t>, 90</w:t>
      </w:r>
      <w:r w:rsidRPr="009D2B86">
        <w:rPr>
          <w:rFonts w:cs="Tahoma"/>
          <w:i/>
          <w:sz w:val="24"/>
          <w:szCs w:val="24"/>
          <w:vertAlign w:val="superscript"/>
        </w:rPr>
        <w:t>th</w:t>
      </w:r>
      <w:r w:rsidRPr="009D2B86">
        <w:rPr>
          <w:rFonts w:cs="Tahoma"/>
          <w:i/>
          <w:sz w:val="24"/>
          <w:szCs w:val="24"/>
        </w:rPr>
        <w:t>, 75</w:t>
      </w:r>
      <w:r w:rsidRPr="009D2B86">
        <w:rPr>
          <w:rFonts w:cs="Tahoma"/>
          <w:i/>
          <w:sz w:val="24"/>
          <w:szCs w:val="24"/>
          <w:vertAlign w:val="superscript"/>
        </w:rPr>
        <w:t>th</w:t>
      </w:r>
      <w:r w:rsidRPr="009D2B86">
        <w:rPr>
          <w:rFonts w:cs="Tahoma"/>
          <w:i/>
          <w:sz w:val="24"/>
          <w:szCs w:val="24"/>
        </w:rPr>
        <w:t>, 25</w:t>
      </w:r>
      <w:r w:rsidRPr="009D2B86">
        <w:rPr>
          <w:rFonts w:cs="Tahoma"/>
          <w:i/>
          <w:sz w:val="24"/>
          <w:szCs w:val="24"/>
          <w:vertAlign w:val="superscript"/>
        </w:rPr>
        <w:t>th</w:t>
      </w:r>
      <w:r w:rsidRPr="009D2B86">
        <w:rPr>
          <w:rFonts w:cs="Tahoma"/>
          <w:i/>
          <w:sz w:val="24"/>
          <w:szCs w:val="24"/>
        </w:rPr>
        <w:t>, 10</w:t>
      </w:r>
      <w:r w:rsidRPr="009D2B86">
        <w:rPr>
          <w:rFonts w:cs="Tahoma"/>
          <w:i/>
          <w:sz w:val="24"/>
          <w:szCs w:val="24"/>
          <w:vertAlign w:val="superscript"/>
        </w:rPr>
        <w:t>th</w:t>
      </w:r>
      <w:r w:rsidRPr="009D2B86">
        <w:rPr>
          <w:rFonts w:cs="Tahoma"/>
          <w:i/>
          <w:sz w:val="24"/>
          <w:szCs w:val="24"/>
        </w:rPr>
        <w:t>, and 5</w:t>
      </w:r>
      <w:r w:rsidRPr="009D2B86">
        <w:rPr>
          <w:rFonts w:cs="Tahoma"/>
          <w:i/>
          <w:sz w:val="24"/>
          <w:szCs w:val="24"/>
          <w:vertAlign w:val="superscript"/>
        </w:rPr>
        <w:t>th</w:t>
      </w:r>
      <w:r w:rsidRPr="009D2B86">
        <w:rPr>
          <w:rFonts w:cs="Tahoma"/>
          <w:i/>
          <w:sz w:val="24"/>
          <w:szCs w:val="24"/>
        </w:rPr>
        <w:t xml:space="preserve"> quantiles. </w:t>
      </w:r>
      <w:r w:rsidRPr="009D2B86">
        <w:rPr>
          <w:rFonts w:cs="Tahoma"/>
          <w:i/>
          <w:sz w:val="24"/>
          <w:szCs w:val="24"/>
        </w:rPr>
        <w:br/>
      </w:r>
      <w:proofErr w:type="gramStart"/>
      <w:r w:rsidRPr="009D2B86">
        <w:rPr>
          <w:rFonts w:cs="Tahoma"/>
          <w:i/>
          <w:sz w:val="24"/>
          <w:szCs w:val="24"/>
        </w:rPr>
        <w:t xml:space="preserve">(Approved record for water years: 1991 – 2015; USGS </w:t>
      </w:r>
      <w:proofErr w:type="spellStart"/>
      <w:r w:rsidRPr="009D2B86">
        <w:rPr>
          <w:rFonts w:cs="Tahoma"/>
          <w:i/>
          <w:sz w:val="24"/>
          <w:szCs w:val="24"/>
        </w:rPr>
        <w:t>Stn</w:t>
      </w:r>
      <w:proofErr w:type="spellEnd"/>
      <w:r w:rsidRPr="009D2B86">
        <w:rPr>
          <w:rFonts w:cs="Tahoma"/>
          <w:i/>
          <w:sz w:val="24"/>
          <w:szCs w:val="24"/>
        </w:rPr>
        <w:t xml:space="preserve"># 04282780; 77.2 </w:t>
      </w:r>
      <w:proofErr w:type="spellStart"/>
      <w:r w:rsidRPr="009D2B86">
        <w:rPr>
          <w:rFonts w:cs="Tahoma"/>
          <w:i/>
          <w:sz w:val="24"/>
          <w:szCs w:val="24"/>
        </w:rPr>
        <w:t>sq</w:t>
      </w:r>
      <w:proofErr w:type="spellEnd"/>
      <w:r w:rsidRPr="009D2B86">
        <w:rPr>
          <w:rFonts w:cs="Tahoma"/>
          <w:i/>
          <w:sz w:val="24"/>
          <w:szCs w:val="24"/>
        </w:rPr>
        <w:t xml:space="preserve"> mi).</w:t>
      </w:r>
      <w:proofErr w:type="gramEnd"/>
    </w:p>
    <w:p w:rsidR="00AA7E9F" w:rsidRPr="00B86E18" w:rsidRDefault="00C66EAF" w:rsidP="00B86E18">
      <w:pPr>
        <w:spacing w:after="120" w:line="276" w:lineRule="auto"/>
        <w:rPr>
          <w:rFonts w:ascii="Calibri" w:hAnsi="Calibri"/>
          <w:sz w:val="24"/>
        </w:rPr>
      </w:pPr>
      <w:r>
        <w:rPr>
          <w:rFonts w:ascii="Calibri" w:hAnsi="Calibri"/>
          <w:sz w:val="24"/>
        </w:rPr>
        <w:br/>
        <w:t xml:space="preserve">The twenty-five-year trend analysis period represents a range of hydrologic conditions, from very wet years (1996, 2006, and 2011) to drier-than-normal years (1995, 2002, and 2012), </w:t>
      </w:r>
      <w:proofErr w:type="gramStart"/>
      <w:r>
        <w:rPr>
          <w:rFonts w:ascii="Calibri" w:hAnsi="Calibri"/>
          <w:sz w:val="24"/>
        </w:rPr>
        <w:t>based</w:t>
      </w:r>
      <w:proofErr w:type="gramEnd"/>
      <w:r>
        <w:rPr>
          <w:rFonts w:ascii="Calibri" w:hAnsi="Calibri"/>
          <w:sz w:val="24"/>
        </w:rPr>
        <w:t xml:space="preserve"> on cumulative annual flows developed on the DMF record for this streamflow gage.    </w:t>
      </w:r>
      <w:r>
        <w:rPr>
          <w:rFonts w:ascii="Calibri" w:hAnsi="Calibri"/>
          <w:sz w:val="24"/>
        </w:rPr>
        <w:br/>
      </w:r>
    </w:p>
    <w:p w:rsidR="00B56DB6" w:rsidRDefault="00B56DB6" w:rsidP="00B56DB6">
      <w:pPr>
        <w:pStyle w:val="Heading2"/>
      </w:pPr>
      <w:bookmarkStart w:id="9" w:name="_Toc497244916"/>
      <w:r>
        <w:t>2.</w:t>
      </w:r>
      <w:r w:rsidR="00F850B4">
        <w:t>4</w:t>
      </w:r>
      <w:r>
        <w:tab/>
        <w:t>History of Water Quality Monitoring at Sentinel Stations</w:t>
      </w:r>
      <w:bookmarkEnd w:id="9"/>
    </w:p>
    <w:p w:rsidR="00B56DB6" w:rsidRPr="008836A6" w:rsidRDefault="00B56DB6" w:rsidP="00B56DB6">
      <w:pPr>
        <w:spacing w:line="276" w:lineRule="auto"/>
        <w:rPr>
          <w:rFonts w:ascii="Calibri" w:hAnsi="Calibri"/>
          <w:sz w:val="24"/>
          <w:szCs w:val="24"/>
        </w:rPr>
      </w:pPr>
      <w:r w:rsidRPr="008836A6">
        <w:rPr>
          <w:rFonts w:ascii="Calibri" w:hAnsi="Calibri"/>
          <w:sz w:val="24"/>
          <w:szCs w:val="24"/>
        </w:rPr>
        <w:t xml:space="preserve">Water quality sampling in the Lewis Creek watershed is carried out by a network of trained volunteers operating under an EPA-approved Quality Assurance Project Plan.  Analytical services are provided by the </w:t>
      </w:r>
      <w:r w:rsidR="00B86E18">
        <w:rPr>
          <w:rFonts w:ascii="Calibri" w:hAnsi="Calibri"/>
          <w:sz w:val="24"/>
          <w:szCs w:val="24"/>
        </w:rPr>
        <w:t>Vermont Agricultural &amp; Environmental Laboratory</w:t>
      </w:r>
      <w:r w:rsidRPr="008836A6">
        <w:rPr>
          <w:rFonts w:ascii="Calibri" w:hAnsi="Calibri"/>
          <w:sz w:val="24"/>
          <w:szCs w:val="24"/>
        </w:rPr>
        <w:t xml:space="preserve"> in Burlington, VT.   In earlier years, analytical services were provided by </w:t>
      </w:r>
      <w:proofErr w:type="spellStart"/>
      <w:r w:rsidRPr="008836A6">
        <w:rPr>
          <w:rFonts w:ascii="Calibri" w:hAnsi="Calibri"/>
          <w:sz w:val="24"/>
          <w:szCs w:val="24"/>
        </w:rPr>
        <w:t>Endyne</w:t>
      </w:r>
      <w:proofErr w:type="spellEnd"/>
      <w:r w:rsidRPr="008836A6">
        <w:rPr>
          <w:rFonts w:ascii="Calibri" w:hAnsi="Calibri"/>
          <w:sz w:val="24"/>
          <w:szCs w:val="24"/>
        </w:rPr>
        <w:t xml:space="preserve">, Inc. (2000-2002), and for select years </w:t>
      </w:r>
      <w:r w:rsidR="0039536A">
        <w:rPr>
          <w:rFonts w:cs="Tahoma"/>
          <w:i/>
          <w:sz w:val="24"/>
          <w:szCs w:val="24"/>
        </w:rPr>
        <w:t>E. coli</w:t>
      </w:r>
      <w:r w:rsidR="0039536A" w:rsidRPr="001C4FAC">
        <w:rPr>
          <w:rFonts w:cs="Tahoma"/>
          <w:sz w:val="24"/>
          <w:szCs w:val="24"/>
        </w:rPr>
        <w:t xml:space="preserve"> </w:t>
      </w:r>
      <w:r w:rsidRPr="008836A6">
        <w:rPr>
          <w:rFonts w:ascii="Calibri" w:hAnsi="Calibri"/>
          <w:sz w:val="24"/>
          <w:szCs w:val="24"/>
        </w:rPr>
        <w:t xml:space="preserve">was analyzed at the Middlebury Union High School (1998-1999) and CVU High School (1992 – 1997).  </w:t>
      </w:r>
    </w:p>
    <w:p w:rsidR="00CF0FDB" w:rsidRPr="00B86E18" w:rsidRDefault="003445E7" w:rsidP="00B86E18">
      <w:pPr>
        <w:spacing w:line="276" w:lineRule="auto"/>
        <w:rPr>
          <w:sz w:val="24"/>
        </w:rPr>
      </w:pPr>
      <w:r w:rsidRPr="008836A6">
        <w:rPr>
          <w:rFonts w:ascii="Calibri" w:hAnsi="Calibri"/>
          <w:sz w:val="24"/>
          <w:szCs w:val="24"/>
        </w:rPr>
        <w:t xml:space="preserve">Aside from a hiatus </w:t>
      </w:r>
      <w:r w:rsidR="008836A6" w:rsidRPr="008836A6">
        <w:rPr>
          <w:rFonts w:ascii="Calibri" w:hAnsi="Calibri"/>
          <w:sz w:val="24"/>
          <w:szCs w:val="24"/>
        </w:rPr>
        <w:t>in 2009</w:t>
      </w:r>
      <w:r w:rsidRPr="008836A6">
        <w:rPr>
          <w:rFonts w:ascii="Calibri" w:hAnsi="Calibri"/>
          <w:sz w:val="24"/>
          <w:szCs w:val="24"/>
        </w:rPr>
        <w:t xml:space="preserve">, sampling has been conducted annually since 1992.  </w:t>
      </w:r>
      <w:r w:rsidR="00CF0FDB" w:rsidRPr="008836A6">
        <w:rPr>
          <w:rFonts w:ascii="Calibri" w:hAnsi="Calibri"/>
          <w:sz w:val="24"/>
          <w:szCs w:val="24"/>
        </w:rPr>
        <w:t xml:space="preserve">Available data for the two sentinel stations include </w:t>
      </w:r>
      <w:r w:rsidRPr="008836A6">
        <w:rPr>
          <w:rFonts w:ascii="Calibri" w:hAnsi="Calibri"/>
          <w:sz w:val="24"/>
          <w:szCs w:val="24"/>
        </w:rPr>
        <w:t>monthly</w:t>
      </w:r>
      <w:r w:rsidR="00CF0FDB" w:rsidRPr="008836A6">
        <w:rPr>
          <w:rFonts w:ascii="Calibri" w:hAnsi="Calibri"/>
          <w:sz w:val="24"/>
          <w:szCs w:val="24"/>
        </w:rPr>
        <w:t xml:space="preserve"> grab samples collected on pre-determined dates</w:t>
      </w:r>
      <w:r w:rsidRPr="008836A6">
        <w:rPr>
          <w:rFonts w:ascii="Calibri" w:hAnsi="Calibri"/>
          <w:sz w:val="24"/>
          <w:szCs w:val="24"/>
        </w:rPr>
        <w:t xml:space="preserve"> in summer months (June, July, August and September)</w:t>
      </w:r>
      <w:r w:rsidR="00CF0FDB" w:rsidRPr="008836A6">
        <w:rPr>
          <w:rFonts w:ascii="Calibri" w:hAnsi="Calibri"/>
          <w:sz w:val="24"/>
          <w:szCs w:val="24"/>
        </w:rPr>
        <w:t xml:space="preserve">.  Beginning in </w:t>
      </w:r>
      <w:r w:rsidR="00026375" w:rsidRPr="008836A6">
        <w:rPr>
          <w:rFonts w:ascii="Calibri" w:hAnsi="Calibri"/>
          <w:sz w:val="24"/>
          <w:szCs w:val="24"/>
        </w:rPr>
        <w:t>2004</w:t>
      </w:r>
      <w:r w:rsidR="00CF0FDB" w:rsidRPr="008836A6">
        <w:rPr>
          <w:rFonts w:ascii="Calibri" w:hAnsi="Calibri"/>
          <w:sz w:val="24"/>
          <w:szCs w:val="24"/>
        </w:rPr>
        <w:t xml:space="preserve">, two monthly spring events </w:t>
      </w:r>
      <w:r w:rsidRPr="008836A6">
        <w:rPr>
          <w:rFonts w:ascii="Calibri" w:hAnsi="Calibri"/>
          <w:sz w:val="24"/>
          <w:szCs w:val="24"/>
        </w:rPr>
        <w:t xml:space="preserve">(April, May) </w:t>
      </w:r>
      <w:r w:rsidR="00CF0FDB" w:rsidRPr="008836A6">
        <w:rPr>
          <w:rFonts w:ascii="Calibri" w:hAnsi="Calibri"/>
          <w:sz w:val="24"/>
          <w:szCs w:val="24"/>
        </w:rPr>
        <w:t>were also added to the annual schedule.  Additionally, wet-weather high-flow sampling was conducted at station L</w:t>
      </w:r>
      <w:r w:rsidRPr="008836A6">
        <w:rPr>
          <w:rFonts w:ascii="Calibri" w:hAnsi="Calibri"/>
          <w:sz w:val="24"/>
          <w:szCs w:val="24"/>
        </w:rPr>
        <w:t xml:space="preserve">CR14 in </w:t>
      </w:r>
      <w:r w:rsidR="00B164E0" w:rsidRPr="008836A6">
        <w:rPr>
          <w:rFonts w:ascii="Calibri" w:hAnsi="Calibri"/>
          <w:sz w:val="24"/>
          <w:szCs w:val="24"/>
        </w:rPr>
        <w:t xml:space="preserve">October and December </w:t>
      </w:r>
      <w:r w:rsidR="00B164E0" w:rsidRPr="008836A6">
        <w:rPr>
          <w:rFonts w:ascii="Calibri" w:hAnsi="Calibri"/>
          <w:sz w:val="24"/>
          <w:szCs w:val="24"/>
        </w:rPr>
        <w:lastRenderedPageBreak/>
        <w:t>of 2012</w:t>
      </w:r>
      <w:r w:rsidRPr="008836A6">
        <w:rPr>
          <w:rFonts w:ascii="Calibri" w:hAnsi="Calibri"/>
          <w:sz w:val="24"/>
          <w:szCs w:val="24"/>
        </w:rPr>
        <w:t xml:space="preserve"> as part of </w:t>
      </w:r>
      <w:r w:rsidR="00026375" w:rsidRPr="008836A6">
        <w:rPr>
          <w:rFonts w:ascii="Calibri" w:hAnsi="Calibri"/>
          <w:sz w:val="24"/>
          <w:szCs w:val="24"/>
        </w:rPr>
        <w:t xml:space="preserve">a </w:t>
      </w:r>
      <w:r w:rsidRPr="008836A6">
        <w:rPr>
          <w:rFonts w:ascii="Calibri" w:hAnsi="Calibri"/>
          <w:sz w:val="24"/>
          <w:szCs w:val="24"/>
        </w:rPr>
        <w:t xml:space="preserve">spatial trend monitoring effort in the Pond Brook tributary.  </w:t>
      </w:r>
      <w:r w:rsidR="00CF0FDB" w:rsidRPr="008836A6">
        <w:rPr>
          <w:rFonts w:ascii="Calibri" w:hAnsi="Calibri"/>
          <w:sz w:val="24"/>
          <w:szCs w:val="24"/>
        </w:rPr>
        <w:t xml:space="preserve">The maximum flow </w:t>
      </w:r>
      <w:r w:rsidRPr="008836A6">
        <w:rPr>
          <w:rFonts w:ascii="Calibri" w:hAnsi="Calibri"/>
          <w:sz w:val="24"/>
          <w:szCs w:val="24"/>
        </w:rPr>
        <w:t>recorded</w:t>
      </w:r>
      <w:r w:rsidR="00CF0FDB" w:rsidRPr="008836A6">
        <w:rPr>
          <w:rFonts w:ascii="Calibri" w:hAnsi="Calibri"/>
          <w:sz w:val="24"/>
          <w:szCs w:val="24"/>
        </w:rPr>
        <w:t xml:space="preserve"> during these high-flow sample dates was a daily mean flow of 843 </w:t>
      </w:r>
      <w:proofErr w:type="spellStart"/>
      <w:r w:rsidR="00CF0FDB" w:rsidRPr="008836A6">
        <w:rPr>
          <w:rFonts w:ascii="Calibri" w:hAnsi="Calibri"/>
          <w:sz w:val="24"/>
          <w:szCs w:val="24"/>
        </w:rPr>
        <w:t>cfs</w:t>
      </w:r>
      <w:proofErr w:type="spellEnd"/>
      <w:r w:rsidR="00CF0FDB" w:rsidRPr="008836A6">
        <w:rPr>
          <w:rFonts w:ascii="Calibri" w:hAnsi="Calibri"/>
          <w:sz w:val="24"/>
          <w:szCs w:val="24"/>
        </w:rPr>
        <w:t xml:space="preserve">, </w:t>
      </w:r>
      <w:r w:rsidRPr="008836A6">
        <w:rPr>
          <w:rFonts w:ascii="Calibri" w:hAnsi="Calibri"/>
          <w:sz w:val="24"/>
          <w:szCs w:val="24"/>
        </w:rPr>
        <w:t xml:space="preserve">a flow that is exceeded only </w:t>
      </w:r>
      <w:r w:rsidR="00C071CE" w:rsidRPr="00C071CE">
        <w:rPr>
          <w:rFonts w:ascii="Calibri" w:hAnsi="Calibri"/>
          <w:sz w:val="24"/>
          <w:szCs w:val="24"/>
        </w:rPr>
        <w:t>about 0.8</w:t>
      </w:r>
      <w:r w:rsidRPr="00C071CE">
        <w:rPr>
          <w:rFonts w:ascii="Calibri" w:hAnsi="Calibri"/>
          <w:sz w:val="24"/>
          <w:szCs w:val="24"/>
        </w:rPr>
        <w:t>% of the time</w:t>
      </w:r>
      <w:r w:rsidR="00122E1F" w:rsidRPr="00C071CE">
        <w:rPr>
          <w:rFonts w:ascii="Calibri" w:hAnsi="Calibri"/>
          <w:sz w:val="24"/>
          <w:szCs w:val="24"/>
        </w:rPr>
        <w:t xml:space="preserve"> according to </w:t>
      </w:r>
      <w:r w:rsidR="00B86E18">
        <w:rPr>
          <w:rFonts w:ascii="Calibri" w:hAnsi="Calibri"/>
          <w:sz w:val="24"/>
          <w:szCs w:val="24"/>
        </w:rPr>
        <w:t>the</w:t>
      </w:r>
      <w:r w:rsidR="00122E1F" w:rsidRPr="00C071CE">
        <w:rPr>
          <w:rFonts w:ascii="Calibri" w:hAnsi="Calibri"/>
          <w:sz w:val="24"/>
          <w:szCs w:val="24"/>
        </w:rPr>
        <w:t xml:space="preserve"> flow duration curve (</w:t>
      </w:r>
      <w:r w:rsidR="00F850B4">
        <w:rPr>
          <w:rFonts w:ascii="Calibri" w:hAnsi="Calibri"/>
          <w:sz w:val="24"/>
          <w:szCs w:val="24"/>
        </w:rPr>
        <w:t xml:space="preserve">Figure </w:t>
      </w:r>
      <w:r w:rsidR="00B86E18">
        <w:rPr>
          <w:rFonts w:ascii="Calibri" w:hAnsi="Calibri"/>
          <w:sz w:val="24"/>
          <w:szCs w:val="24"/>
        </w:rPr>
        <w:t>2</w:t>
      </w:r>
      <w:r w:rsidR="00122E1F" w:rsidRPr="00C071CE">
        <w:rPr>
          <w:rFonts w:ascii="Calibri" w:hAnsi="Calibri"/>
          <w:sz w:val="24"/>
          <w:szCs w:val="24"/>
        </w:rPr>
        <w:t>)</w:t>
      </w:r>
      <w:r w:rsidRPr="00C071CE">
        <w:rPr>
          <w:rFonts w:ascii="Calibri" w:hAnsi="Calibri"/>
          <w:sz w:val="24"/>
          <w:szCs w:val="24"/>
        </w:rPr>
        <w:t xml:space="preserve">.  </w:t>
      </w:r>
      <w:r w:rsidR="00C071CE">
        <w:rPr>
          <w:rFonts w:ascii="Calibri" w:hAnsi="Calibri"/>
          <w:sz w:val="24"/>
          <w:szCs w:val="24"/>
        </w:rPr>
        <w:t>T</w:t>
      </w:r>
      <w:r w:rsidRPr="00C071CE">
        <w:rPr>
          <w:rFonts w:ascii="Calibri" w:hAnsi="Calibri"/>
          <w:sz w:val="24"/>
          <w:szCs w:val="24"/>
        </w:rPr>
        <w:t>hi</w:t>
      </w:r>
      <w:r w:rsidRPr="008836A6">
        <w:rPr>
          <w:rFonts w:ascii="Calibri" w:hAnsi="Calibri"/>
          <w:sz w:val="24"/>
          <w:szCs w:val="24"/>
        </w:rPr>
        <w:t>s flow magnitude represents</w:t>
      </w:r>
      <w:r w:rsidR="00CF0FDB" w:rsidRPr="008836A6">
        <w:rPr>
          <w:rFonts w:ascii="Calibri" w:hAnsi="Calibri"/>
          <w:sz w:val="24"/>
          <w:szCs w:val="24"/>
        </w:rPr>
        <w:t xml:space="preserve"> approximately </w:t>
      </w:r>
      <w:r w:rsidRPr="008836A6">
        <w:rPr>
          <w:rFonts w:ascii="Calibri" w:hAnsi="Calibri"/>
          <w:sz w:val="24"/>
          <w:szCs w:val="24"/>
        </w:rPr>
        <w:t xml:space="preserve">one </w:t>
      </w:r>
      <w:r w:rsidR="00CF0FDB" w:rsidRPr="008836A6">
        <w:rPr>
          <w:rFonts w:ascii="Calibri" w:hAnsi="Calibri"/>
          <w:sz w:val="24"/>
          <w:szCs w:val="24"/>
        </w:rPr>
        <w:t xml:space="preserve">half of the </w:t>
      </w:r>
      <w:r w:rsidR="00C071CE" w:rsidRPr="008836A6">
        <w:rPr>
          <w:rFonts w:ascii="Calibri" w:hAnsi="Calibri"/>
          <w:sz w:val="24"/>
          <w:szCs w:val="24"/>
        </w:rPr>
        <w:t xml:space="preserve">two-year recurrence interval </w:t>
      </w:r>
      <w:r w:rsidR="00C071CE">
        <w:rPr>
          <w:rFonts w:ascii="Calibri" w:hAnsi="Calibri"/>
          <w:sz w:val="24"/>
          <w:szCs w:val="24"/>
        </w:rPr>
        <w:t>peak flow</w:t>
      </w:r>
      <w:r w:rsidRPr="008836A6">
        <w:rPr>
          <w:rFonts w:ascii="Calibri" w:hAnsi="Calibri"/>
          <w:sz w:val="24"/>
          <w:szCs w:val="24"/>
        </w:rPr>
        <w:t xml:space="preserve"> (Q</w:t>
      </w:r>
      <w:r w:rsidRPr="00122E1F">
        <w:rPr>
          <w:rFonts w:ascii="Calibri" w:hAnsi="Calibri"/>
          <w:sz w:val="24"/>
          <w:szCs w:val="24"/>
          <w:vertAlign w:val="subscript"/>
        </w:rPr>
        <w:t>2</w:t>
      </w:r>
      <w:r w:rsidRPr="008836A6">
        <w:rPr>
          <w:rFonts w:ascii="Calibri" w:hAnsi="Calibri"/>
          <w:sz w:val="24"/>
          <w:szCs w:val="24"/>
        </w:rPr>
        <w:t xml:space="preserve"> = 1,750 </w:t>
      </w:r>
      <w:proofErr w:type="spellStart"/>
      <w:r w:rsidRPr="008836A6">
        <w:rPr>
          <w:rFonts w:ascii="Calibri" w:hAnsi="Calibri"/>
          <w:sz w:val="24"/>
          <w:szCs w:val="24"/>
        </w:rPr>
        <w:t>cfs</w:t>
      </w:r>
      <w:proofErr w:type="spellEnd"/>
      <w:r w:rsidR="00122E1F">
        <w:rPr>
          <w:rFonts w:ascii="Calibri" w:hAnsi="Calibri"/>
          <w:sz w:val="24"/>
          <w:szCs w:val="24"/>
        </w:rPr>
        <w:t>; Table 1</w:t>
      </w:r>
      <w:r w:rsidRPr="008836A6">
        <w:rPr>
          <w:rFonts w:ascii="Calibri" w:hAnsi="Calibri"/>
          <w:sz w:val="24"/>
          <w:szCs w:val="24"/>
        </w:rPr>
        <w:t xml:space="preserve">).   </w:t>
      </w:r>
    </w:p>
    <w:p w:rsidR="003C2D98" w:rsidRPr="00B56DB6" w:rsidRDefault="00354A1F" w:rsidP="00B86E18">
      <w:pPr>
        <w:spacing w:line="276" w:lineRule="auto"/>
        <w:rPr>
          <w:rFonts w:ascii="Calibri" w:hAnsi="Calibri" w:cs="Tunga"/>
          <w:sz w:val="24"/>
          <w:szCs w:val="24"/>
        </w:rPr>
      </w:pPr>
      <w:r w:rsidRPr="008836A6">
        <w:rPr>
          <w:rFonts w:ascii="Calibri" w:hAnsi="Calibri"/>
          <w:sz w:val="24"/>
          <w:szCs w:val="24"/>
        </w:rPr>
        <w:t>Scheduled monthly samples</w:t>
      </w:r>
      <w:r w:rsidR="003445E7" w:rsidRPr="008836A6">
        <w:rPr>
          <w:rFonts w:ascii="Calibri" w:hAnsi="Calibri"/>
          <w:sz w:val="24"/>
          <w:szCs w:val="24"/>
        </w:rPr>
        <w:t xml:space="preserve"> have been analyzed for </w:t>
      </w:r>
      <w:r w:rsidR="0039536A">
        <w:rPr>
          <w:rFonts w:ascii="Calibri" w:hAnsi="Calibri"/>
          <w:i/>
          <w:sz w:val="24"/>
          <w:szCs w:val="24"/>
        </w:rPr>
        <w:t>E. coli</w:t>
      </w:r>
      <w:r w:rsidR="003445E7" w:rsidRPr="008836A6">
        <w:rPr>
          <w:rFonts w:ascii="Calibri" w:hAnsi="Calibri"/>
          <w:sz w:val="24"/>
          <w:szCs w:val="24"/>
        </w:rPr>
        <w:t xml:space="preserve"> (</w:t>
      </w:r>
      <w:r w:rsidRPr="008836A6">
        <w:rPr>
          <w:rFonts w:ascii="Calibri" w:hAnsi="Calibri"/>
          <w:sz w:val="24"/>
          <w:szCs w:val="24"/>
        </w:rPr>
        <w:t>since 1992</w:t>
      </w:r>
      <w:r w:rsidR="003445E7" w:rsidRPr="008836A6">
        <w:rPr>
          <w:rFonts w:ascii="Calibri" w:hAnsi="Calibri"/>
          <w:sz w:val="24"/>
          <w:szCs w:val="24"/>
        </w:rPr>
        <w:t>), Total Phosphorus (</w:t>
      </w:r>
      <w:r w:rsidRPr="008836A6">
        <w:rPr>
          <w:rFonts w:ascii="Calibri" w:hAnsi="Calibri"/>
          <w:sz w:val="24"/>
          <w:szCs w:val="24"/>
        </w:rPr>
        <w:t xml:space="preserve">since </w:t>
      </w:r>
      <w:r w:rsidR="003445E7" w:rsidRPr="008836A6">
        <w:rPr>
          <w:rFonts w:ascii="Calibri" w:hAnsi="Calibri"/>
          <w:sz w:val="24"/>
          <w:szCs w:val="24"/>
        </w:rPr>
        <w:t>1997)</w:t>
      </w:r>
      <w:r w:rsidRPr="008836A6">
        <w:rPr>
          <w:rFonts w:ascii="Calibri" w:hAnsi="Calibri"/>
          <w:sz w:val="24"/>
          <w:szCs w:val="24"/>
        </w:rPr>
        <w:t xml:space="preserve">, and Turbidity (since 2006) with some </w:t>
      </w:r>
      <w:r w:rsidR="00026375" w:rsidRPr="008836A6">
        <w:rPr>
          <w:rFonts w:ascii="Calibri" w:hAnsi="Calibri"/>
          <w:sz w:val="24"/>
          <w:szCs w:val="24"/>
        </w:rPr>
        <w:t>years omitted</w:t>
      </w:r>
      <w:r w:rsidRPr="008836A6">
        <w:rPr>
          <w:rFonts w:ascii="Calibri" w:hAnsi="Calibri"/>
          <w:sz w:val="24"/>
          <w:szCs w:val="24"/>
        </w:rPr>
        <w:t xml:space="preserve"> as detailed in </w:t>
      </w:r>
      <w:r w:rsidR="00122E1F">
        <w:rPr>
          <w:rFonts w:ascii="Calibri" w:hAnsi="Calibri"/>
          <w:sz w:val="24"/>
          <w:szCs w:val="24"/>
        </w:rPr>
        <w:t>Appendix A, Table A-1</w:t>
      </w:r>
      <w:r w:rsidRPr="008836A6">
        <w:rPr>
          <w:rFonts w:ascii="Calibri" w:hAnsi="Calibri"/>
          <w:sz w:val="24"/>
          <w:szCs w:val="24"/>
        </w:rPr>
        <w:t xml:space="preserve">.   In select years, analyses have also been conducted for Dissolved Phosphorus, Total Nitrogen, and Total Suspended Solids.  </w:t>
      </w:r>
      <w:r w:rsidR="00582A6F">
        <w:rPr>
          <w:rFonts w:ascii="Calibri" w:hAnsi="Calibri"/>
          <w:sz w:val="24"/>
          <w:szCs w:val="24"/>
        </w:rPr>
        <w:t>This report focuses on</w:t>
      </w:r>
      <w:r w:rsidR="00B164E0" w:rsidRPr="008836A6">
        <w:rPr>
          <w:rFonts w:ascii="Calibri" w:hAnsi="Calibri"/>
          <w:sz w:val="24"/>
          <w:szCs w:val="24"/>
        </w:rPr>
        <w:t xml:space="preserve"> </w:t>
      </w:r>
      <w:r w:rsidR="0039536A">
        <w:rPr>
          <w:rFonts w:ascii="Calibri" w:hAnsi="Calibri"/>
          <w:i/>
          <w:sz w:val="24"/>
          <w:szCs w:val="24"/>
        </w:rPr>
        <w:t>E. coli</w:t>
      </w:r>
      <w:r w:rsidR="00E21351">
        <w:rPr>
          <w:rFonts w:ascii="Calibri" w:hAnsi="Calibri"/>
          <w:sz w:val="24"/>
          <w:szCs w:val="24"/>
        </w:rPr>
        <w:t xml:space="preserve">, TP, and Turbidity records, as they </w:t>
      </w:r>
      <w:r w:rsidR="00B164E0" w:rsidRPr="008836A6">
        <w:rPr>
          <w:rFonts w:ascii="Calibri" w:hAnsi="Calibri"/>
          <w:sz w:val="24"/>
          <w:szCs w:val="24"/>
        </w:rPr>
        <w:t>are of sufficient length to examine for monotonic trends</w:t>
      </w:r>
      <w:r w:rsidR="00B164E0" w:rsidRPr="00B56DB6">
        <w:rPr>
          <w:rFonts w:ascii="Calibri" w:hAnsi="Calibri"/>
          <w:sz w:val="24"/>
          <w:szCs w:val="24"/>
        </w:rPr>
        <w:t xml:space="preserve">.  </w:t>
      </w:r>
      <w:r w:rsidR="00937E42" w:rsidRPr="00B56DB6">
        <w:rPr>
          <w:rFonts w:ascii="Calibri" w:hAnsi="Calibri" w:cs="Tunga"/>
          <w:sz w:val="24"/>
          <w:szCs w:val="24"/>
        </w:rPr>
        <w:t xml:space="preserve">Historic monitoring results at </w:t>
      </w:r>
      <w:r w:rsidR="00F850B4">
        <w:rPr>
          <w:rFonts w:ascii="Calibri" w:hAnsi="Calibri" w:cs="Tunga"/>
          <w:sz w:val="24"/>
          <w:szCs w:val="24"/>
        </w:rPr>
        <w:t>the two</w:t>
      </w:r>
      <w:r w:rsidR="00937E42" w:rsidRPr="00B56DB6">
        <w:rPr>
          <w:rFonts w:ascii="Calibri" w:hAnsi="Calibri" w:cs="Tunga"/>
          <w:sz w:val="24"/>
          <w:szCs w:val="24"/>
        </w:rPr>
        <w:t xml:space="preserve"> sentinel stati</w:t>
      </w:r>
      <w:r w:rsidR="00B56DB6" w:rsidRPr="00B56DB6">
        <w:rPr>
          <w:rFonts w:ascii="Calibri" w:hAnsi="Calibri" w:cs="Tunga"/>
          <w:sz w:val="24"/>
          <w:szCs w:val="24"/>
        </w:rPr>
        <w:t xml:space="preserve">ons are summarized in Figure </w:t>
      </w:r>
      <w:r w:rsidR="00B86E18">
        <w:rPr>
          <w:rFonts w:ascii="Calibri" w:hAnsi="Calibri" w:cs="Tunga"/>
          <w:sz w:val="24"/>
          <w:szCs w:val="24"/>
        </w:rPr>
        <w:t>3</w:t>
      </w:r>
      <w:r w:rsidR="00937E42" w:rsidRPr="00B56DB6">
        <w:rPr>
          <w:rFonts w:ascii="Calibri" w:hAnsi="Calibri" w:cs="Tunga"/>
          <w:sz w:val="24"/>
          <w:szCs w:val="24"/>
        </w:rPr>
        <w:t xml:space="preserve">.  </w:t>
      </w:r>
    </w:p>
    <w:p w:rsidR="003C2D98" w:rsidRDefault="003C2D98" w:rsidP="00E62A68">
      <w:pPr>
        <w:spacing w:line="276" w:lineRule="auto"/>
        <w:rPr>
          <w:rFonts w:ascii="Calibri" w:hAnsi="Calibri"/>
          <w:sz w:val="24"/>
          <w:szCs w:val="24"/>
        </w:rPr>
      </w:pPr>
      <w:r>
        <w:rPr>
          <w:rFonts w:ascii="Calibri" w:hAnsi="Calibri"/>
          <w:noProof/>
          <w:sz w:val="24"/>
          <w:szCs w:val="24"/>
        </w:rPr>
        <w:drawing>
          <wp:inline distT="0" distB="0" distL="0" distR="0" wp14:anchorId="26960449" wp14:editId="642F39C9">
            <wp:extent cx="6100121" cy="2771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B43B5.tmp"/>
                    <pic:cNvPicPr/>
                  </pic:nvPicPr>
                  <pic:blipFill>
                    <a:blip r:embed="rId15">
                      <a:extLst>
                        <a:ext uri="{28A0092B-C50C-407E-A947-70E740481C1C}">
                          <a14:useLocalDpi xmlns:a14="http://schemas.microsoft.com/office/drawing/2010/main" val="0"/>
                        </a:ext>
                      </a:extLst>
                    </a:blip>
                    <a:stretch>
                      <a:fillRect/>
                    </a:stretch>
                  </pic:blipFill>
                  <pic:spPr>
                    <a:xfrm>
                      <a:off x="0" y="0"/>
                      <a:ext cx="6101338" cy="2772328"/>
                    </a:xfrm>
                    <a:prstGeom prst="rect">
                      <a:avLst/>
                    </a:prstGeom>
                  </pic:spPr>
                </pic:pic>
              </a:graphicData>
            </a:graphic>
          </wp:inline>
        </w:drawing>
      </w:r>
    </w:p>
    <w:p w:rsidR="0055613D" w:rsidRPr="003C2D98" w:rsidRDefault="003C2D98" w:rsidP="0055613D">
      <w:pPr>
        <w:tabs>
          <w:tab w:val="center" w:pos="4995"/>
        </w:tabs>
        <w:spacing w:line="240" w:lineRule="auto"/>
        <w:ind w:left="720"/>
        <w:rPr>
          <w:rFonts w:ascii="Calibri" w:hAnsi="Calibri"/>
          <w:sz w:val="24"/>
          <w:szCs w:val="24"/>
        </w:rPr>
      </w:pPr>
      <w:proofErr w:type="gramStart"/>
      <w:r w:rsidRPr="0055613D">
        <w:rPr>
          <w:rFonts w:ascii="Calibri" w:hAnsi="Calibri"/>
          <w:i/>
          <w:sz w:val="24"/>
          <w:szCs w:val="24"/>
        </w:rPr>
        <w:t xml:space="preserve">Figure </w:t>
      </w:r>
      <w:r w:rsidR="00B86E18" w:rsidRPr="0055613D">
        <w:rPr>
          <w:rFonts w:ascii="Calibri" w:hAnsi="Calibri"/>
          <w:i/>
          <w:sz w:val="24"/>
          <w:szCs w:val="24"/>
        </w:rPr>
        <w:t>3</w:t>
      </w:r>
      <w:r w:rsidRPr="0055613D">
        <w:rPr>
          <w:rFonts w:ascii="Calibri" w:hAnsi="Calibri"/>
          <w:i/>
          <w:sz w:val="24"/>
          <w:szCs w:val="24"/>
        </w:rPr>
        <w:t>.</w:t>
      </w:r>
      <w:proofErr w:type="gramEnd"/>
      <w:r w:rsidRPr="0055613D">
        <w:rPr>
          <w:rFonts w:ascii="Calibri" w:hAnsi="Calibri"/>
          <w:i/>
          <w:sz w:val="24"/>
          <w:szCs w:val="24"/>
        </w:rPr>
        <w:t xml:space="preserve">  Summary of historic monitoring </w:t>
      </w:r>
      <w:r w:rsidR="0055613D" w:rsidRPr="0055613D">
        <w:rPr>
          <w:rFonts w:ascii="Calibri" w:hAnsi="Calibri"/>
          <w:i/>
          <w:sz w:val="24"/>
          <w:szCs w:val="24"/>
        </w:rPr>
        <w:t xml:space="preserve">results for Sentinel Stations, </w:t>
      </w:r>
      <w:r w:rsidRPr="0055613D">
        <w:rPr>
          <w:rFonts w:ascii="Calibri" w:hAnsi="Calibri"/>
          <w:i/>
          <w:sz w:val="24"/>
          <w:szCs w:val="24"/>
        </w:rPr>
        <w:t>LCR3.7 and LCR14, Lewis Creek watershed.</w:t>
      </w:r>
      <w:r w:rsidR="0055613D" w:rsidRPr="0055613D">
        <w:rPr>
          <w:rFonts w:ascii="Calibri" w:hAnsi="Calibri"/>
          <w:i/>
          <w:sz w:val="24"/>
          <w:szCs w:val="24"/>
        </w:rPr>
        <w:t xml:space="preserve">  W</w:t>
      </w:r>
      <w:r w:rsidR="0055613D" w:rsidRPr="0055613D">
        <w:rPr>
          <w:rFonts w:ascii="Calibri" w:hAnsi="Calibri"/>
          <w:i/>
          <w:sz w:val="24"/>
          <w:szCs w:val="24"/>
        </w:rPr>
        <w:t xml:space="preserve">hiskers extend to the maximum and minimum values, while the gray-shaded box represents the interquartile range of values.  The median value is marked by the </w:t>
      </w:r>
      <w:r w:rsidR="0055613D" w:rsidRPr="0055613D">
        <w:rPr>
          <w:rFonts w:ascii="Calibri" w:hAnsi="Calibri"/>
          <w:i/>
          <w:sz w:val="24"/>
          <w:szCs w:val="24"/>
        </w:rPr>
        <w:t>solid</w:t>
      </w:r>
      <w:r w:rsidR="0055613D" w:rsidRPr="0055613D">
        <w:rPr>
          <w:rFonts w:ascii="Calibri" w:hAnsi="Calibri"/>
          <w:i/>
          <w:sz w:val="24"/>
          <w:szCs w:val="24"/>
        </w:rPr>
        <w:t xml:space="preserve"> horizontal line.  The number of samples (n) represented by each box-and-whisker is displayed across the top of </w:t>
      </w:r>
      <w:r w:rsidR="0055613D" w:rsidRPr="0055613D">
        <w:rPr>
          <w:rFonts w:ascii="Calibri" w:hAnsi="Calibri"/>
          <w:i/>
          <w:sz w:val="24"/>
          <w:szCs w:val="24"/>
        </w:rPr>
        <w:t>the</w:t>
      </w:r>
      <w:r w:rsidR="0055613D" w:rsidRPr="0055613D">
        <w:rPr>
          <w:rFonts w:ascii="Calibri" w:hAnsi="Calibri"/>
          <w:i/>
          <w:sz w:val="24"/>
          <w:szCs w:val="24"/>
        </w:rPr>
        <w:t xml:space="preserve"> chart.  </w:t>
      </w:r>
      <w:r w:rsidR="0055613D" w:rsidRPr="0055613D">
        <w:rPr>
          <w:rFonts w:ascii="Calibri" w:hAnsi="Calibri"/>
          <w:i/>
          <w:sz w:val="24"/>
          <w:szCs w:val="24"/>
        </w:rPr>
        <w:t>Horizontal dashed lines mark the relevant values for VT Water Quality Standards</w:t>
      </w:r>
      <w:r w:rsidR="0055613D">
        <w:rPr>
          <w:rFonts w:ascii="Calibri" w:hAnsi="Calibri"/>
          <w:i/>
          <w:sz w:val="24"/>
          <w:szCs w:val="24"/>
        </w:rPr>
        <w:t xml:space="preserve"> as detailed in the text below</w:t>
      </w:r>
      <w:r w:rsidR="0055613D" w:rsidRPr="0055613D">
        <w:rPr>
          <w:rFonts w:ascii="Calibri" w:hAnsi="Calibri"/>
          <w:sz w:val="24"/>
          <w:szCs w:val="24"/>
        </w:rPr>
        <w:t>.</w:t>
      </w:r>
    </w:p>
    <w:p w:rsidR="00684335" w:rsidRPr="0055613D" w:rsidRDefault="0039536A" w:rsidP="0055613D">
      <w:pPr>
        <w:spacing w:line="276" w:lineRule="auto"/>
        <w:rPr>
          <w:rFonts w:ascii="Calibri" w:hAnsi="Calibri" w:cs="Tunga"/>
          <w:sz w:val="24"/>
          <w:szCs w:val="24"/>
        </w:rPr>
      </w:pPr>
      <w:r w:rsidRPr="0055613D">
        <w:rPr>
          <w:rFonts w:ascii="Calibri" w:hAnsi="Calibri" w:cs="Tunga"/>
          <w:b/>
          <w:i/>
          <w:sz w:val="24"/>
          <w:szCs w:val="24"/>
        </w:rPr>
        <w:t>E. coli</w:t>
      </w:r>
      <w:r w:rsidR="000212C8" w:rsidRPr="0055613D">
        <w:rPr>
          <w:rFonts w:ascii="Calibri" w:hAnsi="Calibri" w:cs="Tunga"/>
          <w:sz w:val="24"/>
          <w:szCs w:val="24"/>
        </w:rPr>
        <w:t xml:space="preserve"> counts </w:t>
      </w:r>
      <w:r w:rsidR="0055613D">
        <w:rPr>
          <w:rFonts w:ascii="Calibri" w:hAnsi="Calibri" w:cs="Tunga"/>
          <w:sz w:val="24"/>
          <w:szCs w:val="24"/>
        </w:rPr>
        <w:t xml:space="preserve">on summer sampling dates </w:t>
      </w:r>
      <w:r w:rsidR="000212C8" w:rsidRPr="0055613D">
        <w:rPr>
          <w:rFonts w:ascii="Calibri" w:hAnsi="Calibri" w:cs="Tunga"/>
          <w:sz w:val="24"/>
          <w:szCs w:val="24"/>
        </w:rPr>
        <w:t>in the Lewis Creek at the two se</w:t>
      </w:r>
      <w:r w:rsidR="00B56DB6" w:rsidRPr="0055613D">
        <w:rPr>
          <w:rFonts w:ascii="Calibri" w:hAnsi="Calibri" w:cs="Tunga"/>
          <w:sz w:val="24"/>
          <w:szCs w:val="24"/>
        </w:rPr>
        <w:t xml:space="preserve">ntinel stations </w:t>
      </w:r>
      <w:r w:rsidR="00F850B4" w:rsidRPr="0055613D">
        <w:rPr>
          <w:rFonts w:ascii="Calibri" w:hAnsi="Calibri" w:cs="Tunga"/>
          <w:sz w:val="24"/>
          <w:szCs w:val="24"/>
        </w:rPr>
        <w:t xml:space="preserve">have </w:t>
      </w:r>
      <w:r w:rsidR="00B56DB6" w:rsidRPr="0055613D">
        <w:rPr>
          <w:rFonts w:ascii="Calibri" w:hAnsi="Calibri" w:cs="Tunga"/>
          <w:sz w:val="24"/>
          <w:szCs w:val="24"/>
        </w:rPr>
        <w:t xml:space="preserve">ranged from </w:t>
      </w:r>
      <w:r w:rsidR="00F850B4" w:rsidRPr="0055613D">
        <w:rPr>
          <w:rFonts w:ascii="Calibri" w:hAnsi="Calibri" w:cs="Tunga"/>
          <w:sz w:val="24"/>
          <w:szCs w:val="24"/>
        </w:rPr>
        <w:t>9</w:t>
      </w:r>
      <w:r w:rsidR="000212C8" w:rsidRPr="0055613D">
        <w:rPr>
          <w:rFonts w:ascii="Calibri" w:hAnsi="Calibri" w:cs="Tunga"/>
          <w:sz w:val="24"/>
          <w:szCs w:val="24"/>
        </w:rPr>
        <w:t xml:space="preserve"> to </w:t>
      </w:r>
      <w:r w:rsidR="00B56DB6" w:rsidRPr="0055613D">
        <w:rPr>
          <w:rFonts w:ascii="Calibri" w:hAnsi="Calibri" w:cs="Tunga"/>
          <w:sz w:val="24"/>
          <w:szCs w:val="24"/>
        </w:rPr>
        <w:t>&gt;2420</w:t>
      </w:r>
      <w:r w:rsidR="000212C8" w:rsidRPr="0055613D">
        <w:rPr>
          <w:rFonts w:ascii="Calibri" w:hAnsi="Calibri" w:cs="Tunga"/>
          <w:sz w:val="24"/>
          <w:szCs w:val="24"/>
        </w:rPr>
        <w:t xml:space="preserve"> </w:t>
      </w:r>
      <w:r w:rsidR="00F850B4" w:rsidRPr="0055613D">
        <w:rPr>
          <w:rFonts w:ascii="Calibri" w:hAnsi="Calibri" w:cs="Tunga"/>
          <w:sz w:val="24"/>
          <w:szCs w:val="24"/>
        </w:rPr>
        <w:t>MPN</w:t>
      </w:r>
      <w:r w:rsidR="000212C8" w:rsidRPr="0055613D">
        <w:rPr>
          <w:rFonts w:ascii="Calibri" w:hAnsi="Calibri" w:cs="Tunga"/>
          <w:sz w:val="24"/>
          <w:szCs w:val="24"/>
        </w:rPr>
        <w:t>/100 mL</w:t>
      </w:r>
      <w:r w:rsidR="0055613D">
        <w:rPr>
          <w:rFonts w:ascii="Calibri" w:hAnsi="Calibri" w:cs="Tunga"/>
          <w:sz w:val="24"/>
          <w:szCs w:val="24"/>
        </w:rPr>
        <w:t xml:space="preserve"> (Figure 4A)</w:t>
      </w:r>
      <w:r w:rsidR="000212C8" w:rsidRPr="0055613D">
        <w:rPr>
          <w:rFonts w:ascii="Calibri" w:hAnsi="Calibri" w:cs="Tunga"/>
          <w:sz w:val="24"/>
          <w:szCs w:val="24"/>
        </w:rPr>
        <w:t xml:space="preserve">. </w:t>
      </w:r>
      <w:r w:rsidR="000212C8" w:rsidRPr="0055613D">
        <w:rPr>
          <w:rFonts w:ascii="Calibri" w:hAnsi="Calibri"/>
          <w:sz w:val="24"/>
          <w:szCs w:val="24"/>
        </w:rPr>
        <w:t xml:space="preserve">Vermont Water Quality Criteria (VTDEC, 2016) state that </w:t>
      </w:r>
      <w:r w:rsidRPr="0055613D">
        <w:rPr>
          <w:rFonts w:ascii="Calibri" w:hAnsi="Calibri"/>
          <w:i/>
          <w:sz w:val="24"/>
          <w:szCs w:val="24"/>
        </w:rPr>
        <w:t>E. coli</w:t>
      </w:r>
      <w:r w:rsidR="000212C8" w:rsidRPr="0055613D">
        <w:rPr>
          <w:rFonts w:ascii="Calibri" w:hAnsi="Calibri"/>
          <w:sz w:val="24"/>
          <w:szCs w:val="24"/>
        </w:rPr>
        <w:t xml:space="preserve"> is not to exceed a geometric mean of 126 </w:t>
      </w:r>
      <w:r w:rsidR="00F850B4" w:rsidRPr="0055613D">
        <w:rPr>
          <w:rFonts w:ascii="Calibri" w:hAnsi="Calibri"/>
          <w:sz w:val="24"/>
          <w:szCs w:val="24"/>
        </w:rPr>
        <w:t>MPN</w:t>
      </w:r>
      <w:r w:rsidR="000212C8" w:rsidRPr="0055613D">
        <w:rPr>
          <w:rFonts w:ascii="Calibri" w:hAnsi="Calibri"/>
          <w:sz w:val="24"/>
          <w:szCs w:val="24"/>
        </w:rPr>
        <w:t xml:space="preserve">/100mL obtained over a representative period of 60 days, and no more than 10% of samples should be above 235 </w:t>
      </w:r>
      <w:r w:rsidR="00F850B4" w:rsidRPr="0055613D">
        <w:rPr>
          <w:rFonts w:ascii="Calibri" w:hAnsi="Calibri"/>
          <w:sz w:val="24"/>
          <w:szCs w:val="24"/>
        </w:rPr>
        <w:t>MPN</w:t>
      </w:r>
      <w:r w:rsidR="000212C8" w:rsidRPr="0055613D">
        <w:rPr>
          <w:rFonts w:ascii="Calibri" w:hAnsi="Calibri"/>
          <w:sz w:val="24"/>
          <w:szCs w:val="24"/>
        </w:rPr>
        <w:t xml:space="preserve">/100 </w:t>
      </w:r>
      <w:proofErr w:type="spellStart"/>
      <w:r w:rsidR="000212C8" w:rsidRPr="0055613D">
        <w:rPr>
          <w:rFonts w:ascii="Calibri" w:hAnsi="Calibri"/>
          <w:sz w:val="24"/>
          <w:szCs w:val="24"/>
        </w:rPr>
        <w:t>mL.</w:t>
      </w:r>
      <w:proofErr w:type="spellEnd"/>
      <w:r w:rsidR="000212C8" w:rsidRPr="0055613D">
        <w:rPr>
          <w:rFonts w:ascii="Calibri" w:hAnsi="Calibri"/>
          <w:sz w:val="24"/>
          <w:szCs w:val="24"/>
        </w:rPr>
        <w:t xml:space="preserve">  </w:t>
      </w:r>
      <w:r w:rsidR="00937E42" w:rsidRPr="0055613D">
        <w:rPr>
          <w:rFonts w:ascii="Calibri" w:hAnsi="Calibri" w:cs="Tunga"/>
          <w:sz w:val="24"/>
          <w:szCs w:val="24"/>
        </w:rPr>
        <w:t xml:space="preserve">Chronic exceedances of the water quality standard for </w:t>
      </w:r>
      <w:r w:rsidRPr="0055613D">
        <w:rPr>
          <w:rFonts w:ascii="Calibri" w:hAnsi="Calibri" w:cs="Tunga"/>
          <w:i/>
          <w:sz w:val="24"/>
          <w:szCs w:val="24"/>
        </w:rPr>
        <w:t xml:space="preserve">E. </w:t>
      </w:r>
      <w:proofErr w:type="gramStart"/>
      <w:r w:rsidRPr="0055613D">
        <w:rPr>
          <w:rFonts w:ascii="Calibri" w:hAnsi="Calibri" w:cs="Tunga"/>
          <w:i/>
          <w:sz w:val="24"/>
          <w:szCs w:val="24"/>
        </w:rPr>
        <w:t>coli</w:t>
      </w:r>
      <w:r w:rsidR="00937E42" w:rsidRPr="0055613D">
        <w:rPr>
          <w:rFonts w:ascii="Calibri" w:hAnsi="Calibri" w:cs="Tunga"/>
          <w:i/>
          <w:sz w:val="24"/>
          <w:szCs w:val="24"/>
        </w:rPr>
        <w:t xml:space="preserve">  </w:t>
      </w:r>
      <w:r w:rsidR="00937E42" w:rsidRPr="0055613D">
        <w:rPr>
          <w:rFonts w:ascii="Calibri" w:hAnsi="Calibri" w:cs="Tunga"/>
          <w:sz w:val="24"/>
          <w:szCs w:val="24"/>
        </w:rPr>
        <w:t>are</w:t>
      </w:r>
      <w:proofErr w:type="gramEnd"/>
      <w:r w:rsidR="00937E42" w:rsidRPr="0055613D">
        <w:rPr>
          <w:rFonts w:ascii="Calibri" w:hAnsi="Calibri" w:cs="Tunga"/>
          <w:sz w:val="24"/>
          <w:szCs w:val="24"/>
        </w:rPr>
        <w:t xml:space="preserve"> evident at LCR14.  Station LCR14 is located downstream of a dairy pasture where livestock have direct </w:t>
      </w:r>
      <w:proofErr w:type="gramStart"/>
      <w:r w:rsidR="00937E42" w:rsidRPr="0055613D">
        <w:rPr>
          <w:rFonts w:ascii="Calibri" w:hAnsi="Calibri" w:cs="Tunga"/>
          <w:sz w:val="24"/>
          <w:szCs w:val="24"/>
        </w:rPr>
        <w:lastRenderedPageBreak/>
        <w:t>access</w:t>
      </w:r>
      <w:proofErr w:type="gramEnd"/>
      <w:r w:rsidR="00937E42" w:rsidRPr="0055613D">
        <w:rPr>
          <w:rFonts w:ascii="Calibri" w:hAnsi="Calibri" w:cs="Tunga"/>
          <w:sz w:val="24"/>
          <w:szCs w:val="24"/>
        </w:rPr>
        <w:t xml:space="preserve"> to the stream.  This station is also located downstream of the confluence with Hollow Brook which flows through wetlands populated by beavers.  </w:t>
      </w:r>
    </w:p>
    <w:p w:rsidR="000212C8" w:rsidRPr="0055613D" w:rsidRDefault="00684335" w:rsidP="0055613D">
      <w:pPr>
        <w:spacing w:line="276" w:lineRule="auto"/>
        <w:rPr>
          <w:rFonts w:ascii="Calibri" w:hAnsi="Calibri" w:cs="Tunga"/>
          <w:sz w:val="24"/>
          <w:szCs w:val="24"/>
        </w:rPr>
      </w:pPr>
      <w:r w:rsidRPr="0055613D">
        <w:rPr>
          <w:rFonts w:ascii="Calibri" w:hAnsi="Calibri" w:cs="Tunga"/>
          <w:b/>
          <w:sz w:val="24"/>
          <w:szCs w:val="24"/>
        </w:rPr>
        <w:t>Phosphorus</w:t>
      </w:r>
      <w:r w:rsidRPr="0055613D">
        <w:rPr>
          <w:rFonts w:ascii="Calibri" w:hAnsi="Calibri" w:cs="Tunga"/>
          <w:sz w:val="24"/>
          <w:szCs w:val="24"/>
        </w:rPr>
        <w:t xml:space="preserve"> was detected at low to moderate concentrations during </w:t>
      </w:r>
      <w:r w:rsidR="00F850B4" w:rsidRPr="0055613D">
        <w:rPr>
          <w:rFonts w:ascii="Calibri" w:hAnsi="Calibri" w:cs="Tunga"/>
          <w:sz w:val="24"/>
          <w:szCs w:val="24"/>
        </w:rPr>
        <w:t>spring and s</w:t>
      </w:r>
      <w:r w:rsidRPr="0055613D">
        <w:rPr>
          <w:rFonts w:ascii="Calibri" w:hAnsi="Calibri" w:cs="Tunga"/>
          <w:sz w:val="24"/>
          <w:szCs w:val="24"/>
        </w:rPr>
        <w:t>ummer sampling dates</w:t>
      </w:r>
      <w:r w:rsidR="00F850B4" w:rsidRPr="0055613D">
        <w:rPr>
          <w:rFonts w:ascii="Calibri" w:hAnsi="Calibri" w:cs="Tunga"/>
          <w:sz w:val="24"/>
          <w:szCs w:val="24"/>
        </w:rPr>
        <w:t xml:space="preserve"> from 1997 to 2015</w:t>
      </w:r>
      <w:r w:rsidRPr="0055613D">
        <w:rPr>
          <w:rFonts w:ascii="Calibri" w:hAnsi="Calibri" w:cs="Tunga"/>
          <w:sz w:val="24"/>
          <w:szCs w:val="24"/>
        </w:rPr>
        <w:t xml:space="preserve">, ranging from </w:t>
      </w:r>
      <w:r w:rsidR="00F850B4" w:rsidRPr="0055613D">
        <w:rPr>
          <w:rFonts w:ascii="Calibri" w:hAnsi="Calibri" w:cs="Tunga"/>
          <w:sz w:val="24"/>
          <w:szCs w:val="24"/>
        </w:rPr>
        <w:t>8</w:t>
      </w:r>
      <w:r w:rsidRPr="0055613D">
        <w:rPr>
          <w:rFonts w:ascii="Calibri" w:hAnsi="Calibri" w:cs="Tunga"/>
          <w:sz w:val="24"/>
          <w:szCs w:val="24"/>
        </w:rPr>
        <w:t xml:space="preserve"> </w:t>
      </w:r>
      <w:proofErr w:type="gramStart"/>
      <w:r w:rsidRPr="0055613D">
        <w:rPr>
          <w:rFonts w:ascii="Calibri" w:hAnsi="Calibri" w:cs="Tunga"/>
          <w:sz w:val="24"/>
          <w:szCs w:val="24"/>
        </w:rPr>
        <w:t xml:space="preserve">to </w:t>
      </w:r>
      <w:r w:rsidR="00F850B4" w:rsidRPr="0055613D">
        <w:rPr>
          <w:rFonts w:ascii="Calibri" w:hAnsi="Calibri" w:cs="Tunga"/>
          <w:sz w:val="24"/>
          <w:szCs w:val="24"/>
        </w:rPr>
        <w:t>448 µg/L</w:t>
      </w:r>
      <w:r w:rsidR="0055613D">
        <w:rPr>
          <w:rFonts w:ascii="Calibri" w:hAnsi="Calibri" w:cs="Tunga"/>
          <w:sz w:val="24"/>
          <w:szCs w:val="24"/>
        </w:rPr>
        <w:t xml:space="preserve"> (Figure 4B)</w:t>
      </w:r>
      <w:proofErr w:type="gramEnd"/>
      <w:r w:rsidRPr="0055613D">
        <w:rPr>
          <w:rFonts w:ascii="Calibri" w:hAnsi="Calibri" w:cs="Tunga"/>
          <w:sz w:val="24"/>
          <w:szCs w:val="24"/>
        </w:rPr>
        <w:t xml:space="preserve">.   The instream phosphorus criterion </w:t>
      </w:r>
      <w:proofErr w:type="gramStart"/>
      <w:r w:rsidRPr="0055613D">
        <w:rPr>
          <w:rFonts w:ascii="Calibri" w:hAnsi="Calibri" w:cs="Tunga"/>
          <w:sz w:val="24"/>
          <w:szCs w:val="24"/>
        </w:rPr>
        <w:t xml:space="preserve">of 27 µg/L for warm-water medium gradient (WWMG) </w:t>
      </w:r>
      <w:proofErr w:type="spellStart"/>
      <w:r w:rsidRPr="0055613D">
        <w:rPr>
          <w:rFonts w:ascii="Calibri" w:hAnsi="Calibri" w:cs="Tunga"/>
          <w:sz w:val="24"/>
          <w:szCs w:val="24"/>
        </w:rPr>
        <w:t>wadeable</w:t>
      </w:r>
      <w:proofErr w:type="spellEnd"/>
      <w:r w:rsidRPr="0055613D">
        <w:rPr>
          <w:rFonts w:ascii="Calibri" w:hAnsi="Calibri" w:cs="Tunga"/>
          <w:sz w:val="24"/>
          <w:szCs w:val="24"/>
        </w:rPr>
        <w:t xml:space="preserve"> stream ecotypes in Class B waters</w:t>
      </w:r>
      <w:proofErr w:type="gramEnd"/>
      <w:r w:rsidRPr="0055613D">
        <w:rPr>
          <w:rFonts w:ascii="Calibri" w:hAnsi="Calibri" w:cs="Tunga"/>
          <w:sz w:val="24"/>
          <w:szCs w:val="24"/>
        </w:rPr>
        <w:t xml:space="preserve"> is applicable </w:t>
      </w:r>
      <w:r w:rsidRPr="0055613D">
        <w:rPr>
          <w:rFonts w:ascii="Calibri" w:hAnsi="Calibri"/>
          <w:sz w:val="24"/>
          <w:szCs w:val="24"/>
        </w:rPr>
        <w:t xml:space="preserve">at low median monthly </w:t>
      </w:r>
      <w:r w:rsidR="00F850B4" w:rsidRPr="0055613D">
        <w:rPr>
          <w:rFonts w:ascii="Calibri" w:hAnsi="Calibri"/>
          <w:sz w:val="24"/>
          <w:szCs w:val="24"/>
        </w:rPr>
        <w:t xml:space="preserve">(LMM) </w:t>
      </w:r>
      <w:r w:rsidRPr="0055613D">
        <w:rPr>
          <w:rFonts w:ascii="Calibri" w:hAnsi="Calibri"/>
          <w:sz w:val="24"/>
          <w:szCs w:val="24"/>
        </w:rPr>
        <w:t>flow conditions during June through October</w:t>
      </w:r>
      <w:r w:rsidRPr="0055613D">
        <w:rPr>
          <w:rFonts w:ascii="Calibri" w:hAnsi="Calibri" w:cs="Tunga"/>
          <w:sz w:val="24"/>
          <w:szCs w:val="24"/>
        </w:rPr>
        <w:t>.  Historic results for both sentinel and rotational sites have shown an increasing trend in phosphorus concentration with distance downstream, as well as a tendency for elevated phosphorus concentrations during high flows.</w:t>
      </w:r>
      <w:r w:rsidR="0055613D">
        <w:rPr>
          <w:rFonts w:ascii="Calibri" w:hAnsi="Calibri" w:cs="Tunga"/>
          <w:sz w:val="24"/>
          <w:szCs w:val="24"/>
        </w:rPr>
        <w:br/>
      </w:r>
      <w:r w:rsidRPr="0055613D">
        <w:rPr>
          <w:rFonts w:ascii="Calibri" w:hAnsi="Calibri" w:cs="Tunga"/>
          <w:sz w:val="24"/>
          <w:szCs w:val="24"/>
        </w:rPr>
        <w:br/>
      </w:r>
      <w:r w:rsidR="000212C8" w:rsidRPr="0055613D">
        <w:rPr>
          <w:rFonts w:ascii="Calibri" w:hAnsi="Calibri" w:cs="Tunga"/>
          <w:b/>
          <w:sz w:val="24"/>
        </w:rPr>
        <w:t>Turbidity</w:t>
      </w:r>
      <w:r w:rsidR="000212C8" w:rsidRPr="0055613D">
        <w:rPr>
          <w:rFonts w:ascii="Calibri" w:hAnsi="Calibri" w:cs="Tunga"/>
          <w:sz w:val="24"/>
        </w:rPr>
        <w:t xml:space="preserve"> levels </w:t>
      </w:r>
      <w:r w:rsidR="00AF53DE" w:rsidRPr="0055613D">
        <w:rPr>
          <w:rFonts w:ascii="Calibri" w:hAnsi="Calibri" w:cs="Tunga"/>
          <w:sz w:val="24"/>
          <w:szCs w:val="24"/>
        </w:rPr>
        <w:t>in the Lewis Creek at the two sentinel stations</w:t>
      </w:r>
      <w:r w:rsidR="00AF53DE" w:rsidRPr="0055613D">
        <w:rPr>
          <w:rFonts w:ascii="Calibri" w:hAnsi="Calibri" w:cs="Tunga"/>
          <w:sz w:val="24"/>
        </w:rPr>
        <w:t xml:space="preserve"> ranged from </w:t>
      </w:r>
      <w:r w:rsidR="00A059D3" w:rsidRPr="0055613D">
        <w:rPr>
          <w:rFonts w:ascii="Calibri" w:hAnsi="Calibri" w:cs="Tunga"/>
          <w:sz w:val="24"/>
        </w:rPr>
        <w:t>0.6</w:t>
      </w:r>
      <w:r w:rsidR="000212C8" w:rsidRPr="0055613D">
        <w:rPr>
          <w:rFonts w:ascii="Calibri" w:hAnsi="Calibri" w:cs="Tunga"/>
          <w:sz w:val="24"/>
        </w:rPr>
        <w:t xml:space="preserve"> to </w:t>
      </w:r>
      <w:r w:rsidR="00A059D3" w:rsidRPr="0055613D">
        <w:rPr>
          <w:rFonts w:ascii="Calibri" w:hAnsi="Calibri" w:cs="Tunga"/>
          <w:sz w:val="24"/>
        </w:rPr>
        <w:t>223 NTUs on spring and summer sample dates from 2006 through 2015</w:t>
      </w:r>
      <w:r w:rsidR="00AF53DE" w:rsidRPr="0055613D">
        <w:rPr>
          <w:rFonts w:ascii="Calibri" w:hAnsi="Calibri" w:cs="Tunga"/>
          <w:sz w:val="24"/>
        </w:rPr>
        <w:t xml:space="preserve">. </w:t>
      </w:r>
      <w:r w:rsidR="000212C8" w:rsidRPr="0055613D">
        <w:rPr>
          <w:rFonts w:ascii="Calibri" w:hAnsi="Calibri" w:cs="Tunga"/>
          <w:sz w:val="24"/>
        </w:rPr>
        <w:t xml:space="preserve">  </w:t>
      </w:r>
      <w:r w:rsidR="00A059D3" w:rsidRPr="0055613D">
        <w:rPr>
          <w:rFonts w:ascii="Calibri" w:hAnsi="Calibri" w:cs="Tunga"/>
          <w:sz w:val="24"/>
        </w:rPr>
        <w:t xml:space="preserve">The box-and-whisker plot in Figure 4C shows the full distribution of Turbidity results reported over that time frame.  </w:t>
      </w:r>
      <w:r w:rsidR="000212C8" w:rsidRPr="0055613D">
        <w:rPr>
          <w:rFonts w:ascii="Calibri" w:hAnsi="Calibri" w:cs="Tunga"/>
          <w:sz w:val="24"/>
        </w:rPr>
        <w:t xml:space="preserve">The Vermont state standard of 10 NTUs (for Class B cold-water fisheries) is applicable during dry-weather, </w:t>
      </w:r>
      <w:proofErr w:type="spellStart"/>
      <w:r w:rsidR="000212C8" w:rsidRPr="0055613D">
        <w:rPr>
          <w:rFonts w:ascii="Calibri" w:hAnsi="Calibri" w:cs="Tunga"/>
          <w:sz w:val="24"/>
        </w:rPr>
        <w:t>baseflow</w:t>
      </w:r>
      <w:proofErr w:type="spellEnd"/>
      <w:r w:rsidR="000212C8" w:rsidRPr="0055613D">
        <w:rPr>
          <w:rFonts w:ascii="Calibri" w:hAnsi="Calibri" w:cs="Tunga"/>
          <w:sz w:val="24"/>
        </w:rPr>
        <w:t xml:space="preserve"> conditions.  </w:t>
      </w:r>
      <w:r w:rsidR="00AF53DE" w:rsidRPr="0055613D">
        <w:rPr>
          <w:rFonts w:ascii="Calibri" w:hAnsi="Calibri" w:cs="Tunga"/>
          <w:sz w:val="24"/>
        </w:rPr>
        <w:t>T</w:t>
      </w:r>
      <w:r w:rsidR="000212C8" w:rsidRPr="0055613D">
        <w:rPr>
          <w:rFonts w:ascii="Calibri" w:hAnsi="Calibri" w:cs="Tunga"/>
          <w:sz w:val="24"/>
        </w:rPr>
        <w:t xml:space="preserve">urbidity can be elevated at times of increased flow – during a summer thunderstorm, or during spring runoff conditions – especially in the lower reaches of the </w:t>
      </w:r>
      <w:r w:rsidR="00AF53DE" w:rsidRPr="0055613D">
        <w:rPr>
          <w:rFonts w:ascii="Calibri" w:hAnsi="Calibri" w:cs="Tunga"/>
          <w:sz w:val="24"/>
        </w:rPr>
        <w:t>Lewis Creek (vicinity of LCR3.7)</w:t>
      </w:r>
      <w:r w:rsidR="000212C8" w:rsidRPr="0055613D">
        <w:rPr>
          <w:rFonts w:ascii="Calibri" w:hAnsi="Calibri" w:cs="Tunga"/>
          <w:sz w:val="24"/>
        </w:rPr>
        <w:t xml:space="preserve">.  </w:t>
      </w:r>
      <w:r w:rsidR="00AF53DE" w:rsidRPr="0055613D">
        <w:rPr>
          <w:rFonts w:ascii="Calibri" w:hAnsi="Calibri" w:cs="Tunga"/>
          <w:sz w:val="24"/>
        </w:rPr>
        <w:t>Based on additional stations, a</w:t>
      </w:r>
      <w:r w:rsidR="000212C8" w:rsidRPr="0055613D">
        <w:rPr>
          <w:rFonts w:ascii="Calibri" w:hAnsi="Calibri" w:cs="Tunga"/>
          <w:sz w:val="24"/>
        </w:rPr>
        <w:t>n increasing trend in turbidity with distance downstream is generally observed during all flow conditions</w:t>
      </w:r>
      <w:r w:rsidR="00AF53DE" w:rsidRPr="0055613D">
        <w:rPr>
          <w:rFonts w:ascii="Calibri" w:hAnsi="Calibri" w:cs="Tunga"/>
          <w:sz w:val="24"/>
        </w:rPr>
        <w:t xml:space="preserve"> (SMRC, 2010</w:t>
      </w:r>
      <w:r w:rsidR="00A059D3" w:rsidRPr="0055613D">
        <w:rPr>
          <w:rFonts w:ascii="Calibri" w:hAnsi="Calibri" w:cs="Tunga"/>
          <w:sz w:val="24"/>
        </w:rPr>
        <w:t>, 2013</w:t>
      </w:r>
      <w:r w:rsidR="00AF53DE" w:rsidRPr="0055613D">
        <w:rPr>
          <w:rFonts w:ascii="Calibri" w:hAnsi="Calibri" w:cs="Tunga"/>
          <w:sz w:val="24"/>
        </w:rPr>
        <w:t xml:space="preserve">) – coincident with increasing density of </w:t>
      </w:r>
      <w:proofErr w:type="spellStart"/>
      <w:r w:rsidR="00AF53DE" w:rsidRPr="0055613D">
        <w:rPr>
          <w:rFonts w:ascii="Calibri" w:hAnsi="Calibri" w:cs="Tunga"/>
          <w:sz w:val="24"/>
        </w:rPr>
        <w:t>glaciolacustrine</w:t>
      </w:r>
      <w:proofErr w:type="spellEnd"/>
      <w:r w:rsidR="00AF53DE" w:rsidRPr="0055613D">
        <w:rPr>
          <w:rFonts w:ascii="Calibri" w:hAnsi="Calibri" w:cs="Tunga"/>
          <w:sz w:val="24"/>
        </w:rPr>
        <w:t xml:space="preserve"> soils (</w:t>
      </w:r>
      <w:r w:rsidR="00A059D3" w:rsidRPr="0055613D">
        <w:rPr>
          <w:rFonts w:ascii="Calibri" w:hAnsi="Calibri" w:cs="Tunga"/>
          <w:sz w:val="24"/>
        </w:rPr>
        <w:t>ACRWC &amp; SMRC, 2016</w:t>
      </w:r>
      <w:r w:rsidR="00AF53DE" w:rsidRPr="0055613D">
        <w:rPr>
          <w:rFonts w:ascii="Calibri" w:hAnsi="Calibri" w:cs="Tunga"/>
          <w:sz w:val="24"/>
        </w:rPr>
        <w:t>)</w:t>
      </w:r>
      <w:r w:rsidR="000212C8" w:rsidRPr="0055613D">
        <w:rPr>
          <w:rFonts w:ascii="Calibri" w:hAnsi="Calibri" w:cs="Tunga"/>
          <w:sz w:val="24"/>
        </w:rPr>
        <w:t xml:space="preserve">.  </w:t>
      </w:r>
    </w:p>
    <w:p w:rsidR="00537C63" w:rsidRPr="00A00945" w:rsidRDefault="00537C63" w:rsidP="00537C63">
      <w:pPr>
        <w:autoSpaceDE w:val="0"/>
        <w:autoSpaceDN w:val="0"/>
        <w:adjustRightInd w:val="0"/>
        <w:spacing w:line="276" w:lineRule="auto"/>
        <w:rPr>
          <w:rFonts w:cstheme="minorHAnsi"/>
          <w:sz w:val="24"/>
          <w:szCs w:val="24"/>
        </w:rPr>
      </w:pPr>
      <w:r w:rsidRPr="00A00945">
        <w:rPr>
          <w:rFonts w:cstheme="minorHAnsi"/>
          <w:sz w:val="24"/>
          <w:szCs w:val="24"/>
        </w:rPr>
        <w:t xml:space="preserve">Based </w:t>
      </w:r>
      <w:r>
        <w:rPr>
          <w:rFonts w:cstheme="minorHAnsi"/>
          <w:sz w:val="24"/>
          <w:szCs w:val="24"/>
        </w:rPr>
        <w:t xml:space="preserve">in part on ACRWC historic water quality monitoring data, the State of Vermont has </w:t>
      </w:r>
      <w:r w:rsidRPr="00A00945">
        <w:rPr>
          <w:rFonts w:cstheme="minorHAnsi"/>
          <w:sz w:val="24"/>
          <w:szCs w:val="24"/>
        </w:rPr>
        <w:t xml:space="preserve">listed the following Lewis Creek </w:t>
      </w:r>
      <w:r>
        <w:rPr>
          <w:rFonts w:cstheme="minorHAnsi"/>
          <w:sz w:val="24"/>
          <w:szCs w:val="24"/>
        </w:rPr>
        <w:t>segments</w:t>
      </w:r>
      <w:r w:rsidRPr="00A00945">
        <w:rPr>
          <w:rFonts w:cstheme="minorHAnsi"/>
          <w:sz w:val="24"/>
          <w:szCs w:val="24"/>
        </w:rPr>
        <w:t xml:space="preserve"> as impaired for contact recreation use due to </w:t>
      </w:r>
      <w:r w:rsidRPr="0010527D">
        <w:rPr>
          <w:rFonts w:cstheme="minorHAnsi"/>
          <w:i/>
          <w:sz w:val="24"/>
          <w:szCs w:val="24"/>
        </w:rPr>
        <w:t>E. coli</w:t>
      </w:r>
      <w:r w:rsidRPr="00A00945">
        <w:rPr>
          <w:rFonts w:cstheme="minorHAnsi"/>
          <w:sz w:val="24"/>
          <w:szCs w:val="24"/>
        </w:rPr>
        <w:t xml:space="preserve"> </w:t>
      </w:r>
      <w:r>
        <w:rPr>
          <w:rFonts w:cstheme="minorHAnsi"/>
          <w:sz w:val="24"/>
          <w:szCs w:val="24"/>
        </w:rPr>
        <w:t xml:space="preserve">impacts </w:t>
      </w:r>
      <w:r w:rsidRPr="00A00945">
        <w:rPr>
          <w:rFonts w:cstheme="minorHAnsi"/>
          <w:sz w:val="24"/>
          <w:szCs w:val="24"/>
        </w:rPr>
        <w:t>resulting from agricultural runoff (VTDEC WQD, 20</w:t>
      </w:r>
      <w:r>
        <w:rPr>
          <w:rFonts w:cstheme="minorHAnsi"/>
          <w:sz w:val="24"/>
          <w:szCs w:val="24"/>
        </w:rPr>
        <w:t>16</w:t>
      </w:r>
      <w:r w:rsidRPr="00A00945">
        <w:rPr>
          <w:rFonts w:cstheme="minorHAnsi"/>
          <w:sz w:val="24"/>
          <w:szCs w:val="24"/>
        </w:rPr>
        <w:t>):</w:t>
      </w:r>
    </w:p>
    <w:p w:rsidR="00537C63" w:rsidRPr="00A00945" w:rsidRDefault="00537C63" w:rsidP="00537C63">
      <w:pPr>
        <w:pStyle w:val="ListParagraph"/>
        <w:numPr>
          <w:ilvl w:val="0"/>
          <w:numId w:val="2"/>
        </w:numPr>
        <w:autoSpaceDE w:val="0"/>
        <w:autoSpaceDN w:val="0"/>
        <w:adjustRightInd w:val="0"/>
        <w:spacing w:line="276" w:lineRule="auto"/>
        <w:rPr>
          <w:rFonts w:cstheme="minorHAnsi"/>
          <w:sz w:val="24"/>
          <w:szCs w:val="24"/>
        </w:rPr>
      </w:pPr>
      <w:r w:rsidRPr="00A00945">
        <w:rPr>
          <w:rFonts w:cstheme="minorHAnsi"/>
          <w:sz w:val="24"/>
          <w:szCs w:val="24"/>
        </w:rPr>
        <w:t xml:space="preserve">Lewis Creek main stem, 12.3 miles from </w:t>
      </w:r>
      <w:r>
        <w:rPr>
          <w:rFonts w:cstheme="minorHAnsi"/>
          <w:sz w:val="24"/>
          <w:szCs w:val="24"/>
        </w:rPr>
        <w:t xml:space="preserve">Quinlan </w:t>
      </w:r>
      <w:r w:rsidRPr="00A00945">
        <w:rPr>
          <w:rFonts w:cstheme="minorHAnsi"/>
          <w:sz w:val="24"/>
          <w:szCs w:val="24"/>
        </w:rPr>
        <w:t>Covered Bridge upstream to footbridge</w:t>
      </w:r>
      <w:r>
        <w:rPr>
          <w:rFonts w:cstheme="minorHAnsi"/>
          <w:sz w:val="24"/>
          <w:szCs w:val="24"/>
        </w:rPr>
        <w:t xml:space="preserve"> at LCR19.5</w:t>
      </w:r>
      <w:r w:rsidRPr="00A00945">
        <w:rPr>
          <w:rFonts w:cstheme="minorHAnsi"/>
          <w:sz w:val="24"/>
          <w:szCs w:val="24"/>
        </w:rPr>
        <w:t xml:space="preserve"> </w:t>
      </w:r>
      <w:r>
        <w:rPr>
          <w:rFonts w:cstheme="minorHAnsi"/>
          <w:sz w:val="24"/>
          <w:szCs w:val="24"/>
        </w:rPr>
        <w:t>(</w:t>
      </w:r>
      <w:r w:rsidR="009D2B86">
        <w:rPr>
          <w:rFonts w:cstheme="minorHAnsi"/>
          <w:sz w:val="24"/>
          <w:szCs w:val="24"/>
        </w:rPr>
        <w:t xml:space="preserve">yellow highlighted river segment in </w:t>
      </w:r>
      <w:r>
        <w:rPr>
          <w:rFonts w:cstheme="minorHAnsi"/>
          <w:sz w:val="24"/>
          <w:szCs w:val="24"/>
        </w:rPr>
        <w:t>Figure 1)</w:t>
      </w:r>
      <w:r w:rsidR="00CA4D41">
        <w:rPr>
          <w:rFonts w:cstheme="minorHAnsi"/>
          <w:sz w:val="24"/>
          <w:szCs w:val="24"/>
        </w:rPr>
        <w:t>, and</w:t>
      </w:r>
    </w:p>
    <w:p w:rsidR="00537C63" w:rsidRPr="00A00945" w:rsidRDefault="00537C63" w:rsidP="00537C63">
      <w:pPr>
        <w:pStyle w:val="ListParagraph"/>
        <w:numPr>
          <w:ilvl w:val="0"/>
          <w:numId w:val="2"/>
        </w:numPr>
        <w:autoSpaceDE w:val="0"/>
        <w:autoSpaceDN w:val="0"/>
        <w:adjustRightInd w:val="0"/>
        <w:spacing w:line="276" w:lineRule="auto"/>
        <w:rPr>
          <w:rFonts w:cstheme="minorHAnsi"/>
          <w:sz w:val="24"/>
          <w:szCs w:val="24"/>
        </w:rPr>
      </w:pPr>
      <w:r w:rsidRPr="00A00945">
        <w:rPr>
          <w:rFonts w:cstheme="minorHAnsi"/>
          <w:sz w:val="24"/>
          <w:szCs w:val="24"/>
        </w:rPr>
        <w:t>Pond Brook from confluence with Lewis Creek u</w:t>
      </w:r>
      <w:r w:rsidR="00CA4D41">
        <w:rPr>
          <w:rFonts w:cstheme="minorHAnsi"/>
          <w:sz w:val="24"/>
          <w:szCs w:val="24"/>
        </w:rPr>
        <w:t>pstream approximately 1.5 miles.</w:t>
      </w:r>
    </w:p>
    <w:p w:rsidR="00537C63" w:rsidRDefault="00537C63" w:rsidP="00A059D3">
      <w:pPr>
        <w:spacing w:line="276" w:lineRule="auto"/>
        <w:rPr>
          <w:sz w:val="24"/>
          <w:szCs w:val="24"/>
        </w:rPr>
      </w:pPr>
      <w:r>
        <w:rPr>
          <w:sz w:val="24"/>
          <w:szCs w:val="24"/>
        </w:rPr>
        <w:t xml:space="preserve">A </w:t>
      </w:r>
      <w:r w:rsidRPr="008D0613">
        <w:rPr>
          <w:i/>
          <w:sz w:val="24"/>
          <w:szCs w:val="24"/>
        </w:rPr>
        <w:t xml:space="preserve">Vermont Statewide Total Maximum Daily Load </w:t>
      </w:r>
      <w:r>
        <w:rPr>
          <w:i/>
          <w:sz w:val="24"/>
          <w:szCs w:val="24"/>
        </w:rPr>
        <w:t xml:space="preserve">(TMDL) </w:t>
      </w:r>
      <w:r w:rsidRPr="008D0613">
        <w:rPr>
          <w:i/>
          <w:sz w:val="24"/>
          <w:szCs w:val="24"/>
        </w:rPr>
        <w:t>for Bacteria-impaired Waters</w:t>
      </w:r>
      <w:r>
        <w:rPr>
          <w:sz w:val="24"/>
          <w:szCs w:val="24"/>
        </w:rPr>
        <w:t xml:space="preserve"> </w:t>
      </w:r>
      <w:r w:rsidRPr="003C23DC">
        <w:rPr>
          <w:sz w:val="24"/>
          <w:szCs w:val="24"/>
        </w:rPr>
        <w:t>was issued by the VTDEC in 2011</w:t>
      </w:r>
      <w:r>
        <w:rPr>
          <w:sz w:val="24"/>
          <w:szCs w:val="24"/>
        </w:rPr>
        <w:t xml:space="preserve"> and addresses these Lewis Creek segments in Appendix 5 (VTDEC, 2011)</w:t>
      </w:r>
      <w:r w:rsidRPr="003C23DC">
        <w:rPr>
          <w:sz w:val="24"/>
          <w:szCs w:val="24"/>
        </w:rPr>
        <w:t xml:space="preserve">.  </w:t>
      </w:r>
    </w:p>
    <w:p w:rsidR="001B6B0C" w:rsidRDefault="00A059D3" w:rsidP="00A059D3">
      <w:pPr>
        <w:pStyle w:val="Heading2"/>
      </w:pPr>
      <w:bookmarkStart w:id="10" w:name="_Toc497244917"/>
      <w:r>
        <w:t>2.5</w:t>
      </w:r>
      <w:r>
        <w:tab/>
      </w:r>
      <w:r w:rsidR="001B6B0C">
        <w:t>Summary of River Corridor Planning Activities</w:t>
      </w:r>
      <w:bookmarkEnd w:id="10"/>
    </w:p>
    <w:p w:rsidR="001B6B0C" w:rsidRPr="00CA4D41" w:rsidRDefault="001B6B0C" w:rsidP="00CA4D41">
      <w:pPr>
        <w:spacing w:line="276" w:lineRule="auto"/>
        <w:rPr>
          <w:rFonts w:ascii="Calibri" w:hAnsi="Calibri" w:cs="Tahoma"/>
          <w:sz w:val="24"/>
          <w:szCs w:val="24"/>
        </w:rPr>
      </w:pPr>
      <w:r>
        <w:rPr>
          <w:rFonts w:cs="Tahoma"/>
          <w:sz w:val="24"/>
          <w:szCs w:val="24"/>
        </w:rPr>
        <w:t xml:space="preserve">River corridor planning activities carried out by Lewis Creek Association have identified that </w:t>
      </w:r>
      <w:r w:rsidRPr="000A69CB">
        <w:rPr>
          <w:rFonts w:cs="Tahoma"/>
          <w:sz w:val="24"/>
          <w:szCs w:val="24"/>
        </w:rPr>
        <w:t xml:space="preserve">mobilization of fine sediments, phosphorus </w:t>
      </w:r>
      <w:r>
        <w:rPr>
          <w:rFonts w:cs="Tahoma"/>
          <w:sz w:val="24"/>
          <w:szCs w:val="24"/>
        </w:rPr>
        <w:t xml:space="preserve">and </w:t>
      </w:r>
      <w:r w:rsidR="0039536A">
        <w:rPr>
          <w:rFonts w:cs="Tahoma"/>
          <w:i/>
          <w:sz w:val="24"/>
          <w:szCs w:val="24"/>
        </w:rPr>
        <w:t>E. coli</w:t>
      </w:r>
      <w:r>
        <w:rPr>
          <w:rFonts w:cs="Tahoma"/>
          <w:sz w:val="24"/>
          <w:szCs w:val="24"/>
        </w:rPr>
        <w:t xml:space="preserve">  to the Lewis Creek </w:t>
      </w:r>
      <w:r w:rsidRPr="000A69CB">
        <w:rPr>
          <w:rFonts w:cs="Tahoma"/>
          <w:sz w:val="24"/>
          <w:szCs w:val="24"/>
        </w:rPr>
        <w:t>is occurring, related to: (</w:t>
      </w:r>
      <w:r>
        <w:rPr>
          <w:rFonts w:cs="Tahoma"/>
          <w:sz w:val="24"/>
          <w:szCs w:val="24"/>
        </w:rPr>
        <w:t>1</w:t>
      </w:r>
      <w:r w:rsidRPr="000A69CB">
        <w:rPr>
          <w:rFonts w:cs="Tahoma"/>
          <w:sz w:val="24"/>
          <w:szCs w:val="24"/>
        </w:rPr>
        <w:t>) fall-tilling, manure applications, and cropping practices in close proximity to unbuffered swales, road ditches and other locations of concentrated runoff to surface waters;  (</w:t>
      </w:r>
      <w:r>
        <w:rPr>
          <w:rFonts w:cs="Tahoma"/>
          <w:sz w:val="24"/>
          <w:szCs w:val="24"/>
        </w:rPr>
        <w:t>2</w:t>
      </w:r>
      <w:r w:rsidRPr="000A69CB">
        <w:rPr>
          <w:rFonts w:cs="Tahoma"/>
          <w:sz w:val="24"/>
          <w:szCs w:val="24"/>
        </w:rPr>
        <w:t xml:space="preserve">) occasional inundation of fields beyond minimum buffer widths required by </w:t>
      </w:r>
      <w:r w:rsidR="00803173">
        <w:rPr>
          <w:rFonts w:cs="Tahoma"/>
          <w:sz w:val="24"/>
          <w:szCs w:val="24"/>
        </w:rPr>
        <w:lastRenderedPageBreak/>
        <w:t>Required Agricultural Practices</w:t>
      </w:r>
      <w:r w:rsidRPr="000A69CB">
        <w:rPr>
          <w:rFonts w:cs="Tahoma"/>
          <w:sz w:val="24"/>
          <w:szCs w:val="24"/>
        </w:rPr>
        <w:t>; (</w:t>
      </w:r>
      <w:r>
        <w:rPr>
          <w:rFonts w:cs="Tahoma"/>
          <w:sz w:val="24"/>
          <w:szCs w:val="24"/>
        </w:rPr>
        <w:t>3</w:t>
      </w:r>
      <w:r w:rsidRPr="000A69CB">
        <w:rPr>
          <w:rFonts w:cs="Tahoma"/>
          <w:sz w:val="24"/>
          <w:szCs w:val="24"/>
        </w:rPr>
        <w:t xml:space="preserve">) maintenance of drainage ditches in agricultural fields; </w:t>
      </w:r>
      <w:r>
        <w:rPr>
          <w:rFonts w:cs="Tahoma"/>
          <w:sz w:val="24"/>
          <w:szCs w:val="24"/>
        </w:rPr>
        <w:t xml:space="preserve">(4) livestock pastured with direct access to surface waters; </w:t>
      </w:r>
      <w:r w:rsidRPr="000A69CB">
        <w:rPr>
          <w:rFonts w:cs="Tahoma"/>
          <w:sz w:val="24"/>
          <w:szCs w:val="24"/>
        </w:rPr>
        <w:t>and (</w:t>
      </w:r>
      <w:r>
        <w:rPr>
          <w:rFonts w:cs="Tahoma"/>
          <w:sz w:val="24"/>
          <w:szCs w:val="24"/>
        </w:rPr>
        <w:t>5</w:t>
      </w:r>
      <w:r w:rsidRPr="000A69CB">
        <w:rPr>
          <w:rFonts w:cs="Tahoma"/>
          <w:sz w:val="24"/>
          <w:szCs w:val="24"/>
        </w:rPr>
        <w:t xml:space="preserve">) </w:t>
      </w:r>
      <w:proofErr w:type="spellStart"/>
      <w:r w:rsidRPr="000A69CB">
        <w:rPr>
          <w:rFonts w:cs="Tahoma"/>
          <w:sz w:val="24"/>
          <w:szCs w:val="24"/>
        </w:rPr>
        <w:t>stormwater</w:t>
      </w:r>
      <w:proofErr w:type="spellEnd"/>
      <w:r w:rsidRPr="000A69CB">
        <w:rPr>
          <w:rFonts w:cs="Tahoma"/>
          <w:sz w:val="24"/>
          <w:szCs w:val="24"/>
        </w:rPr>
        <w:t xml:space="preserve"> and sediment runoff from </w:t>
      </w:r>
      <w:r>
        <w:rPr>
          <w:rFonts w:cs="Tahoma"/>
          <w:sz w:val="24"/>
          <w:szCs w:val="24"/>
        </w:rPr>
        <w:t xml:space="preserve">forested and developed lands and </w:t>
      </w:r>
      <w:r w:rsidRPr="000A69CB">
        <w:rPr>
          <w:rFonts w:cs="Tahoma"/>
          <w:sz w:val="24"/>
          <w:szCs w:val="24"/>
        </w:rPr>
        <w:t>road and driveway networks</w:t>
      </w:r>
      <w:r>
        <w:rPr>
          <w:rFonts w:cs="Tahoma"/>
          <w:sz w:val="24"/>
          <w:szCs w:val="24"/>
        </w:rPr>
        <w:t xml:space="preserve"> (SMRC, 2013; 2010).  </w:t>
      </w:r>
    </w:p>
    <w:p w:rsidR="001B6B0C" w:rsidRDefault="001B6B0C" w:rsidP="001B6B0C">
      <w:pPr>
        <w:spacing w:line="276" w:lineRule="auto"/>
        <w:rPr>
          <w:rFonts w:ascii="Calibri" w:hAnsi="Calibri" w:cs="Tahoma"/>
          <w:sz w:val="24"/>
          <w:szCs w:val="24"/>
        </w:rPr>
      </w:pPr>
      <w:r>
        <w:rPr>
          <w:rFonts w:ascii="Calibri" w:hAnsi="Calibri" w:cs="Tahoma"/>
          <w:sz w:val="24"/>
          <w:szCs w:val="24"/>
        </w:rPr>
        <w:t>Several riparian and floodplain conservation and restoration projects have been implemented along the main stem and major tributaries over the past twenty-five years, resulting in gradual expansion of vegetated riparian buffers, increased setbacks of crop fields and pasture areas, and enhanced floodplai</w:t>
      </w:r>
      <w:r w:rsidR="00563021">
        <w:rPr>
          <w:rFonts w:ascii="Calibri" w:hAnsi="Calibri" w:cs="Tahoma"/>
          <w:sz w:val="24"/>
          <w:szCs w:val="24"/>
        </w:rPr>
        <w:t xml:space="preserve">n connection (Table </w:t>
      </w:r>
      <w:r w:rsidR="0055613D">
        <w:rPr>
          <w:rFonts w:ascii="Calibri" w:hAnsi="Calibri" w:cs="Tahoma"/>
          <w:sz w:val="24"/>
          <w:szCs w:val="24"/>
        </w:rPr>
        <w:t>1</w:t>
      </w:r>
      <w:r w:rsidR="00563021">
        <w:rPr>
          <w:rFonts w:ascii="Calibri" w:hAnsi="Calibri" w:cs="Tahoma"/>
          <w:sz w:val="24"/>
          <w:szCs w:val="24"/>
        </w:rPr>
        <w:t>).</w:t>
      </w:r>
    </w:p>
    <w:p w:rsidR="00563021" w:rsidRPr="0055613D" w:rsidRDefault="00563021" w:rsidP="0055613D">
      <w:pPr>
        <w:spacing w:line="276" w:lineRule="auto"/>
        <w:rPr>
          <w:rFonts w:ascii="Calibri" w:hAnsi="Calibri" w:cs="Tahoma"/>
          <w:i/>
          <w:sz w:val="24"/>
          <w:szCs w:val="24"/>
        </w:rPr>
      </w:pPr>
      <w:proofErr w:type="gramStart"/>
      <w:r w:rsidRPr="0055613D">
        <w:rPr>
          <w:rFonts w:ascii="Calibri" w:hAnsi="Calibri" w:cs="Tahoma"/>
          <w:i/>
          <w:sz w:val="24"/>
          <w:szCs w:val="24"/>
        </w:rPr>
        <w:t xml:space="preserve">Table </w:t>
      </w:r>
      <w:r w:rsidR="0055613D" w:rsidRPr="0055613D">
        <w:rPr>
          <w:rFonts w:ascii="Calibri" w:hAnsi="Calibri" w:cs="Tahoma"/>
          <w:i/>
          <w:sz w:val="24"/>
          <w:szCs w:val="24"/>
        </w:rPr>
        <w:t>1</w:t>
      </w:r>
      <w:r w:rsidRPr="0055613D">
        <w:rPr>
          <w:rFonts w:ascii="Calibri" w:hAnsi="Calibri" w:cs="Tahoma"/>
          <w:i/>
          <w:sz w:val="24"/>
          <w:szCs w:val="24"/>
        </w:rPr>
        <w:t>.</w:t>
      </w:r>
      <w:proofErr w:type="gramEnd"/>
      <w:r w:rsidRPr="0055613D">
        <w:rPr>
          <w:rFonts w:ascii="Calibri" w:hAnsi="Calibri" w:cs="Tahoma"/>
          <w:i/>
          <w:sz w:val="24"/>
          <w:szCs w:val="24"/>
        </w:rPr>
        <w:t xml:space="preserve">  </w:t>
      </w:r>
      <w:proofErr w:type="gramStart"/>
      <w:r w:rsidRPr="0055613D">
        <w:rPr>
          <w:rFonts w:ascii="Calibri" w:hAnsi="Calibri" w:cs="Tahoma"/>
          <w:i/>
          <w:sz w:val="24"/>
          <w:szCs w:val="24"/>
        </w:rPr>
        <w:t xml:space="preserve">Notable river corridor conservation </w:t>
      </w:r>
      <w:r w:rsidR="0055613D" w:rsidRPr="0055613D">
        <w:rPr>
          <w:rFonts w:ascii="Calibri" w:hAnsi="Calibri" w:cs="Tahoma"/>
          <w:i/>
          <w:sz w:val="24"/>
          <w:szCs w:val="24"/>
        </w:rPr>
        <w:t>/</w:t>
      </w:r>
      <w:r w:rsidRPr="0055613D">
        <w:rPr>
          <w:rFonts w:ascii="Calibri" w:hAnsi="Calibri" w:cs="Tahoma"/>
          <w:i/>
          <w:sz w:val="24"/>
          <w:szCs w:val="24"/>
        </w:rPr>
        <w:t xml:space="preserve"> restoration projects, Lewis Creek watershed.</w:t>
      </w:r>
      <w:proofErr w:type="gramEnd"/>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5"/>
        <w:gridCol w:w="1038"/>
        <w:gridCol w:w="1575"/>
        <w:gridCol w:w="3059"/>
        <w:gridCol w:w="908"/>
        <w:gridCol w:w="1751"/>
      </w:tblGrid>
      <w:tr w:rsidR="007F2B88" w:rsidRPr="00122E1F" w:rsidTr="00563021">
        <w:trPr>
          <w:jc w:val="center"/>
        </w:trPr>
        <w:tc>
          <w:tcPr>
            <w:tcW w:w="753" w:type="dxa"/>
          </w:tcPr>
          <w:p w:rsidR="001B6B0C" w:rsidRPr="00122E1F" w:rsidRDefault="007F2B88" w:rsidP="0039536A">
            <w:pPr>
              <w:spacing w:line="276" w:lineRule="auto"/>
              <w:rPr>
                <w:rFonts w:ascii="Calibri" w:hAnsi="Calibri" w:cs="Tahoma"/>
                <w:szCs w:val="24"/>
              </w:rPr>
            </w:pPr>
            <w:r w:rsidRPr="00122E1F">
              <w:rPr>
                <w:rFonts w:ascii="Calibri" w:hAnsi="Calibri" w:cs="Tahoma"/>
                <w:szCs w:val="24"/>
              </w:rPr>
              <w:t xml:space="preserve">Sentinel </w:t>
            </w:r>
            <w:proofErr w:type="spellStart"/>
            <w:r w:rsidRPr="00122E1F">
              <w:rPr>
                <w:rFonts w:ascii="Calibri" w:hAnsi="Calibri" w:cs="Tahoma"/>
                <w:szCs w:val="24"/>
              </w:rPr>
              <w:t>Subshed</w:t>
            </w:r>
            <w:proofErr w:type="spellEnd"/>
          </w:p>
        </w:tc>
        <w:tc>
          <w:tcPr>
            <w:tcW w:w="1048" w:type="dxa"/>
          </w:tcPr>
          <w:p w:rsidR="001B6B0C" w:rsidRPr="00122E1F" w:rsidRDefault="007F2B88" w:rsidP="0039536A">
            <w:pPr>
              <w:spacing w:line="276" w:lineRule="auto"/>
              <w:rPr>
                <w:rFonts w:ascii="Calibri" w:hAnsi="Calibri" w:cs="Tahoma"/>
                <w:szCs w:val="24"/>
              </w:rPr>
            </w:pPr>
            <w:r w:rsidRPr="00122E1F">
              <w:rPr>
                <w:rFonts w:ascii="Calibri" w:hAnsi="Calibri" w:cs="Tahoma"/>
                <w:szCs w:val="24"/>
              </w:rPr>
              <w:t>Reach*</w:t>
            </w:r>
          </w:p>
        </w:tc>
        <w:tc>
          <w:tcPr>
            <w:tcW w:w="1603" w:type="dxa"/>
          </w:tcPr>
          <w:p w:rsidR="001B6B0C" w:rsidRPr="00122E1F" w:rsidRDefault="001B6B0C" w:rsidP="0039536A">
            <w:pPr>
              <w:spacing w:line="276" w:lineRule="auto"/>
              <w:rPr>
                <w:rFonts w:ascii="Calibri" w:hAnsi="Calibri" w:cs="Tahoma"/>
                <w:szCs w:val="24"/>
              </w:rPr>
            </w:pPr>
            <w:r w:rsidRPr="00122E1F">
              <w:rPr>
                <w:rFonts w:ascii="Calibri" w:hAnsi="Calibri" w:cs="Tahoma"/>
                <w:szCs w:val="24"/>
              </w:rPr>
              <w:t>ID</w:t>
            </w:r>
          </w:p>
        </w:tc>
        <w:tc>
          <w:tcPr>
            <w:tcW w:w="3159" w:type="dxa"/>
          </w:tcPr>
          <w:p w:rsidR="001B6B0C" w:rsidRPr="00122E1F" w:rsidRDefault="001B6B0C" w:rsidP="0039536A">
            <w:pPr>
              <w:spacing w:line="276" w:lineRule="auto"/>
              <w:rPr>
                <w:rFonts w:ascii="Calibri" w:hAnsi="Calibri" w:cs="Tahoma"/>
                <w:szCs w:val="24"/>
              </w:rPr>
            </w:pPr>
            <w:r w:rsidRPr="00122E1F">
              <w:rPr>
                <w:rFonts w:ascii="Calibri" w:hAnsi="Calibri" w:cs="Tahoma"/>
                <w:szCs w:val="24"/>
              </w:rPr>
              <w:t>Description</w:t>
            </w:r>
          </w:p>
        </w:tc>
        <w:tc>
          <w:tcPr>
            <w:tcW w:w="912" w:type="dxa"/>
          </w:tcPr>
          <w:p w:rsidR="001B6B0C" w:rsidRPr="00122E1F" w:rsidRDefault="001B6B0C" w:rsidP="0039536A">
            <w:pPr>
              <w:spacing w:line="276" w:lineRule="auto"/>
              <w:rPr>
                <w:rFonts w:ascii="Calibri" w:hAnsi="Calibri" w:cs="Tahoma"/>
                <w:szCs w:val="24"/>
              </w:rPr>
            </w:pPr>
            <w:r w:rsidRPr="00122E1F">
              <w:rPr>
                <w:rFonts w:ascii="Calibri" w:hAnsi="Calibri" w:cs="Tahoma"/>
                <w:szCs w:val="24"/>
              </w:rPr>
              <w:t>Year(s)</w:t>
            </w:r>
          </w:p>
        </w:tc>
        <w:tc>
          <w:tcPr>
            <w:tcW w:w="1800" w:type="dxa"/>
          </w:tcPr>
          <w:p w:rsidR="001B6B0C" w:rsidRPr="00122E1F" w:rsidRDefault="001B6B0C" w:rsidP="0039536A">
            <w:pPr>
              <w:spacing w:line="276" w:lineRule="auto"/>
              <w:rPr>
                <w:rFonts w:ascii="Calibri" w:hAnsi="Calibri" w:cs="Tahoma"/>
                <w:szCs w:val="24"/>
              </w:rPr>
            </w:pPr>
            <w:r w:rsidRPr="00122E1F">
              <w:rPr>
                <w:rFonts w:ascii="Calibri" w:hAnsi="Calibri" w:cs="Tahoma"/>
                <w:szCs w:val="24"/>
              </w:rPr>
              <w:t>Acres / Miles</w:t>
            </w:r>
          </w:p>
        </w:tc>
      </w:tr>
      <w:tr w:rsidR="007F2B88" w:rsidRPr="00122E1F" w:rsidTr="00563021">
        <w:trPr>
          <w:jc w:val="center"/>
        </w:trPr>
        <w:tc>
          <w:tcPr>
            <w:tcW w:w="753" w:type="dxa"/>
          </w:tcPr>
          <w:p w:rsidR="001B6B0C" w:rsidRPr="00122E1F" w:rsidRDefault="007F2B88" w:rsidP="0039536A">
            <w:pPr>
              <w:spacing w:line="276" w:lineRule="auto"/>
              <w:rPr>
                <w:rFonts w:ascii="Calibri" w:hAnsi="Calibri" w:cs="Tahoma"/>
                <w:szCs w:val="24"/>
              </w:rPr>
            </w:pPr>
            <w:r w:rsidRPr="00122E1F">
              <w:rPr>
                <w:rFonts w:ascii="Calibri" w:hAnsi="Calibri" w:cs="Tahoma"/>
                <w:szCs w:val="24"/>
              </w:rPr>
              <w:t>LCR14</w:t>
            </w:r>
          </w:p>
        </w:tc>
        <w:tc>
          <w:tcPr>
            <w:tcW w:w="1048" w:type="dxa"/>
          </w:tcPr>
          <w:p w:rsidR="001B6B0C" w:rsidRPr="0055613D" w:rsidRDefault="001B6B0C" w:rsidP="007F2B88">
            <w:pPr>
              <w:spacing w:line="276" w:lineRule="auto"/>
              <w:rPr>
                <w:rFonts w:ascii="Calibri" w:hAnsi="Calibri" w:cs="Tahoma"/>
                <w:sz w:val="20"/>
                <w:szCs w:val="24"/>
              </w:rPr>
            </w:pPr>
            <w:r w:rsidRPr="0055613D">
              <w:rPr>
                <w:rFonts w:ascii="Calibri" w:hAnsi="Calibri" w:cs="Tahoma"/>
                <w:sz w:val="20"/>
                <w:szCs w:val="24"/>
              </w:rPr>
              <w:t>M</w:t>
            </w:r>
            <w:r w:rsidR="007F2B88" w:rsidRPr="0055613D">
              <w:rPr>
                <w:rFonts w:ascii="Calibri" w:hAnsi="Calibri" w:cs="Tahoma"/>
                <w:sz w:val="20"/>
                <w:szCs w:val="24"/>
              </w:rPr>
              <w:t>22</w:t>
            </w:r>
          </w:p>
        </w:tc>
        <w:tc>
          <w:tcPr>
            <w:tcW w:w="1603" w:type="dxa"/>
          </w:tcPr>
          <w:p w:rsidR="001B6B0C" w:rsidRPr="0055613D" w:rsidRDefault="007F2B88" w:rsidP="0039536A">
            <w:pPr>
              <w:spacing w:line="276" w:lineRule="auto"/>
              <w:rPr>
                <w:rFonts w:ascii="Calibri" w:hAnsi="Calibri" w:cs="Tahoma"/>
                <w:sz w:val="20"/>
                <w:szCs w:val="24"/>
              </w:rPr>
            </w:pPr>
            <w:r w:rsidRPr="0055613D">
              <w:rPr>
                <w:rFonts w:ascii="Calibri" w:hAnsi="Calibri" w:cs="Tahoma"/>
                <w:sz w:val="20"/>
                <w:szCs w:val="24"/>
              </w:rPr>
              <w:t>Wagner</w:t>
            </w:r>
          </w:p>
        </w:tc>
        <w:tc>
          <w:tcPr>
            <w:tcW w:w="3159"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Buffer plantings, streambank stabilization</w:t>
            </w:r>
          </w:p>
        </w:tc>
        <w:tc>
          <w:tcPr>
            <w:tcW w:w="912" w:type="dxa"/>
          </w:tcPr>
          <w:p w:rsidR="001B6B0C" w:rsidRPr="0055613D" w:rsidRDefault="001B6B0C" w:rsidP="0039536A">
            <w:pPr>
              <w:spacing w:line="276" w:lineRule="auto"/>
              <w:rPr>
                <w:rFonts w:ascii="Calibri" w:hAnsi="Calibri" w:cs="Tahoma"/>
                <w:sz w:val="20"/>
                <w:szCs w:val="24"/>
              </w:rPr>
            </w:pPr>
          </w:p>
        </w:tc>
        <w:tc>
          <w:tcPr>
            <w:tcW w:w="1800" w:type="dxa"/>
          </w:tcPr>
          <w:p w:rsidR="001B6B0C" w:rsidRPr="0055613D" w:rsidRDefault="001B6B0C" w:rsidP="0039536A">
            <w:pPr>
              <w:spacing w:line="276" w:lineRule="auto"/>
              <w:rPr>
                <w:rFonts w:ascii="Calibri" w:hAnsi="Calibri" w:cs="Tahoma"/>
                <w:sz w:val="20"/>
                <w:szCs w:val="24"/>
              </w:rPr>
            </w:pPr>
          </w:p>
        </w:tc>
      </w:tr>
      <w:tr w:rsidR="007F2B88" w:rsidRPr="00122E1F" w:rsidTr="00563021">
        <w:trPr>
          <w:jc w:val="center"/>
        </w:trPr>
        <w:tc>
          <w:tcPr>
            <w:tcW w:w="753" w:type="dxa"/>
          </w:tcPr>
          <w:p w:rsidR="001B6B0C" w:rsidRPr="00122E1F" w:rsidRDefault="007F2B88" w:rsidP="0039536A">
            <w:pPr>
              <w:spacing w:line="276" w:lineRule="auto"/>
              <w:rPr>
                <w:rFonts w:ascii="Calibri" w:hAnsi="Calibri" w:cs="Tahoma"/>
                <w:szCs w:val="24"/>
              </w:rPr>
            </w:pPr>
            <w:r w:rsidRPr="00122E1F">
              <w:rPr>
                <w:rFonts w:ascii="Calibri" w:hAnsi="Calibri" w:cs="Tahoma"/>
                <w:szCs w:val="24"/>
              </w:rPr>
              <w:t>LCR14</w:t>
            </w:r>
          </w:p>
        </w:tc>
        <w:tc>
          <w:tcPr>
            <w:tcW w:w="1048" w:type="dxa"/>
          </w:tcPr>
          <w:p w:rsidR="001B6B0C" w:rsidRPr="0055613D" w:rsidRDefault="007F2B88" w:rsidP="0039536A">
            <w:pPr>
              <w:spacing w:line="276" w:lineRule="auto"/>
              <w:rPr>
                <w:rFonts w:ascii="Calibri" w:hAnsi="Calibri" w:cs="Tahoma"/>
                <w:sz w:val="20"/>
                <w:szCs w:val="24"/>
              </w:rPr>
            </w:pPr>
            <w:r w:rsidRPr="0055613D">
              <w:rPr>
                <w:rFonts w:ascii="Calibri" w:hAnsi="Calibri" w:cs="Tahoma"/>
                <w:sz w:val="20"/>
                <w:szCs w:val="24"/>
              </w:rPr>
              <w:t>M20</w:t>
            </w:r>
          </w:p>
        </w:tc>
        <w:tc>
          <w:tcPr>
            <w:tcW w:w="1603" w:type="dxa"/>
          </w:tcPr>
          <w:p w:rsidR="001B6B0C" w:rsidRPr="0055613D" w:rsidRDefault="001B6B0C" w:rsidP="0039536A">
            <w:pPr>
              <w:spacing w:line="276" w:lineRule="auto"/>
              <w:rPr>
                <w:rFonts w:ascii="Calibri" w:hAnsi="Calibri" w:cs="Tahoma"/>
                <w:sz w:val="20"/>
                <w:szCs w:val="24"/>
              </w:rPr>
            </w:pPr>
            <w:proofErr w:type="spellStart"/>
            <w:r w:rsidRPr="0055613D">
              <w:rPr>
                <w:rFonts w:ascii="Calibri" w:hAnsi="Calibri" w:cs="Tahoma"/>
                <w:sz w:val="20"/>
                <w:szCs w:val="24"/>
              </w:rPr>
              <w:t>Rublee</w:t>
            </w:r>
            <w:proofErr w:type="spellEnd"/>
            <w:r w:rsidRPr="0055613D">
              <w:rPr>
                <w:rFonts w:ascii="Calibri" w:hAnsi="Calibri" w:cs="Tahoma"/>
                <w:sz w:val="20"/>
                <w:szCs w:val="24"/>
              </w:rPr>
              <w:t xml:space="preserve"> Farm</w:t>
            </w:r>
          </w:p>
        </w:tc>
        <w:tc>
          <w:tcPr>
            <w:tcW w:w="3159"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Livestock exclusion, riparian buffer plantings</w:t>
            </w:r>
          </w:p>
        </w:tc>
        <w:tc>
          <w:tcPr>
            <w:tcW w:w="912"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1998</w:t>
            </w:r>
          </w:p>
        </w:tc>
        <w:tc>
          <w:tcPr>
            <w:tcW w:w="1800" w:type="dxa"/>
          </w:tcPr>
          <w:p w:rsidR="001B6B0C" w:rsidRPr="0055613D" w:rsidRDefault="001B6B0C" w:rsidP="0039536A">
            <w:pPr>
              <w:spacing w:line="276" w:lineRule="auto"/>
              <w:rPr>
                <w:rFonts w:ascii="Calibri" w:hAnsi="Calibri" w:cs="Tahoma"/>
                <w:sz w:val="20"/>
                <w:szCs w:val="24"/>
              </w:rPr>
            </w:pPr>
          </w:p>
        </w:tc>
      </w:tr>
      <w:tr w:rsidR="007F2B88" w:rsidRPr="00122E1F" w:rsidTr="00563021">
        <w:trPr>
          <w:jc w:val="center"/>
        </w:trPr>
        <w:tc>
          <w:tcPr>
            <w:tcW w:w="753" w:type="dxa"/>
          </w:tcPr>
          <w:p w:rsidR="001B6B0C" w:rsidRPr="00122E1F" w:rsidRDefault="007F2B88" w:rsidP="0039536A">
            <w:pPr>
              <w:spacing w:line="276" w:lineRule="auto"/>
              <w:rPr>
                <w:rFonts w:ascii="Calibri" w:hAnsi="Calibri" w:cs="Tahoma"/>
                <w:szCs w:val="24"/>
              </w:rPr>
            </w:pPr>
            <w:r w:rsidRPr="00122E1F">
              <w:rPr>
                <w:rFonts w:ascii="Calibri" w:hAnsi="Calibri" w:cs="Tahoma"/>
                <w:szCs w:val="24"/>
              </w:rPr>
              <w:t>LCR14</w:t>
            </w:r>
          </w:p>
        </w:tc>
        <w:tc>
          <w:tcPr>
            <w:tcW w:w="1048"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M19</w:t>
            </w:r>
          </w:p>
        </w:tc>
        <w:tc>
          <w:tcPr>
            <w:tcW w:w="1603" w:type="dxa"/>
          </w:tcPr>
          <w:p w:rsidR="001B6B0C" w:rsidRPr="0055613D" w:rsidRDefault="001B6B0C" w:rsidP="0039536A">
            <w:pPr>
              <w:spacing w:line="276" w:lineRule="auto"/>
              <w:rPr>
                <w:rFonts w:ascii="Calibri" w:hAnsi="Calibri" w:cs="Tahoma"/>
                <w:sz w:val="20"/>
                <w:szCs w:val="24"/>
              </w:rPr>
            </w:pPr>
            <w:proofErr w:type="spellStart"/>
            <w:r w:rsidRPr="0055613D">
              <w:rPr>
                <w:rFonts w:ascii="Calibri" w:hAnsi="Calibri" w:cs="Tahoma"/>
                <w:sz w:val="20"/>
                <w:szCs w:val="24"/>
              </w:rPr>
              <w:t>Starksboro</w:t>
            </w:r>
            <w:proofErr w:type="spellEnd"/>
            <w:r w:rsidRPr="0055613D">
              <w:rPr>
                <w:rFonts w:ascii="Calibri" w:hAnsi="Calibri" w:cs="Tahoma"/>
                <w:sz w:val="20"/>
                <w:szCs w:val="24"/>
              </w:rPr>
              <w:t xml:space="preserve"> Ball Fields, Cota lands</w:t>
            </w:r>
          </w:p>
        </w:tc>
        <w:tc>
          <w:tcPr>
            <w:tcW w:w="3159"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Conservation, lands out of agricultural production, riparian buffer plantings</w:t>
            </w:r>
          </w:p>
        </w:tc>
        <w:tc>
          <w:tcPr>
            <w:tcW w:w="912" w:type="dxa"/>
          </w:tcPr>
          <w:p w:rsidR="001B6B0C" w:rsidRPr="0055613D" w:rsidRDefault="001B6B0C" w:rsidP="0039536A">
            <w:pPr>
              <w:spacing w:line="276" w:lineRule="auto"/>
              <w:rPr>
                <w:rFonts w:ascii="Calibri" w:hAnsi="Calibri" w:cs="Tahoma"/>
                <w:sz w:val="20"/>
                <w:szCs w:val="24"/>
              </w:rPr>
            </w:pPr>
          </w:p>
        </w:tc>
        <w:tc>
          <w:tcPr>
            <w:tcW w:w="1800" w:type="dxa"/>
          </w:tcPr>
          <w:p w:rsidR="001B6B0C" w:rsidRPr="0055613D" w:rsidRDefault="001B6B0C" w:rsidP="0039536A">
            <w:pPr>
              <w:spacing w:line="276" w:lineRule="auto"/>
              <w:rPr>
                <w:rFonts w:ascii="Calibri" w:hAnsi="Calibri" w:cs="Tahoma"/>
                <w:sz w:val="20"/>
                <w:szCs w:val="24"/>
              </w:rPr>
            </w:pPr>
          </w:p>
        </w:tc>
      </w:tr>
      <w:tr w:rsidR="007F2B88" w:rsidRPr="00122E1F" w:rsidTr="00563021">
        <w:trPr>
          <w:jc w:val="center"/>
        </w:trPr>
        <w:tc>
          <w:tcPr>
            <w:tcW w:w="753" w:type="dxa"/>
          </w:tcPr>
          <w:p w:rsidR="001B6B0C" w:rsidRPr="00122E1F" w:rsidRDefault="007F2B88" w:rsidP="0039536A">
            <w:pPr>
              <w:spacing w:line="276" w:lineRule="auto"/>
              <w:rPr>
                <w:rFonts w:ascii="Calibri" w:hAnsi="Calibri" w:cs="Tahoma"/>
                <w:szCs w:val="24"/>
              </w:rPr>
            </w:pPr>
            <w:r w:rsidRPr="00122E1F">
              <w:rPr>
                <w:rFonts w:ascii="Calibri" w:hAnsi="Calibri" w:cs="Tahoma"/>
                <w:szCs w:val="24"/>
              </w:rPr>
              <w:t>LCR14</w:t>
            </w:r>
          </w:p>
        </w:tc>
        <w:tc>
          <w:tcPr>
            <w:tcW w:w="1048"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M17</w:t>
            </w:r>
          </w:p>
        </w:tc>
        <w:tc>
          <w:tcPr>
            <w:tcW w:w="1603"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Cota lands</w:t>
            </w:r>
          </w:p>
        </w:tc>
        <w:tc>
          <w:tcPr>
            <w:tcW w:w="3159"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Conservation, lands out of agricultural production</w:t>
            </w:r>
          </w:p>
        </w:tc>
        <w:tc>
          <w:tcPr>
            <w:tcW w:w="912" w:type="dxa"/>
          </w:tcPr>
          <w:p w:rsidR="001B6B0C" w:rsidRPr="0055613D" w:rsidRDefault="001B6B0C" w:rsidP="0039536A">
            <w:pPr>
              <w:spacing w:line="276" w:lineRule="auto"/>
              <w:rPr>
                <w:rFonts w:ascii="Calibri" w:hAnsi="Calibri" w:cs="Tahoma"/>
                <w:sz w:val="20"/>
                <w:szCs w:val="24"/>
              </w:rPr>
            </w:pPr>
          </w:p>
        </w:tc>
        <w:tc>
          <w:tcPr>
            <w:tcW w:w="1800" w:type="dxa"/>
          </w:tcPr>
          <w:p w:rsidR="001B6B0C" w:rsidRPr="0055613D" w:rsidRDefault="001B6B0C" w:rsidP="0039536A">
            <w:pPr>
              <w:spacing w:line="276" w:lineRule="auto"/>
              <w:rPr>
                <w:rFonts w:ascii="Calibri" w:hAnsi="Calibri" w:cs="Tahoma"/>
                <w:sz w:val="20"/>
                <w:szCs w:val="24"/>
              </w:rPr>
            </w:pPr>
          </w:p>
        </w:tc>
      </w:tr>
      <w:tr w:rsidR="007F2B88" w:rsidRPr="00122E1F" w:rsidTr="00563021">
        <w:trPr>
          <w:jc w:val="center"/>
        </w:trPr>
        <w:tc>
          <w:tcPr>
            <w:tcW w:w="753" w:type="dxa"/>
          </w:tcPr>
          <w:p w:rsidR="001B6B0C" w:rsidRPr="00122E1F" w:rsidRDefault="007F2B88" w:rsidP="0039536A">
            <w:pPr>
              <w:spacing w:line="276" w:lineRule="auto"/>
              <w:rPr>
                <w:rFonts w:ascii="Calibri" w:hAnsi="Calibri" w:cs="Tahoma"/>
                <w:szCs w:val="24"/>
              </w:rPr>
            </w:pPr>
            <w:r w:rsidRPr="00122E1F">
              <w:rPr>
                <w:rFonts w:ascii="Calibri" w:hAnsi="Calibri" w:cs="Tahoma"/>
                <w:szCs w:val="24"/>
              </w:rPr>
              <w:t>LCR14</w:t>
            </w:r>
          </w:p>
        </w:tc>
        <w:tc>
          <w:tcPr>
            <w:tcW w:w="1048"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M16</w:t>
            </w:r>
          </w:p>
        </w:tc>
        <w:tc>
          <w:tcPr>
            <w:tcW w:w="1603"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Clifford Farm</w:t>
            </w:r>
          </w:p>
        </w:tc>
        <w:tc>
          <w:tcPr>
            <w:tcW w:w="3159" w:type="dxa"/>
          </w:tcPr>
          <w:p w:rsidR="007F2B88" w:rsidRPr="0055613D" w:rsidRDefault="007F2B88" w:rsidP="0039536A">
            <w:pPr>
              <w:spacing w:line="276" w:lineRule="auto"/>
              <w:rPr>
                <w:rFonts w:ascii="Calibri" w:hAnsi="Calibri" w:cs="Tahoma"/>
                <w:sz w:val="20"/>
                <w:szCs w:val="24"/>
              </w:rPr>
            </w:pPr>
            <w:r w:rsidRPr="0055613D">
              <w:rPr>
                <w:rFonts w:ascii="Calibri" w:hAnsi="Calibri" w:cs="Tahoma"/>
                <w:sz w:val="20"/>
                <w:szCs w:val="24"/>
              </w:rPr>
              <w:t>Cedar revetments, waddles, tree planting</w:t>
            </w:r>
          </w:p>
          <w:p w:rsidR="007F2B88" w:rsidRPr="0055613D" w:rsidRDefault="007F2B88" w:rsidP="0039536A">
            <w:pPr>
              <w:spacing w:line="276" w:lineRule="auto"/>
              <w:rPr>
                <w:rFonts w:ascii="Calibri" w:hAnsi="Calibri" w:cs="Tahoma"/>
                <w:sz w:val="20"/>
                <w:szCs w:val="24"/>
              </w:rPr>
            </w:pPr>
          </w:p>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Livestock exclusion, stabilized crossing, increased setbacks for crop fields</w:t>
            </w:r>
          </w:p>
        </w:tc>
        <w:tc>
          <w:tcPr>
            <w:tcW w:w="912" w:type="dxa"/>
          </w:tcPr>
          <w:p w:rsidR="001B6B0C" w:rsidRPr="0055613D" w:rsidRDefault="007F2B88" w:rsidP="0039536A">
            <w:pPr>
              <w:spacing w:line="276" w:lineRule="auto"/>
              <w:rPr>
                <w:rFonts w:ascii="Calibri" w:hAnsi="Calibri" w:cs="Tahoma"/>
                <w:sz w:val="20"/>
                <w:szCs w:val="24"/>
              </w:rPr>
            </w:pPr>
            <w:r w:rsidRPr="0055613D">
              <w:rPr>
                <w:rFonts w:ascii="Calibri" w:hAnsi="Calibri" w:cs="Tahoma"/>
                <w:sz w:val="20"/>
                <w:szCs w:val="24"/>
              </w:rPr>
              <w:t>2001-2005</w:t>
            </w:r>
          </w:p>
          <w:p w:rsidR="007F2B88" w:rsidRPr="0055613D" w:rsidRDefault="007F2B88" w:rsidP="0039536A">
            <w:pPr>
              <w:spacing w:line="276" w:lineRule="auto"/>
              <w:rPr>
                <w:rFonts w:ascii="Calibri" w:hAnsi="Calibri" w:cs="Tahoma"/>
                <w:sz w:val="20"/>
                <w:szCs w:val="24"/>
              </w:rPr>
            </w:pPr>
          </w:p>
          <w:p w:rsidR="007F2B88" w:rsidRPr="0055613D" w:rsidRDefault="007F2B88" w:rsidP="0039536A">
            <w:pPr>
              <w:spacing w:line="276" w:lineRule="auto"/>
              <w:rPr>
                <w:rFonts w:ascii="Calibri" w:hAnsi="Calibri" w:cs="Tahoma"/>
                <w:sz w:val="20"/>
                <w:szCs w:val="24"/>
              </w:rPr>
            </w:pPr>
            <w:r w:rsidRPr="0055613D">
              <w:rPr>
                <w:rFonts w:ascii="Calibri" w:hAnsi="Calibri" w:cs="Tahoma"/>
                <w:sz w:val="20"/>
                <w:szCs w:val="24"/>
              </w:rPr>
              <w:t>2007</w:t>
            </w:r>
          </w:p>
        </w:tc>
        <w:tc>
          <w:tcPr>
            <w:tcW w:w="1800" w:type="dxa"/>
          </w:tcPr>
          <w:p w:rsidR="001B6B0C" w:rsidRPr="0055613D" w:rsidRDefault="001B6B0C" w:rsidP="0039536A">
            <w:pPr>
              <w:spacing w:line="276" w:lineRule="auto"/>
              <w:rPr>
                <w:rFonts w:ascii="Calibri" w:hAnsi="Calibri" w:cs="Tahoma"/>
                <w:sz w:val="20"/>
                <w:szCs w:val="24"/>
              </w:rPr>
            </w:pPr>
          </w:p>
          <w:p w:rsidR="007F2B88" w:rsidRPr="0055613D" w:rsidRDefault="007F2B88" w:rsidP="0039536A">
            <w:pPr>
              <w:spacing w:line="276" w:lineRule="auto"/>
              <w:rPr>
                <w:rFonts w:ascii="Calibri" w:hAnsi="Calibri" w:cs="Tahoma"/>
                <w:sz w:val="20"/>
                <w:szCs w:val="24"/>
              </w:rPr>
            </w:pPr>
          </w:p>
          <w:p w:rsidR="007F2B88" w:rsidRPr="0055613D" w:rsidRDefault="007F2B88" w:rsidP="0039536A">
            <w:pPr>
              <w:spacing w:line="276" w:lineRule="auto"/>
              <w:rPr>
                <w:rFonts w:ascii="Calibri" w:hAnsi="Calibri" w:cs="Tahoma"/>
                <w:sz w:val="20"/>
                <w:szCs w:val="24"/>
              </w:rPr>
            </w:pPr>
          </w:p>
          <w:p w:rsidR="007F2B88" w:rsidRPr="0055613D" w:rsidRDefault="007F2B88" w:rsidP="0039536A">
            <w:pPr>
              <w:spacing w:line="276" w:lineRule="auto"/>
              <w:rPr>
                <w:rFonts w:ascii="Calibri" w:hAnsi="Calibri" w:cs="Tahoma"/>
                <w:sz w:val="20"/>
                <w:szCs w:val="24"/>
              </w:rPr>
            </w:pPr>
            <w:r w:rsidRPr="0055613D">
              <w:rPr>
                <w:rFonts w:ascii="Calibri" w:hAnsi="Calibri" w:cs="Tahoma"/>
                <w:sz w:val="20"/>
                <w:szCs w:val="24"/>
              </w:rPr>
              <w:t xml:space="preserve">8.8 ac, 1000 </w:t>
            </w:r>
            <w:proofErr w:type="spellStart"/>
            <w:r w:rsidRPr="0055613D">
              <w:rPr>
                <w:rFonts w:ascii="Calibri" w:hAnsi="Calibri" w:cs="Tahoma"/>
                <w:sz w:val="20"/>
                <w:szCs w:val="24"/>
              </w:rPr>
              <w:t>ft</w:t>
            </w:r>
            <w:proofErr w:type="spellEnd"/>
            <w:r w:rsidRPr="0055613D">
              <w:rPr>
                <w:rFonts w:ascii="Calibri" w:hAnsi="Calibri" w:cs="Tahoma"/>
                <w:sz w:val="20"/>
                <w:szCs w:val="24"/>
              </w:rPr>
              <w:t xml:space="preserve"> channel, 35 – 100 </w:t>
            </w:r>
            <w:proofErr w:type="spellStart"/>
            <w:r w:rsidRPr="0055613D">
              <w:rPr>
                <w:rFonts w:ascii="Calibri" w:hAnsi="Calibri" w:cs="Tahoma"/>
                <w:sz w:val="20"/>
                <w:szCs w:val="24"/>
              </w:rPr>
              <w:t>ft</w:t>
            </w:r>
            <w:proofErr w:type="spellEnd"/>
            <w:r w:rsidRPr="0055613D">
              <w:rPr>
                <w:rFonts w:ascii="Calibri" w:hAnsi="Calibri" w:cs="Tahoma"/>
                <w:sz w:val="20"/>
                <w:szCs w:val="24"/>
              </w:rPr>
              <w:t xml:space="preserve"> width</w:t>
            </w:r>
          </w:p>
        </w:tc>
      </w:tr>
      <w:tr w:rsidR="007F2B88" w:rsidRPr="00122E1F" w:rsidTr="00563021">
        <w:trPr>
          <w:jc w:val="center"/>
        </w:trPr>
        <w:tc>
          <w:tcPr>
            <w:tcW w:w="753" w:type="dxa"/>
          </w:tcPr>
          <w:p w:rsidR="001B6B0C" w:rsidRPr="00122E1F" w:rsidRDefault="007F2B88" w:rsidP="0039536A">
            <w:pPr>
              <w:spacing w:line="276" w:lineRule="auto"/>
              <w:rPr>
                <w:rFonts w:ascii="Calibri" w:hAnsi="Calibri" w:cs="Tahoma"/>
                <w:szCs w:val="24"/>
              </w:rPr>
            </w:pPr>
            <w:r w:rsidRPr="00122E1F">
              <w:rPr>
                <w:rFonts w:ascii="Calibri" w:hAnsi="Calibri" w:cs="Tahoma"/>
                <w:szCs w:val="24"/>
              </w:rPr>
              <w:t>LCR14</w:t>
            </w:r>
          </w:p>
        </w:tc>
        <w:tc>
          <w:tcPr>
            <w:tcW w:w="1048" w:type="dxa"/>
          </w:tcPr>
          <w:p w:rsidR="001B6B0C" w:rsidRPr="0055613D" w:rsidRDefault="007F2B88" w:rsidP="0039536A">
            <w:pPr>
              <w:spacing w:line="276" w:lineRule="auto"/>
              <w:rPr>
                <w:rFonts w:ascii="Calibri" w:hAnsi="Calibri" w:cs="Tahoma"/>
                <w:sz w:val="20"/>
                <w:szCs w:val="24"/>
              </w:rPr>
            </w:pPr>
            <w:r w:rsidRPr="0055613D">
              <w:rPr>
                <w:rFonts w:ascii="Calibri" w:hAnsi="Calibri" w:cs="Tahoma"/>
                <w:sz w:val="20"/>
                <w:szCs w:val="24"/>
              </w:rPr>
              <w:t>M15-B</w:t>
            </w:r>
          </w:p>
        </w:tc>
        <w:tc>
          <w:tcPr>
            <w:tcW w:w="1603"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Cobble Creek Nursery</w:t>
            </w:r>
          </w:p>
        </w:tc>
        <w:tc>
          <w:tcPr>
            <w:tcW w:w="3159"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Gully stabilization</w:t>
            </w:r>
          </w:p>
        </w:tc>
        <w:tc>
          <w:tcPr>
            <w:tcW w:w="912" w:type="dxa"/>
          </w:tcPr>
          <w:p w:rsidR="001B6B0C" w:rsidRPr="0055613D" w:rsidRDefault="001B6B0C" w:rsidP="0039536A">
            <w:pPr>
              <w:spacing w:line="276" w:lineRule="auto"/>
              <w:rPr>
                <w:rFonts w:ascii="Calibri" w:hAnsi="Calibri" w:cs="Tahoma"/>
                <w:sz w:val="20"/>
                <w:szCs w:val="24"/>
              </w:rPr>
            </w:pPr>
          </w:p>
        </w:tc>
        <w:tc>
          <w:tcPr>
            <w:tcW w:w="1800" w:type="dxa"/>
          </w:tcPr>
          <w:p w:rsidR="001B6B0C" w:rsidRPr="0055613D" w:rsidRDefault="001B6B0C" w:rsidP="0039536A">
            <w:pPr>
              <w:spacing w:line="276" w:lineRule="auto"/>
              <w:rPr>
                <w:rFonts w:ascii="Calibri" w:hAnsi="Calibri" w:cs="Tahoma"/>
                <w:sz w:val="20"/>
                <w:szCs w:val="24"/>
              </w:rPr>
            </w:pPr>
          </w:p>
        </w:tc>
      </w:tr>
      <w:tr w:rsidR="007F2B88" w:rsidRPr="00122E1F" w:rsidTr="00563021">
        <w:trPr>
          <w:jc w:val="center"/>
        </w:trPr>
        <w:tc>
          <w:tcPr>
            <w:tcW w:w="753" w:type="dxa"/>
          </w:tcPr>
          <w:p w:rsidR="001B6B0C" w:rsidRPr="00122E1F" w:rsidRDefault="007F2B88" w:rsidP="0039536A">
            <w:pPr>
              <w:spacing w:line="276" w:lineRule="auto"/>
              <w:rPr>
                <w:rFonts w:ascii="Calibri" w:hAnsi="Calibri" w:cs="Tahoma"/>
                <w:szCs w:val="24"/>
              </w:rPr>
            </w:pPr>
            <w:r w:rsidRPr="00122E1F">
              <w:rPr>
                <w:rFonts w:ascii="Calibri" w:hAnsi="Calibri" w:cs="Tahoma"/>
                <w:szCs w:val="24"/>
              </w:rPr>
              <w:t>LCR3.7</w:t>
            </w:r>
          </w:p>
        </w:tc>
        <w:tc>
          <w:tcPr>
            <w:tcW w:w="1048" w:type="dxa"/>
          </w:tcPr>
          <w:p w:rsidR="001B6B0C" w:rsidRPr="0055613D" w:rsidRDefault="007F2B88" w:rsidP="0039536A">
            <w:pPr>
              <w:spacing w:line="276" w:lineRule="auto"/>
              <w:rPr>
                <w:rFonts w:ascii="Calibri" w:hAnsi="Calibri" w:cs="Tahoma"/>
                <w:sz w:val="20"/>
                <w:szCs w:val="24"/>
              </w:rPr>
            </w:pPr>
            <w:r w:rsidRPr="0055613D">
              <w:rPr>
                <w:rFonts w:ascii="Calibri" w:hAnsi="Calibri" w:cs="Tahoma"/>
                <w:sz w:val="20"/>
                <w:szCs w:val="24"/>
              </w:rPr>
              <w:t>M15-B</w:t>
            </w:r>
          </w:p>
        </w:tc>
        <w:tc>
          <w:tcPr>
            <w:tcW w:w="1603"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Mainer / VFW</w:t>
            </w:r>
          </w:p>
        </w:tc>
        <w:tc>
          <w:tcPr>
            <w:tcW w:w="3159"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Conservation</w:t>
            </w:r>
          </w:p>
        </w:tc>
        <w:tc>
          <w:tcPr>
            <w:tcW w:w="912" w:type="dxa"/>
          </w:tcPr>
          <w:p w:rsidR="001B6B0C" w:rsidRPr="0055613D" w:rsidRDefault="001B6B0C" w:rsidP="0039536A">
            <w:pPr>
              <w:spacing w:line="276" w:lineRule="auto"/>
              <w:rPr>
                <w:rFonts w:ascii="Calibri" w:hAnsi="Calibri" w:cs="Tahoma"/>
                <w:sz w:val="20"/>
                <w:szCs w:val="24"/>
              </w:rPr>
            </w:pPr>
          </w:p>
        </w:tc>
        <w:tc>
          <w:tcPr>
            <w:tcW w:w="1800" w:type="dxa"/>
          </w:tcPr>
          <w:p w:rsidR="001B6B0C" w:rsidRPr="0055613D" w:rsidRDefault="001B6B0C" w:rsidP="0039536A">
            <w:pPr>
              <w:spacing w:line="276" w:lineRule="auto"/>
              <w:rPr>
                <w:rFonts w:ascii="Calibri" w:hAnsi="Calibri" w:cs="Tahoma"/>
                <w:sz w:val="20"/>
                <w:szCs w:val="24"/>
              </w:rPr>
            </w:pPr>
          </w:p>
        </w:tc>
      </w:tr>
      <w:tr w:rsidR="007F2B88" w:rsidRPr="00122E1F" w:rsidTr="00563021">
        <w:trPr>
          <w:jc w:val="center"/>
        </w:trPr>
        <w:tc>
          <w:tcPr>
            <w:tcW w:w="753" w:type="dxa"/>
          </w:tcPr>
          <w:p w:rsidR="001B6B0C" w:rsidRPr="00122E1F" w:rsidRDefault="007F2B88" w:rsidP="0039536A">
            <w:pPr>
              <w:spacing w:line="276" w:lineRule="auto"/>
              <w:rPr>
                <w:rFonts w:ascii="Calibri" w:hAnsi="Calibri" w:cs="Tahoma"/>
                <w:szCs w:val="24"/>
              </w:rPr>
            </w:pPr>
            <w:r w:rsidRPr="00122E1F">
              <w:rPr>
                <w:rFonts w:ascii="Calibri" w:hAnsi="Calibri" w:cs="Tahoma"/>
                <w:szCs w:val="24"/>
              </w:rPr>
              <w:t>LCR3.7</w:t>
            </w:r>
          </w:p>
        </w:tc>
        <w:tc>
          <w:tcPr>
            <w:tcW w:w="1048" w:type="dxa"/>
          </w:tcPr>
          <w:p w:rsidR="001B6B0C" w:rsidRPr="0055613D" w:rsidRDefault="001B6B0C" w:rsidP="0039536A">
            <w:pPr>
              <w:spacing w:line="276" w:lineRule="auto"/>
              <w:rPr>
                <w:rFonts w:ascii="Calibri" w:hAnsi="Calibri" w:cs="Tahoma"/>
                <w:sz w:val="20"/>
                <w:szCs w:val="24"/>
              </w:rPr>
            </w:pPr>
            <w:proofErr w:type="spellStart"/>
            <w:r w:rsidRPr="0055613D">
              <w:rPr>
                <w:rFonts w:ascii="Calibri" w:hAnsi="Calibri" w:cs="Tahoma"/>
                <w:sz w:val="20"/>
                <w:szCs w:val="24"/>
              </w:rPr>
              <w:t>Mxx</w:t>
            </w:r>
            <w:proofErr w:type="spellEnd"/>
          </w:p>
        </w:tc>
        <w:tc>
          <w:tcPr>
            <w:tcW w:w="1603"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VFW</w:t>
            </w:r>
          </w:p>
        </w:tc>
        <w:tc>
          <w:tcPr>
            <w:tcW w:w="3159"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Conservation, Silver St</w:t>
            </w:r>
          </w:p>
        </w:tc>
        <w:tc>
          <w:tcPr>
            <w:tcW w:w="912" w:type="dxa"/>
          </w:tcPr>
          <w:p w:rsidR="001B6B0C" w:rsidRPr="0055613D" w:rsidRDefault="001B6B0C" w:rsidP="0039536A">
            <w:pPr>
              <w:spacing w:line="276" w:lineRule="auto"/>
              <w:rPr>
                <w:rFonts w:ascii="Calibri" w:hAnsi="Calibri" w:cs="Tahoma"/>
                <w:sz w:val="20"/>
                <w:szCs w:val="24"/>
              </w:rPr>
            </w:pPr>
          </w:p>
        </w:tc>
        <w:tc>
          <w:tcPr>
            <w:tcW w:w="1800" w:type="dxa"/>
          </w:tcPr>
          <w:p w:rsidR="001B6B0C" w:rsidRPr="0055613D" w:rsidRDefault="001B6B0C" w:rsidP="0039536A">
            <w:pPr>
              <w:spacing w:line="276" w:lineRule="auto"/>
              <w:rPr>
                <w:rFonts w:ascii="Calibri" w:hAnsi="Calibri" w:cs="Tahoma"/>
                <w:sz w:val="20"/>
                <w:szCs w:val="24"/>
              </w:rPr>
            </w:pPr>
          </w:p>
        </w:tc>
      </w:tr>
      <w:tr w:rsidR="007F2B88" w:rsidRPr="00122E1F" w:rsidTr="00563021">
        <w:trPr>
          <w:jc w:val="center"/>
        </w:trPr>
        <w:tc>
          <w:tcPr>
            <w:tcW w:w="753" w:type="dxa"/>
          </w:tcPr>
          <w:p w:rsidR="001B6B0C" w:rsidRPr="00122E1F" w:rsidRDefault="007F2B88" w:rsidP="0039536A">
            <w:pPr>
              <w:spacing w:line="276" w:lineRule="auto"/>
              <w:rPr>
                <w:rFonts w:ascii="Calibri" w:hAnsi="Calibri" w:cs="Tahoma"/>
                <w:szCs w:val="24"/>
              </w:rPr>
            </w:pPr>
            <w:r w:rsidRPr="00122E1F">
              <w:rPr>
                <w:rFonts w:ascii="Calibri" w:hAnsi="Calibri" w:cs="Tahoma"/>
                <w:szCs w:val="24"/>
              </w:rPr>
              <w:t>LCR3.7</w:t>
            </w:r>
          </w:p>
        </w:tc>
        <w:tc>
          <w:tcPr>
            <w:tcW w:w="1048" w:type="dxa"/>
          </w:tcPr>
          <w:p w:rsidR="001B6B0C" w:rsidRPr="0055613D" w:rsidRDefault="001B6B0C" w:rsidP="0039536A">
            <w:pPr>
              <w:spacing w:line="276" w:lineRule="auto"/>
              <w:rPr>
                <w:rFonts w:ascii="Calibri" w:hAnsi="Calibri" w:cs="Tahoma"/>
                <w:sz w:val="20"/>
                <w:szCs w:val="24"/>
              </w:rPr>
            </w:pPr>
            <w:proofErr w:type="spellStart"/>
            <w:r w:rsidRPr="0055613D">
              <w:rPr>
                <w:rFonts w:ascii="Calibri" w:hAnsi="Calibri" w:cs="Tahoma"/>
                <w:sz w:val="20"/>
                <w:szCs w:val="24"/>
              </w:rPr>
              <w:t>Mxx</w:t>
            </w:r>
            <w:proofErr w:type="spellEnd"/>
          </w:p>
        </w:tc>
        <w:tc>
          <w:tcPr>
            <w:tcW w:w="1603"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Baldwin Farm</w:t>
            </w:r>
          </w:p>
        </w:tc>
        <w:tc>
          <w:tcPr>
            <w:tcW w:w="3159"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Conservation, riparian buffer plantings</w:t>
            </w:r>
          </w:p>
        </w:tc>
        <w:tc>
          <w:tcPr>
            <w:tcW w:w="912" w:type="dxa"/>
          </w:tcPr>
          <w:p w:rsidR="001B6B0C" w:rsidRPr="0055613D" w:rsidRDefault="001B6B0C" w:rsidP="0039536A">
            <w:pPr>
              <w:spacing w:line="276" w:lineRule="auto"/>
              <w:rPr>
                <w:rFonts w:ascii="Calibri" w:hAnsi="Calibri" w:cs="Tahoma"/>
                <w:sz w:val="20"/>
                <w:szCs w:val="24"/>
              </w:rPr>
            </w:pPr>
          </w:p>
        </w:tc>
        <w:tc>
          <w:tcPr>
            <w:tcW w:w="1800" w:type="dxa"/>
          </w:tcPr>
          <w:p w:rsidR="001B6B0C" w:rsidRPr="0055613D" w:rsidRDefault="001B6B0C" w:rsidP="0039536A">
            <w:pPr>
              <w:spacing w:line="276" w:lineRule="auto"/>
              <w:rPr>
                <w:rFonts w:ascii="Calibri" w:hAnsi="Calibri" w:cs="Tahoma"/>
                <w:sz w:val="20"/>
                <w:szCs w:val="24"/>
              </w:rPr>
            </w:pPr>
          </w:p>
        </w:tc>
      </w:tr>
      <w:tr w:rsidR="007F2B88" w:rsidRPr="00122E1F" w:rsidTr="00563021">
        <w:trPr>
          <w:jc w:val="center"/>
        </w:trPr>
        <w:tc>
          <w:tcPr>
            <w:tcW w:w="753" w:type="dxa"/>
          </w:tcPr>
          <w:p w:rsidR="001B6B0C" w:rsidRPr="00122E1F" w:rsidRDefault="007F2B88" w:rsidP="0039536A">
            <w:pPr>
              <w:spacing w:line="276" w:lineRule="auto"/>
              <w:rPr>
                <w:rFonts w:ascii="Calibri" w:hAnsi="Calibri" w:cs="Tahoma"/>
                <w:szCs w:val="24"/>
              </w:rPr>
            </w:pPr>
            <w:r w:rsidRPr="00122E1F">
              <w:rPr>
                <w:rFonts w:ascii="Calibri" w:hAnsi="Calibri" w:cs="Tahoma"/>
                <w:szCs w:val="24"/>
              </w:rPr>
              <w:t>LCR3.7</w:t>
            </w:r>
          </w:p>
        </w:tc>
        <w:tc>
          <w:tcPr>
            <w:tcW w:w="1048"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M06</w:t>
            </w:r>
          </w:p>
        </w:tc>
        <w:tc>
          <w:tcPr>
            <w:tcW w:w="1603" w:type="dxa"/>
          </w:tcPr>
          <w:p w:rsidR="001B6B0C" w:rsidRPr="0055613D" w:rsidRDefault="001B6B0C" w:rsidP="0039536A">
            <w:pPr>
              <w:spacing w:line="276" w:lineRule="auto"/>
              <w:rPr>
                <w:rFonts w:ascii="Calibri" w:hAnsi="Calibri" w:cs="Tahoma"/>
                <w:sz w:val="20"/>
                <w:szCs w:val="24"/>
              </w:rPr>
            </w:pPr>
          </w:p>
        </w:tc>
        <w:tc>
          <w:tcPr>
            <w:tcW w:w="3159" w:type="dxa"/>
          </w:tcPr>
          <w:p w:rsidR="001B6B0C" w:rsidRPr="0055613D" w:rsidRDefault="007F2B88" w:rsidP="007F2B88">
            <w:pPr>
              <w:spacing w:line="276" w:lineRule="auto"/>
              <w:rPr>
                <w:rFonts w:ascii="Calibri" w:hAnsi="Calibri" w:cs="Tahoma"/>
                <w:sz w:val="20"/>
                <w:szCs w:val="24"/>
              </w:rPr>
            </w:pPr>
            <w:r w:rsidRPr="0055613D">
              <w:rPr>
                <w:rFonts w:ascii="Calibri" w:hAnsi="Calibri" w:cs="Tahoma"/>
                <w:sz w:val="20"/>
                <w:szCs w:val="24"/>
              </w:rPr>
              <w:t>Conservation (VRC)</w:t>
            </w:r>
          </w:p>
        </w:tc>
        <w:tc>
          <w:tcPr>
            <w:tcW w:w="912" w:type="dxa"/>
          </w:tcPr>
          <w:p w:rsidR="001B6B0C" w:rsidRPr="0055613D" w:rsidRDefault="001B6B0C" w:rsidP="0039536A">
            <w:pPr>
              <w:spacing w:line="276" w:lineRule="auto"/>
              <w:rPr>
                <w:rFonts w:ascii="Calibri" w:hAnsi="Calibri" w:cs="Tahoma"/>
                <w:sz w:val="20"/>
                <w:szCs w:val="24"/>
              </w:rPr>
            </w:pPr>
          </w:p>
        </w:tc>
        <w:tc>
          <w:tcPr>
            <w:tcW w:w="1800" w:type="dxa"/>
          </w:tcPr>
          <w:p w:rsidR="001B6B0C" w:rsidRPr="0055613D" w:rsidRDefault="001B6B0C" w:rsidP="0039536A">
            <w:pPr>
              <w:spacing w:line="276" w:lineRule="auto"/>
              <w:rPr>
                <w:rFonts w:ascii="Calibri" w:hAnsi="Calibri" w:cs="Tahoma"/>
                <w:sz w:val="20"/>
                <w:szCs w:val="24"/>
              </w:rPr>
            </w:pPr>
          </w:p>
        </w:tc>
      </w:tr>
      <w:tr w:rsidR="007F2B88" w:rsidRPr="00122E1F" w:rsidTr="00563021">
        <w:trPr>
          <w:jc w:val="center"/>
        </w:trPr>
        <w:tc>
          <w:tcPr>
            <w:tcW w:w="753" w:type="dxa"/>
          </w:tcPr>
          <w:p w:rsidR="001B6B0C" w:rsidRPr="00122E1F" w:rsidRDefault="007F2B88" w:rsidP="0039536A">
            <w:pPr>
              <w:spacing w:line="276" w:lineRule="auto"/>
              <w:rPr>
                <w:rFonts w:ascii="Calibri" w:hAnsi="Calibri" w:cs="Tahoma"/>
                <w:szCs w:val="24"/>
              </w:rPr>
            </w:pPr>
            <w:r w:rsidRPr="00122E1F">
              <w:rPr>
                <w:rFonts w:ascii="Calibri" w:hAnsi="Calibri" w:cs="Tahoma"/>
                <w:szCs w:val="24"/>
              </w:rPr>
              <w:t>LCR3.7</w:t>
            </w:r>
          </w:p>
        </w:tc>
        <w:tc>
          <w:tcPr>
            <w:tcW w:w="1048"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T3.xx</w:t>
            </w:r>
          </w:p>
        </w:tc>
        <w:tc>
          <w:tcPr>
            <w:tcW w:w="1603"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Last Resort Farm</w:t>
            </w:r>
          </w:p>
        </w:tc>
        <w:tc>
          <w:tcPr>
            <w:tcW w:w="3159"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Gully stabilization</w:t>
            </w:r>
          </w:p>
        </w:tc>
        <w:tc>
          <w:tcPr>
            <w:tcW w:w="912" w:type="dxa"/>
          </w:tcPr>
          <w:p w:rsidR="001B6B0C" w:rsidRPr="0055613D" w:rsidRDefault="001B6B0C" w:rsidP="0039536A">
            <w:pPr>
              <w:spacing w:line="276" w:lineRule="auto"/>
              <w:rPr>
                <w:rFonts w:ascii="Calibri" w:hAnsi="Calibri" w:cs="Tahoma"/>
                <w:sz w:val="20"/>
                <w:szCs w:val="24"/>
              </w:rPr>
            </w:pPr>
          </w:p>
        </w:tc>
        <w:tc>
          <w:tcPr>
            <w:tcW w:w="1800" w:type="dxa"/>
          </w:tcPr>
          <w:p w:rsidR="001B6B0C" w:rsidRPr="0055613D" w:rsidRDefault="001B6B0C" w:rsidP="0039536A">
            <w:pPr>
              <w:spacing w:line="276" w:lineRule="auto"/>
              <w:rPr>
                <w:rFonts w:ascii="Calibri" w:hAnsi="Calibri" w:cs="Tahoma"/>
                <w:sz w:val="20"/>
                <w:szCs w:val="24"/>
              </w:rPr>
            </w:pPr>
          </w:p>
        </w:tc>
      </w:tr>
      <w:tr w:rsidR="007F2B88" w:rsidRPr="00122E1F" w:rsidTr="00563021">
        <w:trPr>
          <w:jc w:val="center"/>
        </w:trPr>
        <w:tc>
          <w:tcPr>
            <w:tcW w:w="753" w:type="dxa"/>
          </w:tcPr>
          <w:p w:rsidR="001B6B0C" w:rsidRPr="00122E1F" w:rsidRDefault="007F2B88" w:rsidP="0039536A">
            <w:pPr>
              <w:spacing w:line="276" w:lineRule="auto"/>
              <w:rPr>
                <w:rFonts w:ascii="Calibri" w:hAnsi="Calibri" w:cs="Tahoma"/>
                <w:szCs w:val="24"/>
              </w:rPr>
            </w:pPr>
            <w:r w:rsidRPr="00122E1F">
              <w:rPr>
                <w:rFonts w:ascii="Calibri" w:hAnsi="Calibri" w:cs="Tahoma"/>
                <w:szCs w:val="24"/>
              </w:rPr>
              <w:t>LCR3.7</w:t>
            </w:r>
          </w:p>
        </w:tc>
        <w:tc>
          <w:tcPr>
            <w:tcW w:w="1048"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T3.01</w:t>
            </w:r>
          </w:p>
        </w:tc>
        <w:tc>
          <w:tcPr>
            <w:tcW w:w="1603"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Russell Farm</w:t>
            </w:r>
          </w:p>
        </w:tc>
        <w:tc>
          <w:tcPr>
            <w:tcW w:w="3159" w:type="dxa"/>
          </w:tcPr>
          <w:p w:rsidR="001B6B0C" w:rsidRPr="0055613D" w:rsidRDefault="001B6B0C" w:rsidP="0039536A">
            <w:pPr>
              <w:spacing w:line="276" w:lineRule="auto"/>
              <w:rPr>
                <w:rFonts w:ascii="Calibri" w:hAnsi="Calibri" w:cs="Tahoma"/>
                <w:sz w:val="20"/>
                <w:szCs w:val="24"/>
              </w:rPr>
            </w:pPr>
            <w:r w:rsidRPr="0055613D">
              <w:rPr>
                <w:rFonts w:ascii="Calibri" w:hAnsi="Calibri" w:cs="Tahoma"/>
                <w:sz w:val="20"/>
                <w:szCs w:val="24"/>
              </w:rPr>
              <w:t>Conservation, riparian buffer plantings, conversion from conventional dairy to grass-fed beef</w:t>
            </w:r>
          </w:p>
        </w:tc>
        <w:tc>
          <w:tcPr>
            <w:tcW w:w="912" w:type="dxa"/>
          </w:tcPr>
          <w:p w:rsidR="001B6B0C" w:rsidRPr="0055613D" w:rsidRDefault="001B6B0C" w:rsidP="0039536A">
            <w:pPr>
              <w:spacing w:line="276" w:lineRule="auto"/>
              <w:rPr>
                <w:rFonts w:ascii="Calibri" w:hAnsi="Calibri" w:cs="Tahoma"/>
                <w:sz w:val="20"/>
                <w:szCs w:val="24"/>
              </w:rPr>
            </w:pPr>
          </w:p>
        </w:tc>
        <w:tc>
          <w:tcPr>
            <w:tcW w:w="1800" w:type="dxa"/>
          </w:tcPr>
          <w:p w:rsidR="001B6B0C" w:rsidRPr="0055613D" w:rsidRDefault="001B6B0C" w:rsidP="0039536A">
            <w:pPr>
              <w:spacing w:line="276" w:lineRule="auto"/>
              <w:rPr>
                <w:rFonts w:ascii="Calibri" w:hAnsi="Calibri" w:cs="Tahoma"/>
                <w:sz w:val="20"/>
                <w:szCs w:val="24"/>
              </w:rPr>
            </w:pPr>
          </w:p>
        </w:tc>
      </w:tr>
    </w:tbl>
    <w:p w:rsidR="001B6B0C" w:rsidRPr="00BF562A" w:rsidRDefault="007F2B88" w:rsidP="001B6B0C">
      <w:pPr>
        <w:spacing w:after="0" w:line="240" w:lineRule="auto"/>
        <w:rPr>
          <w:rFonts w:ascii="Calibri" w:hAnsi="Calibri" w:cs="Tahoma"/>
          <w:szCs w:val="24"/>
        </w:rPr>
      </w:pPr>
      <w:r>
        <w:rPr>
          <w:rFonts w:ascii="Calibri" w:hAnsi="Calibri" w:cs="Tahoma"/>
          <w:szCs w:val="24"/>
        </w:rPr>
        <w:t xml:space="preserve"> *</w:t>
      </w:r>
      <w:r w:rsidR="001B6B0C" w:rsidRPr="00BF562A">
        <w:rPr>
          <w:rFonts w:ascii="Calibri" w:hAnsi="Calibri" w:cs="Tahoma"/>
          <w:szCs w:val="24"/>
        </w:rPr>
        <w:t>Reach numbers assigned through stream geomorphic assessment, viewable on the VT Natural Resource Atlas via http://anrmaps.vermont.gov/websites/anra/</w:t>
      </w:r>
    </w:p>
    <w:p w:rsidR="004451CB" w:rsidRDefault="00EF12F8" w:rsidP="00EF12F8">
      <w:pPr>
        <w:pStyle w:val="Heading1"/>
      </w:pPr>
      <w:bookmarkStart w:id="11" w:name="_Toc497244918"/>
      <w:r>
        <w:lastRenderedPageBreak/>
        <w:t>3.0</w:t>
      </w:r>
      <w:r>
        <w:tab/>
      </w:r>
      <w:r w:rsidR="004451CB">
        <w:t>Methods</w:t>
      </w:r>
      <w:bookmarkEnd w:id="11"/>
    </w:p>
    <w:p w:rsidR="004451CB" w:rsidRPr="008E264D" w:rsidRDefault="008E264D" w:rsidP="008E264D">
      <w:pPr>
        <w:spacing w:line="276" w:lineRule="auto"/>
        <w:rPr>
          <w:sz w:val="24"/>
        </w:rPr>
      </w:pPr>
      <w:r w:rsidRPr="008E264D">
        <w:rPr>
          <w:sz w:val="24"/>
        </w:rPr>
        <w:t xml:space="preserve">Progressive implementation of restoration and conservation projects over </w:t>
      </w:r>
      <w:r w:rsidR="001B6B0C">
        <w:rPr>
          <w:sz w:val="24"/>
        </w:rPr>
        <w:t>time</w:t>
      </w:r>
      <w:r w:rsidRPr="008E264D">
        <w:rPr>
          <w:sz w:val="24"/>
        </w:rPr>
        <w:t xml:space="preserve"> is expected to result in gradual improvements in water </w:t>
      </w:r>
      <w:r w:rsidRPr="00A059D3">
        <w:rPr>
          <w:sz w:val="24"/>
          <w:szCs w:val="24"/>
        </w:rPr>
        <w:t xml:space="preserve">quality.  </w:t>
      </w:r>
      <w:r w:rsidR="006C75F2" w:rsidRPr="00A059D3">
        <w:rPr>
          <w:rFonts w:ascii="Calibri" w:hAnsi="Calibri"/>
          <w:sz w:val="24"/>
          <w:szCs w:val="24"/>
        </w:rPr>
        <w:t xml:space="preserve">Statistical analyses were performed to examine for possible temporal trends.  </w:t>
      </w:r>
      <w:r w:rsidR="004451CB" w:rsidRPr="00A059D3">
        <w:rPr>
          <w:sz w:val="24"/>
          <w:szCs w:val="24"/>
        </w:rPr>
        <w:t>Available water quality</w:t>
      </w:r>
      <w:r w:rsidR="004451CB" w:rsidRPr="008E264D">
        <w:rPr>
          <w:sz w:val="24"/>
        </w:rPr>
        <w:t xml:space="preserve"> data for each sentinel station were examined for </w:t>
      </w:r>
      <w:r w:rsidR="003419D0" w:rsidRPr="008E264D">
        <w:rPr>
          <w:sz w:val="24"/>
        </w:rPr>
        <w:t>monotonic</w:t>
      </w:r>
      <w:r w:rsidR="004451CB" w:rsidRPr="008E264D">
        <w:rPr>
          <w:sz w:val="24"/>
        </w:rPr>
        <w:t xml:space="preserve"> trends, by regressing concentration data on time, </w:t>
      </w:r>
      <w:r w:rsidR="00A059D3">
        <w:rPr>
          <w:sz w:val="24"/>
        </w:rPr>
        <w:t xml:space="preserve">while </w:t>
      </w:r>
      <w:r w:rsidR="004451CB" w:rsidRPr="008E264D">
        <w:rPr>
          <w:sz w:val="24"/>
        </w:rPr>
        <w:t xml:space="preserve">adjusting for variable flow conditions on the sample dates.   Of the historic parameters tested at these two sentinel stations, </w:t>
      </w:r>
      <w:r w:rsidR="004451CB" w:rsidRPr="001B6B0C">
        <w:rPr>
          <w:i/>
          <w:sz w:val="24"/>
        </w:rPr>
        <w:t>E. coli</w:t>
      </w:r>
      <w:r w:rsidR="004451CB" w:rsidRPr="008E264D">
        <w:rPr>
          <w:sz w:val="24"/>
        </w:rPr>
        <w:t xml:space="preserve">, </w:t>
      </w:r>
      <w:proofErr w:type="gramStart"/>
      <w:r w:rsidR="00A059D3">
        <w:rPr>
          <w:sz w:val="24"/>
        </w:rPr>
        <w:t xml:space="preserve">TP </w:t>
      </w:r>
      <w:r w:rsidR="004451CB" w:rsidRPr="008E264D">
        <w:rPr>
          <w:sz w:val="24"/>
        </w:rPr>
        <w:t xml:space="preserve"> and</w:t>
      </w:r>
      <w:proofErr w:type="gramEnd"/>
      <w:r w:rsidR="004451CB" w:rsidRPr="008E264D">
        <w:rPr>
          <w:sz w:val="24"/>
        </w:rPr>
        <w:t xml:space="preserve"> Turbidity had sufficient length of record to a</w:t>
      </w:r>
      <w:r w:rsidR="003419D0" w:rsidRPr="008E264D">
        <w:rPr>
          <w:sz w:val="24"/>
        </w:rPr>
        <w:t>nalyze for monotonic trend</w:t>
      </w:r>
      <w:r w:rsidR="006C75F2">
        <w:rPr>
          <w:sz w:val="24"/>
        </w:rPr>
        <w:t>s</w:t>
      </w:r>
      <w:r w:rsidR="001B6B0C">
        <w:rPr>
          <w:sz w:val="24"/>
        </w:rPr>
        <w:t xml:space="preserve"> (at least 5 years - Hirsh, 1998; </w:t>
      </w:r>
      <w:proofErr w:type="spellStart"/>
      <w:r w:rsidR="001B6B0C">
        <w:rPr>
          <w:sz w:val="24"/>
        </w:rPr>
        <w:t>Helsel</w:t>
      </w:r>
      <w:proofErr w:type="spellEnd"/>
      <w:r w:rsidR="001B6B0C">
        <w:rPr>
          <w:sz w:val="24"/>
        </w:rPr>
        <w:t xml:space="preserve"> &amp; Hirsch, 2002)</w:t>
      </w:r>
      <w:r w:rsidR="003419D0" w:rsidRPr="008E264D">
        <w:rPr>
          <w:sz w:val="24"/>
        </w:rPr>
        <w:t>.    As detailed below, certain e</w:t>
      </w:r>
      <w:r w:rsidR="004451CB" w:rsidRPr="008E264D">
        <w:rPr>
          <w:sz w:val="24"/>
        </w:rPr>
        <w:t xml:space="preserve">xploratory data steps were </w:t>
      </w:r>
      <w:r w:rsidR="003419D0" w:rsidRPr="008E264D">
        <w:rPr>
          <w:sz w:val="24"/>
        </w:rPr>
        <w:t>completed</w:t>
      </w:r>
      <w:r w:rsidR="004451CB" w:rsidRPr="008E264D">
        <w:rPr>
          <w:sz w:val="24"/>
        </w:rPr>
        <w:t xml:space="preserve"> prior to trend analysis, including examining data f</w:t>
      </w:r>
      <w:r w:rsidR="003419D0" w:rsidRPr="008E264D">
        <w:rPr>
          <w:sz w:val="24"/>
        </w:rPr>
        <w:t>or outliers or large data gaps and transforming data</w:t>
      </w:r>
      <w:r w:rsidR="004451CB" w:rsidRPr="008E264D">
        <w:rPr>
          <w:sz w:val="24"/>
        </w:rPr>
        <w:t xml:space="preserve"> to fulfill assumptions for </w:t>
      </w:r>
      <w:r w:rsidR="002140D8">
        <w:rPr>
          <w:sz w:val="24"/>
        </w:rPr>
        <w:t>equal variances of residuals about the trend line</w:t>
      </w:r>
      <w:r w:rsidR="003419D0" w:rsidRPr="008E264D">
        <w:rPr>
          <w:sz w:val="24"/>
        </w:rPr>
        <w:t>.</w:t>
      </w:r>
    </w:p>
    <w:p w:rsidR="002B455F" w:rsidRDefault="00AA4F30" w:rsidP="00AA4F30">
      <w:pPr>
        <w:pStyle w:val="Heading2"/>
      </w:pPr>
      <w:bookmarkStart w:id="12" w:name="_Toc497244919"/>
      <w:r>
        <w:t>3.1</w:t>
      </w:r>
      <w:r>
        <w:tab/>
      </w:r>
      <w:r w:rsidR="004451CB">
        <w:t>Assign Flow Condition to Sample Dates</w:t>
      </w:r>
      <w:bookmarkEnd w:id="12"/>
    </w:p>
    <w:p w:rsidR="00DA4EE2" w:rsidRPr="00A059D3" w:rsidRDefault="00122000" w:rsidP="00A23543">
      <w:pPr>
        <w:spacing w:after="120" w:line="276" w:lineRule="auto"/>
        <w:rPr>
          <w:rFonts w:ascii="Calibri" w:hAnsi="Calibri"/>
          <w:sz w:val="24"/>
        </w:rPr>
      </w:pPr>
      <w:r>
        <w:rPr>
          <w:rFonts w:ascii="Calibri" w:hAnsi="Calibri"/>
          <w:sz w:val="24"/>
        </w:rPr>
        <w:t>F</w:t>
      </w:r>
      <w:r w:rsidRPr="00E62A68">
        <w:rPr>
          <w:rFonts w:ascii="Calibri" w:hAnsi="Calibri"/>
          <w:sz w:val="24"/>
        </w:rPr>
        <w:t>low conditions were assigned for each sample date</w:t>
      </w:r>
      <w:r>
        <w:rPr>
          <w:rFonts w:ascii="Calibri" w:hAnsi="Calibri"/>
          <w:sz w:val="24"/>
        </w:rPr>
        <w:t>,</w:t>
      </w:r>
      <w:r w:rsidRPr="00E62A68">
        <w:rPr>
          <w:rFonts w:ascii="Calibri" w:hAnsi="Calibri"/>
          <w:sz w:val="24"/>
        </w:rPr>
        <w:t xml:space="preserve"> following VTDEC </w:t>
      </w:r>
      <w:r w:rsidRPr="00E62A68">
        <w:rPr>
          <w:rFonts w:ascii="Calibri" w:hAnsi="Calibri"/>
          <w:i/>
          <w:sz w:val="24"/>
        </w:rPr>
        <w:t>Guidance on Streamflow Observations at time of Water Quality Sampling of Rivers and Streams</w:t>
      </w:r>
      <w:r w:rsidR="00C71883">
        <w:rPr>
          <w:rFonts w:ascii="Calibri" w:hAnsi="Calibri"/>
          <w:sz w:val="24"/>
        </w:rPr>
        <w:t>, with reference to the</w:t>
      </w:r>
      <w:r>
        <w:rPr>
          <w:rFonts w:ascii="Calibri" w:hAnsi="Calibri"/>
          <w:sz w:val="24"/>
        </w:rPr>
        <w:t xml:space="preserve"> flow duration curve</w:t>
      </w:r>
      <w:r w:rsidR="00941C7F">
        <w:rPr>
          <w:rFonts w:ascii="Calibri" w:hAnsi="Calibri"/>
          <w:sz w:val="24"/>
        </w:rPr>
        <w:t xml:space="preserve"> (Figure </w:t>
      </w:r>
      <w:r w:rsidR="00A121BC">
        <w:rPr>
          <w:rFonts w:ascii="Calibri" w:hAnsi="Calibri"/>
          <w:sz w:val="24"/>
        </w:rPr>
        <w:t>2</w:t>
      </w:r>
      <w:r w:rsidR="00941C7F">
        <w:rPr>
          <w:rFonts w:ascii="Calibri" w:hAnsi="Calibri"/>
          <w:sz w:val="24"/>
        </w:rPr>
        <w:t>)</w:t>
      </w:r>
      <w:r>
        <w:rPr>
          <w:rFonts w:ascii="Calibri" w:hAnsi="Calibri"/>
          <w:sz w:val="24"/>
        </w:rPr>
        <w:t>.</w:t>
      </w:r>
      <w:r w:rsidR="00060F21" w:rsidRPr="009644B2">
        <w:rPr>
          <w:rFonts w:ascii="Calibri" w:hAnsi="Calibri"/>
          <w:sz w:val="24"/>
        </w:rPr>
        <w:t xml:space="preserve"> </w:t>
      </w:r>
      <w:r w:rsidR="00AA4F30">
        <w:rPr>
          <w:rFonts w:ascii="Calibri" w:hAnsi="Calibri"/>
          <w:sz w:val="24"/>
        </w:rPr>
        <w:t xml:space="preserve"> </w:t>
      </w:r>
      <w:proofErr w:type="gramStart"/>
      <w:r w:rsidR="00AA4F30">
        <w:rPr>
          <w:rFonts w:ascii="Calibri" w:hAnsi="Calibri"/>
          <w:sz w:val="24"/>
        </w:rPr>
        <w:t xml:space="preserve">This flow condition was then used to </w:t>
      </w:r>
      <w:r w:rsidR="00A121BC">
        <w:rPr>
          <w:rFonts w:ascii="Calibri" w:hAnsi="Calibri"/>
          <w:sz w:val="24"/>
        </w:rPr>
        <w:t>subset</w:t>
      </w:r>
      <w:r w:rsidR="00AA4F30">
        <w:rPr>
          <w:rFonts w:ascii="Calibri" w:hAnsi="Calibri"/>
          <w:sz w:val="24"/>
        </w:rPr>
        <w:t xml:space="preserve"> samples for further analysis</w:t>
      </w:r>
      <w:r w:rsidR="00A059D3">
        <w:rPr>
          <w:rFonts w:ascii="Calibri" w:hAnsi="Calibri"/>
          <w:sz w:val="24"/>
        </w:rPr>
        <w:t xml:space="preserve"> in some cases</w:t>
      </w:r>
      <w:r w:rsidR="00AA4F30">
        <w:rPr>
          <w:rFonts w:ascii="Calibri" w:hAnsi="Calibri"/>
          <w:sz w:val="24"/>
        </w:rPr>
        <w:t>.</w:t>
      </w:r>
      <w:proofErr w:type="gramEnd"/>
      <w:r w:rsidR="00060F21" w:rsidRPr="009644B2">
        <w:rPr>
          <w:rFonts w:ascii="Calibri" w:hAnsi="Calibri"/>
          <w:sz w:val="24"/>
        </w:rPr>
        <w:t xml:space="preserve"> </w:t>
      </w:r>
      <w:r w:rsidR="00A059D3">
        <w:rPr>
          <w:rFonts w:ascii="Calibri" w:hAnsi="Calibri"/>
          <w:color w:val="FF0000"/>
          <w:sz w:val="24"/>
        </w:rPr>
        <w:t xml:space="preserve"> </w:t>
      </w:r>
      <w:r w:rsidR="00AA4F30" w:rsidRPr="00AA4F30">
        <w:rPr>
          <w:rFonts w:ascii="Calibri" w:hAnsi="Calibri"/>
          <w:color w:val="FF0000"/>
          <w:sz w:val="24"/>
        </w:rPr>
        <w:t xml:space="preserve"> </w:t>
      </w:r>
      <w:r w:rsidR="00060F21" w:rsidRPr="00A059D3">
        <w:rPr>
          <w:rFonts w:ascii="Calibri" w:hAnsi="Calibri"/>
          <w:sz w:val="24"/>
        </w:rPr>
        <w:t>Recorded daily mean flows on sample dates were further classified by category, as those exhibiting base-flow characteristics (i.e., relatively stable flow stage, not significantly rising or falling in response to a rainfall or snowmelt event) versus a “freshet flow”, per VTDEC guidance</w:t>
      </w:r>
      <w:r w:rsidR="00A059D3">
        <w:rPr>
          <w:rFonts w:ascii="Calibri" w:hAnsi="Calibri"/>
          <w:sz w:val="24"/>
        </w:rPr>
        <w:t xml:space="preserve"> (only for most recent years:  2010 – 2015)</w:t>
      </w:r>
      <w:r w:rsidR="00060F21" w:rsidRPr="00A059D3">
        <w:rPr>
          <w:rFonts w:ascii="Calibri" w:hAnsi="Calibri"/>
          <w:sz w:val="24"/>
        </w:rPr>
        <w:t>.</w:t>
      </w:r>
    </w:p>
    <w:p w:rsidR="004451CB" w:rsidRDefault="00AA4F30" w:rsidP="00AA4F30">
      <w:pPr>
        <w:pStyle w:val="Heading2"/>
      </w:pPr>
      <w:bookmarkStart w:id="13" w:name="_Toc497244920"/>
      <w:r>
        <w:t>3.2</w:t>
      </w:r>
      <w:r>
        <w:tab/>
      </w:r>
      <w:r w:rsidR="004451CB">
        <w:t>Examine Flow Record for Stationarity</w:t>
      </w:r>
      <w:bookmarkEnd w:id="13"/>
    </w:p>
    <w:p w:rsidR="002B455F" w:rsidRPr="00A059D3" w:rsidRDefault="00A23543" w:rsidP="00A059D3">
      <w:pPr>
        <w:spacing w:after="0"/>
        <w:rPr>
          <w:rFonts w:cstheme="minorHAnsi"/>
          <w:sz w:val="24"/>
          <w:szCs w:val="24"/>
        </w:rPr>
      </w:pPr>
      <w:r>
        <w:rPr>
          <w:rFonts w:cstheme="minorHAnsi"/>
          <w:sz w:val="24"/>
          <w:szCs w:val="24"/>
        </w:rPr>
        <w:t>One of the underlying assumptions in trend analysis of concentration data is that the overall mean of discharge remains constant – or stationary – throughout the examined monitoring record.  Otherwise, patterns in concentration wi</w:t>
      </w:r>
      <w:r w:rsidR="00A059D3">
        <w:rPr>
          <w:rFonts w:cstheme="minorHAnsi"/>
          <w:sz w:val="24"/>
          <w:szCs w:val="24"/>
        </w:rPr>
        <w:t>th time may be resulting from</w:t>
      </w:r>
      <w:r>
        <w:rPr>
          <w:rFonts w:cstheme="minorHAnsi"/>
          <w:sz w:val="24"/>
          <w:szCs w:val="24"/>
        </w:rPr>
        <w:t xml:space="preserve"> large</w:t>
      </w:r>
      <w:r w:rsidR="00A059D3">
        <w:rPr>
          <w:rFonts w:cstheme="minorHAnsi"/>
          <w:sz w:val="24"/>
          <w:szCs w:val="24"/>
        </w:rPr>
        <w:t>r</w:t>
      </w:r>
      <w:r>
        <w:rPr>
          <w:rFonts w:cstheme="minorHAnsi"/>
          <w:sz w:val="24"/>
          <w:szCs w:val="24"/>
        </w:rPr>
        <w:t xml:space="preserve">-scale increases or decreases in average flow conditions attributed to decadal-scale </w:t>
      </w:r>
      <w:r w:rsidRPr="00E17411">
        <w:rPr>
          <w:rFonts w:cstheme="minorHAnsi"/>
          <w:sz w:val="24"/>
          <w:szCs w:val="24"/>
        </w:rPr>
        <w:t xml:space="preserve">climate fluctuations (such as </w:t>
      </w:r>
      <w:r>
        <w:rPr>
          <w:rFonts w:cstheme="minorHAnsi"/>
          <w:sz w:val="24"/>
          <w:szCs w:val="24"/>
        </w:rPr>
        <w:t>the North Atlantic Oscill</w:t>
      </w:r>
      <w:r w:rsidRPr="00E17411">
        <w:rPr>
          <w:rFonts w:cstheme="minorHAnsi"/>
          <w:sz w:val="24"/>
          <w:szCs w:val="24"/>
        </w:rPr>
        <w:t>ati</w:t>
      </w:r>
      <w:r>
        <w:rPr>
          <w:rFonts w:cstheme="minorHAnsi"/>
          <w:sz w:val="24"/>
          <w:szCs w:val="24"/>
        </w:rPr>
        <w:t>on) or global climate change.  To evaluate this assumption, t</w:t>
      </w:r>
      <w:r w:rsidR="007A4DCB">
        <w:rPr>
          <w:rFonts w:cstheme="minorHAnsi"/>
          <w:sz w:val="24"/>
          <w:szCs w:val="24"/>
        </w:rPr>
        <w:t xml:space="preserve">rends in daily mean flows in Lewis Creek were examined for three different time spans, representing the record of years over which </w:t>
      </w:r>
      <w:r w:rsidR="00AB527E">
        <w:rPr>
          <w:rFonts w:cs="Tahoma"/>
          <w:i/>
          <w:sz w:val="24"/>
          <w:szCs w:val="24"/>
        </w:rPr>
        <w:t>E. coli</w:t>
      </w:r>
      <w:r w:rsidR="007A4DCB">
        <w:rPr>
          <w:rFonts w:cstheme="minorHAnsi"/>
          <w:sz w:val="24"/>
          <w:szCs w:val="24"/>
        </w:rPr>
        <w:t>, TP and Turbidity were each monitored.</w:t>
      </w:r>
      <w:r w:rsidR="00A059D3">
        <w:rPr>
          <w:rFonts w:cstheme="minorHAnsi"/>
          <w:sz w:val="24"/>
          <w:szCs w:val="24"/>
        </w:rPr>
        <w:br/>
      </w:r>
    </w:p>
    <w:p w:rsidR="00AA4F30" w:rsidRDefault="00AA4F30" w:rsidP="00AA4F30">
      <w:pPr>
        <w:pStyle w:val="Heading2"/>
      </w:pPr>
      <w:bookmarkStart w:id="14" w:name="_Toc497244921"/>
      <w:r>
        <w:t>3.3</w:t>
      </w:r>
      <w:r>
        <w:tab/>
        <w:t>Trend Analysis (Monotonic)</w:t>
      </w:r>
      <w:bookmarkEnd w:id="14"/>
    </w:p>
    <w:p w:rsidR="00C135CB" w:rsidRPr="009D2B86" w:rsidRDefault="003B1931" w:rsidP="009D2B86">
      <w:pPr>
        <w:spacing w:after="120" w:line="276" w:lineRule="auto"/>
        <w:rPr>
          <w:rFonts w:cstheme="minorHAnsi"/>
          <w:szCs w:val="24"/>
        </w:rPr>
      </w:pPr>
      <w:r>
        <w:rPr>
          <w:rFonts w:cstheme="minorHAnsi"/>
          <w:sz w:val="24"/>
          <w:szCs w:val="24"/>
        </w:rPr>
        <w:t>Trend testing was performed</w:t>
      </w:r>
      <w:r w:rsidR="009D2B86">
        <w:rPr>
          <w:rFonts w:cstheme="minorHAnsi"/>
          <w:sz w:val="24"/>
          <w:szCs w:val="24"/>
        </w:rPr>
        <w:t xml:space="preserve"> using nonparametric method</w:t>
      </w:r>
      <w:r w:rsidR="009D2B86" w:rsidRPr="009D2B86">
        <w:rPr>
          <w:rFonts w:cstheme="minorHAnsi"/>
          <w:sz w:val="24"/>
          <w:szCs w:val="24"/>
        </w:rPr>
        <w:t>s</w:t>
      </w:r>
      <w:r w:rsidR="009D2B86">
        <w:rPr>
          <w:rFonts w:cstheme="minorHAnsi"/>
          <w:sz w:val="24"/>
          <w:szCs w:val="24"/>
        </w:rPr>
        <w:t xml:space="preserve"> (</w:t>
      </w:r>
      <w:proofErr w:type="spellStart"/>
      <w:r w:rsidR="009D2B86">
        <w:rPr>
          <w:rFonts w:cstheme="minorHAnsi"/>
          <w:sz w:val="24"/>
          <w:szCs w:val="24"/>
        </w:rPr>
        <w:t>Helsel</w:t>
      </w:r>
      <w:proofErr w:type="spellEnd"/>
      <w:r w:rsidR="009D2B86">
        <w:rPr>
          <w:rFonts w:cstheme="minorHAnsi"/>
          <w:sz w:val="24"/>
          <w:szCs w:val="24"/>
        </w:rPr>
        <w:t xml:space="preserve"> &amp; Hirsch, 2002)</w:t>
      </w:r>
      <w:r w:rsidR="00D42FA3" w:rsidRPr="009D2B86">
        <w:rPr>
          <w:rFonts w:cstheme="minorHAnsi"/>
          <w:sz w:val="24"/>
          <w:szCs w:val="24"/>
        </w:rPr>
        <w:t xml:space="preserve">, because assumptions of the linear regression methods – namely, that residuals belong to a normal distribution – could not be met in all cases.  </w:t>
      </w:r>
      <w:r w:rsidR="009D2B86">
        <w:rPr>
          <w:rFonts w:cstheme="minorHAnsi"/>
          <w:sz w:val="24"/>
          <w:szCs w:val="24"/>
        </w:rPr>
        <w:t>T</w:t>
      </w:r>
      <w:r w:rsidR="003C5753">
        <w:rPr>
          <w:rFonts w:cstheme="minorHAnsi"/>
          <w:sz w:val="24"/>
          <w:szCs w:val="24"/>
        </w:rPr>
        <w:t xml:space="preserve">he nonparametric Mann-Kendall </w:t>
      </w:r>
      <w:r w:rsidR="00A70ACF">
        <w:rPr>
          <w:rFonts w:cstheme="minorHAnsi"/>
          <w:sz w:val="24"/>
          <w:szCs w:val="24"/>
        </w:rPr>
        <w:t xml:space="preserve">(MK) </w:t>
      </w:r>
      <w:r w:rsidR="003C5753">
        <w:rPr>
          <w:rFonts w:cstheme="minorHAnsi"/>
          <w:sz w:val="24"/>
          <w:szCs w:val="24"/>
        </w:rPr>
        <w:t>test (</w:t>
      </w:r>
      <w:r w:rsidR="003C5753" w:rsidRPr="003C5753">
        <w:rPr>
          <w:rFonts w:cstheme="minorHAnsi"/>
          <w:sz w:val="24"/>
          <w:szCs w:val="24"/>
        </w:rPr>
        <w:t xml:space="preserve">Mann 1945, Kendall 1975, </w:t>
      </w:r>
      <w:proofErr w:type="spellStart"/>
      <w:r w:rsidR="00B94B6D">
        <w:rPr>
          <w:rFonts w:cstheme="minorHAnsi"/>
          <w:sz w:val="24"/>
          <w:szCs w:val="24"/>
        </w:rPr>
        <w:t>Helsel</w:t>
      </w:r>
      <w:proofErr w:type="spellEnd"/>
      <w:r w:rsidR="00B94B6D">
        <w:rPr>
          <w:rFonts w:cstheme="minorHAnsi"/>
          <w:sz w:val="24"/>
          <w:szCs w:val="24"/>
        </w:rPr>
        <w:t xml:space="preserve"> &amp; Hirsch, </w:t>
      </w:r>
      <w:r w:rsidR="00A17E09">
        <w:rPr>
          <w:rFonts w:cstheme="minorHAnsi"/>
          <w:sz w:val="24"/>
          <w:szCs w:val="24"/>
        </w:rPr>
        <w:t xml:space="preserve">2002) </w:t>
      </w:r>
      <w:r w:rsidR="009D2B86">
        <w:rPr>
          <w:rFonts w:cstheme="minorHAnsi"/>
          <w:sz w:val="24"/>
          <w:szCs w:val="24"/>
        </w:rPr>
        <w:t>is</w:t>
      </w:r>
      <w:r w:rsidR="003C5753">
        <w:rPr>
          <w:rFonts w:cstheme="minorHAnsi"/>
          <w:sz w:val="24"/>
          <w:szCs w:val="24"/>
        </w:rPr>
        <w:t xml:space="preserve"> applied to determine if there is a steady, gradual increasing or decreasing trend in a given variable over a specified </w:t>
      </w:r>
      <w:r w:rsidR="009D2B86">
        <w:rPr>
          <w:rFonts w:cstheme="minorHAnsi"/>
          <w:sz w:val="24"/>
          <w:szCs w:val="24"/>
        </w:rPr>
        <w:t>period</w:t>
      </w:r>
      <w:r w:rsidR="003C5753">
        <w:rPr>
          <w:rFonts w:cstheme="minorHAnsi"/>
          <w:sz w:val="24"/>
          <w:szCs w:val="24"/>
        </w:rPr>
        <w:t xml:space="preserve"> of time.  This method provides more flexibility than linear regression methods, </w:t>
      </w:r>
      <w:r w:rsidR="00A70ACF">
        <w:rPr>
          <w:rFonts w:cstheme="minorHAnsi"/>
          <w:sz w:val="24"/>
          <w:szCs w:val="24"/>
        </w:rPr>
        <w:t>where</w:t>
      </w:r>
      <w:r w:rsidR="003C5753">
        <w:rPr>
          <w:rFonts w:cstheme="minorHAnsi"/>
          <w:sz w:val="24"/>
          <w:szCs w:val="24"/>
        </w:rPr>
        <w:t xml:space="preserve"> the trend may </w:t>
      </w:r>
      <w:r w:rsidR="003C5753">
        <w:rPr>
          <w:rFonts w:cstheme="minorHAnsi"/>
          <w:sz w:val="24"/>
          <w:szCs w:val="24"/>
        </w:rPr>
        <w:lastRenderedPageBreak/>
        <w:t xml:space="preserve">or may not be linear, and </w:t>
      </w:r>
      <w:r w:rsidR="00A70ACF">
        <w:rPr>
          <w:rFonts w:cstheme="minorHAnsi"/>
          <w:sz w:val="24"/>
          <w:szCs w:val="24"/>
        </w:rPr>
        <w:t xml:space="preserve">since </w:t>
      </w:r>
      <w:r w:rsidR="003C5753">
        <w:rPr>
          <w:rFonts w:cstheme="minorHAnsi"/>
          <w:sz w:val="24"/>
          <w:szCs w:val="24"/>
        </w:rPr>
        <w:t xml:space="preserve">there is no requirement that residuals from that trend be normally distributed.  </w:t>
      </w:r>
      <w:r w:rsidR="00A70ACF">
        <w:rPr>
          <w:rFonts w:cstheme="minorHAnsi"/>
          <w:sz w:val="24"/>
          <w:szCs w:val="24"/>
        </w:rPr>
        <w:t>The MK method</w:t>
      </w:r>
      <w:r w:rsidR="003C5753">
        <w:rPr>
          <w:rFonts w:cstheme="minorHAnsi"/>
          <w:sz w:val="24"/>
          <w:szCs w:val="24"/>
        </w:rPr>
        <w:t xml:space="preserve"> is also</w:t>
      </w:r>
      <w:r w:rsidR="00A70ACF">
        <w:rPr>
          <w:rFonts w:cstheme="minorHAnsi"/>
          <w:sz w:val="24"/>
          <w:szCs w:val="24"/>
        </w:rPr>
        <w:t xml:space="preserve"> more robust to missing data, </w:t>
      </w:r>
      <w:r w:rsidR="003C5753">
        <w:rPr>
          <w:rFonts w:cstheme="minorHAnsi"/>
          <w:sz w:val="24"/>
          <w:szCs w:val="24"/>
        </w:rPr>
        <w:t>small data gaps</w:t>
      </w:r>
      <w:r w:rsidR="005A0283">
        <w:rPr>
          <w:rFonts w:cstheme="minorHAnsi"/>
          <w:sz w:val="24"/>
          <w:szCs w:val="24"/>
        </w:rPr>
        <w:t xml:space="preserve"> in the record, outliers</w:t>
      </w:r>
      <w:r w:rsidR="00A70ACF">
        <w:rPr>
          <w:rFonts w:cstheme="minorHAnsi"/>
          <w:sz w:val="24"/>
          <w:szCs w:val="24"/>
        </w:rPr>
        <w:t>, and censored data (</w:t>
      </w:r>
      <w:proofErr w:type="spellStart"/>
      <w:r w:rsidR="00A70ACF">
        <w:rPr>
          <w:rFonts w:cstheme="minorHAnsi"/>
          <w:sz w:val="24"/>
          <w:szCs w:val="24"/>
        </w:rPr>
        <w:t>i.e</w:t>
      </w:r>
      <w:proofErr w:type="spellEnd"/>
      <w:r w:rsidR="00A70ACF">
        <w:rPr>
          <w:rFonts w:cstheme="minorHAnsi"/>
          <w:sz w:val="24"/>
          <w:szCs w:val="24"/>
        </w:rPr>
        <w:t>, data below [</w:t>
      </w:r>
      <w:r w:rsidR="009D2B86">
        <w:rPr>
          <w:rFonts w:cstheme="minorHAnsi"/>
          <w:sz w:val="24"/>
          <w:szCs w:val="24"/>
        </w:rPr>
        <w:t xml:space="preserve">or </w:t>
      </w:r>
      <w:r w:rsidR="00A70ACF">
        <w:rPr>
          <w:rFonts w:cstheme="minorHAnsi"/>
          <w:sz w:val="24"/>
          <w:szCs w:val="24"/>
        </w:rPr>
        <w:t>above] a minimum [</w:t>
      </w:r>
      <w:r w:rsidR="009D2B86">
        <w:rPr>
          <w:rFonts w:cstheme="minorHAnsi"/>
          <w:sz w:val="24"/>
          <w:szCs w:val="24"/>
        </w:rPr>
        <w:t xml:space="preserve">or </w:t>
      </w:r>
      <w:r w:rsidR="00A70ACF">
        <w:rPr>
          <w:rFonts w:cstheme="minorHAnsi"/>
          <w:sz w:val="24"/>
          <w:szCs w:val="24"/>
        </w:rPr>
        <w:t>maximum] detection limit)</w:t>
      </w:r>
      <w:r w:rsidR="009D2B86">
        <w:rPr>
          <w:rFonts w:cstheme="minorHAnsi"/>
          <w:sz w:val="24"/>
          <w:szCs w:val="24"/>
        </w:rPr>
        <w:t xml:space="preserve"> (</w:t>
      </w:r>
      <w:r w:rsidR="002140D8">
        <w:rPr>
          <w:rFonts w:cstheme="minorHAnsi"/>
          <w:sz w:val="24"/>
          <w:szCs w:val="24"/>
        </w:rPr>
        <w:t xml:space="preserve">Meals </w:t>
      </w:r>
      <w:r w:rsidR="002140D8" w:rsidRPr="002140D8">
        <w:rPr>
          <w:rFonts w:cstheme="minorHAnsi"/>
          <w:i/>
          <w:sz w:val="24"/>
          <w:szCs w:val="24"/>
        </w:rPr>
        <w:t>et al.,</w:t>
      </w:r>
      <w:r w:rsidR="002140D8">
        <w:rPr>
          <w:rFonts w:cstheme="minorHAnsi"/>
          <w:sz w:val="24"/>
          <w:szCs w:val="24"/>
        </w:rPr>
        <w:t xml:space="preserve"> 2013)</w:t>
      </w:r>
      <w:r w:rsidR="003C5753">
        <w:rPr>
          <w:rFonts w:cstheme="minorHAnsi"/>
          <w:sz w:val="24"/>
          <w:szCs w:val="24"/>
        </w:rPr>
        <w:t>.</w:t>
      </w:r>
      <w:r w:rsidR="008863F9">
        <w:rPr>
          <w:rFonts w:cstheme="minorHAnsi"/>
          <w:sz w:val="24"/>
          <w:szCs w:val="24"/>
        </w:rPr>
        <w:t xml:space="preserve">  </w:t>
      </w:r>
      <w:r w:rsidR="008863F9" w:rsidRPr="008863F9">
        <w:rPr>
          <w:rFonts w:cstheme="minorHAnsi"/>
          <w:sz w:val="24"/>
          <w:szCs w:val="24"/>
        </w:rPr>
        <w:t xml:space="preserve"> </w:t>
      </w:r>
    </w:p>
    <w:p w:rsidR="00F1761E" w:rsidRPr="00F1761E" w:rsidRDefault="00C135CB" w:rsidP="00C135CB">
      <w:pPr>
        <w:spacing w:line="276" w:lineRule="auto"/>
        <w:rPr>
          <w:rFonts w:cstheme="minorHAnsi"/>
          <w:sz w:val="24"/>
          <w:szCs w:val="24"/>
        </w:rPr>
      </w:pPr>
      <w:r>
        <w:rPr>
          <w:rFonts w:cstheme="minorHAnsi"/>
          <w:sz w:val="24"/>
          <w:szCs w:val="24"/>
        </w:rPr>
        <w:t xml:space="preserve">In the MK method, </w:t>
      </w:r>
      <w:r w:rsidR="00C335BF">
        <w:rPr>
          <w:sz w:val="24"/>
        </w:rPr>
        <w:t xml:space="preserve">the rank-based correlation between </w:t>
      </w:r>
      <w:r w:rsidR="002140D8">
        <w:rPr>
          <w:sz w:val="24"/>
        </w:rPr>
        <w:t>c</w:t>
      </w:r>
      <w:r w:rsidR="00C335BF">
        <w:rPr>
          <w:sz w:val="24"/>
        </w:rPr>
        <w:t xml:space="preserve">oncentration and </w:t>
      </w:r>
      <w:r w:rsidR="002140D8">
        <w:rPr>
          <w:sz w:val="24"/>
        </w:rPr>
        <w:t>t</w:t>
      </w:r>
      <w:r w:rsidR="00C335BF">
        <w:rPr>
          <w:sz w:val="24"/>
        </w:rPr>
        <w:t xml:space="preserve">ime is evaluated.  </w:t>
      </w:r>
      <w:r w:rsidR="00666802">
        <w:rPr>
          <w:sz w:val="24"/>
        </w:rPr>
        <w:t>A Kendall S statistic is calculated</w:t>
      </w:r>
      <w:r w:rsidR="00666802" w:rsidRPr="00666802">
        <w:rPr>
          <w:sz w:val="24"/>
        </w:rPr>
        <w:t xml:space="preserve"> </w:t>
      </w:r>
      <w:r w:rsidR="00666802" w:rsidRPr="00A17E09">
        <w:rPr>
          <w:sz w:val="24"/>
        </w:rPr>
        <w:t>and tested to see if it is significantly different from zero</w:t>
      </w:r>
      <w:r w:rsidR="00666802">
        <w:rPr>
          <w:sz w:val="24"/>
        </w:rPr>
        <w:t xml:space="preserve">.  </w:t>
      </w:r>
      <w:proofErr w:type="gramStart"/>
      <w:r w:rsidR="00666802">
        <w:rPr>
          <w:sz w:val="24"/>
        </w:rPr>
        <w:t>I</w:t>
      </w:r>
      <w:r w:rsidRPr="00F1761E">
        <w:rPr>
          <w:rFonts w:cstheme="minorHAnsi"/>
          <w:sz w:val="24"/>
          <w:szCs w:val="24"/>
        </w:rPr>
        <w:t>f S &gt; 0, then observations made later in time tend to be larger than obs</w:t>
      </w:r>
      <w:r>
        <w:rPr>
          <w:rFonts w:cstheme="minorHAnsi"/>
          <w:sz w:val="24"/>
          <w:szCs w:val="24"/>
        </w:rPr>
        <w:t>ervations</w:t>
      </w:r>
      <w:r w:rsidRPr="00F1761E">
        <w:rPr>
          <w:rFonts w:cstheme="minorHAnsi"/>
          <w:sz w:val="24"/>
          <w:szCs w:val="24"/>
        </w:rPr>
        <w:t xml:space="preserve"> made earlier in time</w:t>
      </w:r>
      <w:r>
        <w:rPr>
          <w:rFonts w:cstheme="minorHAnsi"/>
          <w:sz w:val="24"/>
          <w:szCs w:val="24"/>
        </w:rPr>
        <w:t>, indicating a positive (increasing) trend in concentration</w:t>
      </w:r>
      <w:r w:rsidRPr="00F1761E">
        <w:rPr>
          <w:rFonts w:cstheme="minorHAnsi"/>
          <w:sz w:val="24"/>
          <w:szCs w:val="24"/>
        </w:rPr>
        <w:t>.</w:t>
      </w:r>
      <w:proofErr w:type="gramEnd"/>
      <w:r>
        <w:rPr>
          <w:rFonts w:cstheme="minorHAnsi"/>
          <w:sz w:val="24"/>
          <w:szCs w:val="24"/>
        </w:rPr>
        <w:t xml:space="preserve">  </w:t>
      </w:r>
      <w:r w:rsidRPr="00F1761E">
        <w:rPr>
          <w:rFonts w:cstheme="minorHAnsi"/>
          <w:sz w:val="24"/>
          <w:szCs w:val="24"/>
        </w:rPr>
        <w:t xml:space="preserve">If S &lt; 0, then </w:t>
      </w:r>
      <w:r>
        <w:rPr>
          <w:rFonts w:cstheme="minorHAnsi"/>
          <w:sz w:val="24"/>
          <w:szCs w:val="24"/>
        </w:rPr>
        <w:t xml:space="preserve">a decreasing trend in concentration is evident.   </w:t>
      </w:r>
      <w:r w:rsidR="008863F9">
        <w:rPr>
          <w:rFonts w:cstheme="minorHAnsi"/>
          <w:sz w:val="24"/>
          <w:szCs w:val="24"/>
        </w:rPr>
        <w:t xml:space="preserve">The MK </w:t>
      </w:r>
      <w:r w:rsidR="00116E67">
        <w:rPr>
          <w:rFonts w:cstheme="minorHAnsi"/>
          <w:sz w:val="24"/>
          <w:szCs w:val="24"/>
        </w:rPr>
        <w:t xml:space="preserve">method performs </w:t>
      </w:r>
      <w:r w:rsidR="008863F9">
        <w:rPr>
          <w:rFonts w:cstheme="minorHAnsi"/>
          <w:sz w:val="24"/>
          <w:szCs w:val="24"/>
        </w:rPr>
        <w:t>a test of the null hypothesis that there is no trend.  A small p value rejects this hypothesis</w:t>
      </w:r>
      <w:r w:rsidR="00A17E09">
        <w:rPr>
          <w:rFonts w:cstheme="minorHAnsi"/>
          <w:sz w:val="24"/>
          <w:szCs w:val="24"/>
        </w:rPr>
        <w:t>, and it can be concluded that there is a statistically-significant trend</w:t>
      </w:r>
      <w:r w:rsidR="008863F9">
        <w:rPr>
          <w:rFonts w:cstheme="minorHAnsi"/>
          <w:sz w:val="24"/>
          <w:szCs w:val="24"/>
        </w:rPr>
        <w:t>.  A p value greater than the established lev</w:t>
      </w:r>
      <w:r w:rsidR="00116E67">
        <w:rPr>
          <w:rFonts w:cstheme="minorHAnsi"/>
          <w:sz w:val="24"/>
          <w:szCs w:val="24"/>
        </w:rPr>
        <w:t>el of significance (</w:t>
      </w:r>
      <w:proofErr w:type="gramStart"/>
      <w:r w:rsidR="00116E67" w:rsidRPr="00A40065">
        <w:rPr>
          <w:rFonts w:ascii="Calibri" w:hAnsi="Calibri" w:cs="Arial"/>
          <w:sz w:val="24"/>
        </w:rPr>
        <w:t>α</w:t>
      </w:r>
      <w:r w:rsidR="00116E67">
        <w:rPr>
          <w:rFonts w:cstheme="minorHAnsi"/>
          <w:sz w:val="24"/>
          <w:szCs w:val="24"/>
        </w:rPr>
        <w:t xml:space="preserve"> </w:t>
      </w:r>
      <w:r w:rsidR="008863F9">
        <w:rPr>
          <w:rFonts w:cstheme="minorHAnsi"/>
          <w:sz w:val="24"/>
          <w:szCs w:val="24"/>
        </w:rPr>
        <w:t>)</w:t>
      </w:r>
      <w:proofErr w:type="gramEnd"/>
      <w:r w:rsidR="008863F9">
        <w:rPr>
          <w:rFonts w:cstheme="minorHAnsi"/>
          <w:sz w:val="24"/>
          <w:szCs w:val="24"/>
        </w:rPr>
        <w:t xml:space="preserve"> fails to reject the null hypothesis and the data are insufficient to conclude </w:t>
      </w:r>
      <w:r w:rsidR="00A17E09">
        <w:rPr>
          <w:rFonts w:cstheme="minorHAnsi"/>
          <w:sz w:val="24"/>
          <w:szCs w:val="24"/>
        </w:rPr>
        <w:t xml:space="preserve">whether </w:t>
      </w:r>
      <w:r w:rsidR="008863F9">
        <w:rPr>
          <w:rFonts w:cstheme="minorHAnsi"/>
          <w:sz w:val="24"/>
          <w:szCs w:val="24"/>
        </w:rPr>
        <w:t xml:space="preserve">there is a trend.  </w:t>
      </w:r>
      <w:r w:rsidR="00C335BF">
        <w:rPr>
          <w:rFonts w:cstheme="minorHAnsi"/>
          <w:sz w:val="24"/>
          <w:szCs w:val="24"/>
        </w:rPr>
        <w:t xml:space="preserve">The trend can be visualized by fitting a smoothing line to the plot of concentration versus time, using </w:t>
      </w:r>
      <w:proofErr w:type="spellStart"/>
      <w:r w:rsidR="00C335BF" w:rsidRPr="00150374">
        <w:rPr>
          <w:rFonts w:cstheme="minorHAnsi"/>
          <w:sz w:val="24"/>
          <w:szCs w:val="24"/>
        </w:rPr>
        <w:t>LOcally</w:t>
      </w:r>
      <w:proofErr w:type="spellEnd"/>
      <w:r w:rsidR="00C335BF" w:rsidRPr="00150374">
        <w:rPr>
          <w:rFonts w:cstheme="minorHAnsi"/>
          <w:sz w:val="24"/>
          <w:szCs w:val="24"/>
        </w:rPr>
        <w:t xml:space="preserve"> </w:t>
      </w:r>
      <w:proofErr w:type="spellStart"/>
      <w:r w:rsidR="00C335BF" w:rsidRPr="00150374">
        <w:rPr>
          <w:rFonts w:cstheme="minorHAnsi"/>
          <w:sz w:val="24"/>
          <w:szCs w:val="24"/>
        </w:rPr>
        <w:t>WEighted</w:t>
      </w:r>
      <w:proofErr w:type="spellEnd"/>
      <w:r w:rsidR="00C335BF" w:rsidRPr="00150374">
        <w:rPr>
          <w:rFonts w:cstheme="minorHAnsi"/>
          <w:sz w:val="24"/>
          <w:szCs w:val="24"/>
        </w:rPr>
        <w:t xml:space="preserve"> Scatter</w:t>
      </w:r>
      <w:r w:rsidR="00C335BF">
        <w:rPr>
          <w:rFonts w:cstheme="minorHAnsi"/>
          <w:sz w:val="24"/>
          <w:szCs w:val="24"/>
        </w:rPr>
        <w:t>plot Smoothing (Cleveland</w:t>
      </w:r>
      <w:r w:rsidR="00C335BF" w:rsidRPr="00150374">
        <w:rPr>
          <w:rFonts w:cstheme="minorHAnsi"/>
          <w:sz w:val="24"/>
          <w:szCs w:val="24"/>
        </w:rPr>
        <w:t>, 1979)</w:t>
      </w:r>
      <w:r w:rsidR="00C335BF">
        <w:rPr>
          <w:rFonts w:cstheme="minorHAnsi"/>
          <w:sz w:val="24"/>
          <w:szCs w:val="24"/>
        </w:rPr>
        <w:t xml:space="preserve">.  </w:t>
      </w:r>
    </w:p>
    <w:p w:rsidR="00150374" w:rsidRPr="00150374" w:rsidRDefault="00150374" w:rsidP="002306A9">
      <w:pPr>
        <w:spacing w:line="276" w:lineRule="auto"/>
        <w:rPr>
          <w:rFonts w:cstheme="minorHAnsi"/>
          <w:sz w:val="24"/>
          <w:szCs w:val="24"/>
        </w:rPr>
      </w:pPr>
      <w:r>
        <w:rPr>
          <w:rFonts w:cstheme="minorHAnsi"/>
          <w:sz w:val="24"/>
          <w:szCs w:val="24"/>
        </w:rPr>
        <w:t xml:space="preserve">When adjusting for flow using nonparametric methods, a smoothing line is fit to the plot of concentration versus </w:t>
      </w:r>
      <w:r w:rsidR="00A70ACF">
        <w:rPr>
          <w:rFonts w:cstheme="minorHAnsi"/>
          <w:sz w:val="24"/>
          <w:szCs w:val="24"/>
        </w:rPr>
        <w:t xml:space="preserve">discharge, </w:t>
      </w:r>
      <w:r w:rsidR="00C135CB">
        <w:rPr>
          <w:rFonts w:cstheme="minorHAnsi"/>
          <w:sz w:val="24"/>
          <w:szCs w:val="24"/>
        </w:rPr>
        <w:t xml:space="preserve">using </w:t>
      </w:r>
      <w:proofErr w:type="gramStart"/>
      <w:r w:rsidR="00C135CB">
        <w:rPr>
          <w:rFonts w:cstheme="minorHAnsi"/>
          <w:sz w:val="24"/>
          <w:szCs w:val="24"/>
        </w:rPr>
        <w:t>LOWESS,</w:t>
      </w:r>
      <w:proofErr w:type="gramEnd"/>
      <w:r w:rsidR="00C135CB">
        <w:rPr>
          <w:rFonts w:cstheme="minorHAnsi"/>
          <w:sz w:val="24"/>
          <w:szCs w:val="24"/>
        </w:rPr>
        <w:t xml:space="preserve"> </w:t>
      </w:r>
      <w:r w:rsidR="00666802">
        <w:rPr>
          <w:rFonts w:cstheme="minorHAnsi"/>
          <w:sz w:val="24"/>
          <w:szCs w:val="24"/>
        </w:rPr>
        <w:t xml:space="preserve">The LOWESS-estimated value of concentration is then compared to the observed value of concentration, </w:t>
      </w:r>
      <w:r w:rsidR="009D2B86">
        <w:rPr>
          <w:rFonts w:cstheme="minorHAnsi"/>
          <w:sz w:val="24"/>
          <w:szCs w:val="24"/>
        </w:rPr>
        <w:t>to generate a residual value</w:t>
      </w:r>
      <w:r w:rsidR="00666802">
        <w:rPr>
          <w:rFonts w:cstheme="minorHAnsi"/>
          <w:sz w:val="24"/>
          <w:szCs w:val="24"/>
        </w:rPr>
        <w:t xml:space="preserve"> for </w:t>
      </w:r>
      <w:r w:rsidR="009D2B86">
        <w:rPr>
          <w:rFonts w:cstheme="minorHAnsi"/>
          <w:sz w:val="24"/>
          <w:szCs w:val="24"/>
        </w:rPr>
        <w:t>each sample date on the time</w:t>
      </w:r>
      <w:r w:rsidR="00666802">
        <w:rPr>
          <w:rFonts w:cstheme="minorHAnsi"/>
          <w:sz w:val="24"/>
          <w:szCs w:val="24"/>
        </w:rPr>
        <w:t xml:space="preserve"> axis.  T</w:t>
      </w:r>
      <w:r w:rsidR="00C135CB">
        <w:rPr>
          <w:rFonts w:cstheme="minorHAnsi"/>
          <w:sz w:val="24"/>
          <w:szCs w:val="24"/>
        </w:rPr>
        <w:t xml:space="preserve">he residuals are then subjected to the MK trend test.  </w:t>
      </w:r>
    </w:p>
    <w:p w:rsidR="00684335" w:rsidRPr="000D3632" w:rsidRDefault="000F6E6B" w:rsidP="000F6E6B">
      <w:pPr>
        <w:spacing w:after="120" w:line="276" w:lineRule="auto"/>
        <w:rPr>
          <w:rFonts w:ascii="Calibri" w:hAnsi="Calibri"/>
          <w:sz w:val="24"/>
        </w:rPr>
      </w:pPr>
      <w:r>
        <w:rPr>
          <w:rFonts w:ascii="Calibri" w:hAnsi="Calibri"/>
          <w:sz w:val="24"/>
        </w:rPr>
        <w:t xml:space="preserve">Discharge and concentration data were </w:t>
      </w:r>
      <w:r w:rsidR="003C5753">
        <w:rPr>
          <w:rFonts w:ascii="Calibri" w:hAnsi="Calibri"/>
          <w:sz w:val="24"/>
        </w:rPr>
        <w:t>log</w:t>
      </w:r>
      <w:r w:rsidR="003C5753" w:rsidRPr="00177F19">
        <w:rPr>
          <w:rFonts w:ascii="Calibri" w:hAnsi="Calibri"/>
          <w:sz w:val="24"/>
          <w:vertAlign w:val="subscript"/>
        </w:rPr>
        <w:t>10</w:t>
      </w:r>
      <w:r w:rsidR="003C5753">
        <w:rPr>
          <w:rFonts w:ascii="Calibri" w:hAnsi="Calibri"/>
          <w:sz w:val="24"/>
        </w:rPr>
        <w:t xml:space="preserve"> </w:t>
      </w:r>
      <w:r>
        <w:rPr>
          <w:rFonts w:ascii="Calibri" w:hAnsi="Calibri"/>
          <w:sz w:val="24"/>
        </w:rPr>
        <w:t xml:space="preserve">transformed </w:t>
      </w:r>
      <w:r w:rsidR="008863F9">
        <w:rPr>
          <w:rFonts w:ascii="Calibri" w:hAnsi="Calibri"/>
          <w:sz w:val="24"/>
        </w:rPr>
        <w:t xml:space="preserve">to maximize </w:t>
      </w:r>
      <w:r w:rsidR="00DE050C">
        <w:rPr>
          <w:rFonts w:ascii="Calibri" w:hAnsi="Calibri"/>
          <w:sz w:val="24"/>
        </w:rPr>
        <w:t xml:space="preserve">the chances of meeting the requirement for </w:t>
      </w:r>
      <w:r w:rsidR="008863F9">
        <w:rPr>
          <w:rFonts w:ascii="Calibri" w:hAnsi="Calibri"/>
          <w:sz w:val="24"/>
        </w:rPr>
        <w:t xml:space="preserve">equal variance of residuals </w:t>
      </w:r>
      <w:r w:rsidR="00DE050C">
        <w:rPr>
          <w:rFonts w:ascii="Calibri" w:hAnsi="Calibri"/>
          <w:sz w:val="24"/>
        </w:rPr>
        <w:t>about the trend line</w:t>
      </w:r>
      <w:r>
        <w:rPr>
          <w:rFonts w:ascii="Calibri" w:hAnsi="Calibri"/>
          <w:sz w:val="24"/>
        </w:rPr>
        <w:t xml:space="preserve">. </w:t>
      </w:r>
      <w:r w:rsidR="003C5753">
        <w:rPr>
          <w:rFonts w:ascii="Calibri" w:hAnsi="Calibri"/>
          <w:sz w:val="24"/>
        </w:rPr>
        <w:t xml:space="preserve"> </w:t>
      </w:r>
      <w:r w:rsidR="00684335">
        <w:rPr>
          <w:rFonts w:ascii="Calibri" w:hAnsi="Calibri"/>
          <w:sz w:val="24"/>
        </w:rPr>
        <w:t xml:space="preserve">Early </w:t>
      </w:r>
      <w:r w:rsidR="00AB527E">
        <w:rPr>
          <w:rFonts w:cs="Tahoma"/>
          <w:i/>
          <w:sz w:val="24"/>
          <w:szCs w:val="24"/>
        </w:rPr>
        <w:t>E. coli</w:t>
      </w:r>
      <w:r w:rsidR="00AB527E" w:rsidRPr="001C4FAC">
        <w:rPr>
          <w:rFonts w:cs="Tahoma"/>
          <w:sz w:val="24"/>
          <w:szCs w:val="24"/>
        </w:rPr>
        <w:t xml:space="preserve"> </w:t>
      </w:r>
      <w:r w:rsidR="00684335">
        <w:rPr>
          <w:rFonts w:ascii="Calibri" w:hAnsi="Calibri"/>
          <w:sz w:val="24"/>
        </w:rPr>
        <w:t>results (from 19</w:t>
      </w:r>
      <w:r w:rsidR="00A17E09">
        <w:rPr>
          <w:rFonts w:ascii="Calibri" w:hAnsi="Calibri"/>
          <w:sz w:val="24"/>
        </w:rPr>
        <w:t>92</w:t>
      </w:r>
      <w:r w:rsidR="00684335">
        <w:rPr>
          <w:rFonts w:ascii="Calibri" w:hAnsi="Calibri"/>
          <w:sz w:val="24"/>
        </w:rPr>
        <w:t xml:space="preserve"> – 19</w:t>
      </w:r>
      <w:r w:rsidR="00A17E09">
        <w:rPr>
          <w:rFonts w:ascii="Calibri" w:hAnsi="Calibri"/>
          <w:sz w:val="24"/>
        </w:rPr>
        <w:t>99</w:t>
      </w:r>
      <w:r w:rsidR="00684335">
        <w:rPr>
          <w:rFonts w:ascii="Calibri" w:hAnsi="Calibri"/>
          <w:sz w:val="24"/>
        </w:rPr>
        <w:t xml:space="preserve">) were truncated at &gt;2420, in order to be reported in a manner consistent with </w:t>
      </w:r>
      <w:r w:rsidR="00A17E09">
        <w:rPr>
          <w:rFonts w:ascii="Calibri" w:hAnsi="Calibri"/>
          <w:sz w:val="24"/>
        </w:rPr>
        <w:t xml:space="preserve">more </w:t>
      </w:r>
      <w:r w:rsidR="00684335">
        <w:rPr>
          <w:rFonts w:ascii="Calibri" w:hAnsi="Calibri"/>
          <w:sz w:val="24"/>
        </w:rPr>
        <w:t xml:space="preserve">recent data analyzed by </w:t>
      </w:r>
      <w:r w:rsidR="002140D8" w:rsidRPr="008D0723">
        <w:rPr>
          <w:rFonts w:ascii="Calibri" w:hAnsi="Calibri"/>
          <w:sz w:val="24"/>
          <w:szCs w:val="24"/>
        </w:rPr>
        <w:t>Standard Method</w:t>
      </w:r>
      <w:r w:rsidR="002140D8">
        <w:rPr>
          <w:rFonts w:ascii="Calibri" w:hAnsi="Calibri"/>
          <w:sz w:val="24"/>
          <w:szCs w:val="24"/>
        </w:rPr>
        <w:t>s</w:t>
      </w:r>
      <w:r w:rsidR="002140D8" w:rsidRPr="008D0723">
        <w:rPr>
          <w:rFonts w:ascii="Calibri" w:hAnsi="Calibri"/>
          <w:sz w:val="24"/>
          <w:szCs w:val="24"/>
        </w:rPr>
        <w:t xml:space="preserve"> </w:t>
      </w:r>
      <w:r w:rsidR="002140D8" w:rsidRPr="00823935">
        <w:rPr>
          <w:rFonts w:ascii="Calibri" w:hAnsi="Calibri"/>
          <w:sz w:val="24"/>
          <w:szCs w:val="24"/>
        </w:rPr>
        <w:t>9223-B</w:t>
      </w:r>
      <w:r w:rsidR="002140D8">
        <w:rPr>
          <w:rFonts w:ascii="Calibri" w:hAnsi="Calibri"/>
          <w:sz w:val="24"/>
        </w:rPr>
        <w:t xml:space="preserve"> </w:t>
      </w:r>
      <w:r w:rsidR="00684335">
        <w:rPr>
          <w:rFonts w:ascii="Calibri" w:hAnsi="Calibri"/>
          <w:sz w:val="24"/>
        </w:rPr>
        <w:t>(</w:t>
      </w:r>
      <w:r w:rsidR="00A17E09">
        <w:rPr>
          <w:rFonts w:ascii="Calibri" w:hAnsi="Calibri"/>
          <w:sz w:val="24"/>
        </w:rPr>
        <w:t xml:space="preserve">2000 </w:t>
      </w:r>
      <w:r w:rsidR="00684335">
        <w:rPr>
          <w:rFonts w:ascii="Calibri" w:hAnsi="Calibri"/>
          <w:sz w:val="24"/>
        </w:rPr>
        <w:t xml:space="preserve">– 2015).  </w:t>
      </w:r>
    </w:p>
    <w:p w:rsidR="00AA4F30" w:rsidRDefault="00AA4F30" w:rsidP="00AA4F30">
      <w:pPr>
        <w:spacing w:after="0" w:line="240" w:lineRule="auto"/>
        <w:rPr>
          <w:rFonts w:cstheme="minorHAnsi"/>
          <w:sz w:val="24"/>
          <w:szCs w:val="24"/>
        </w:rPr>
      </w:pPr>
    </w:p>
    <w:p w:rsidR="00AA4F30" w:rsidRDefault="00AA4F30" w:rsidP="00AA4F30">
      <w:pPr>
        <w:pStyle w:val="Heading1"/>
      </w:pPr>
      <w:bookmarkStart w:id="15" w:name="_Toc497244922"/>
      <w:r>
        <w:t>4.0</w:t>
      </w:r>
      <w:r>
        <w:tab/>
        <w:t>Results and Discussion</w:t>
      </w:r>
      <w:bookmarkEnd w:id="15"/>
    </w:p>
    <w:p w:rsidR="00C651FA" w:rsidRDefault="00C651FA" w:rsidP="00AA4F30">
      <w:pPr>
        <w:spacing w:after="0" w:line="240" w:lineRule="auto"/>
        <w:rPr>
          <w:rFonts w:cstheme="minorHAnsi"/>
          <w:sz w:val="24"/>
          <w:szCs w:val="24"/>
        </w:rPr>
      </w:pPr>
    </w:p>
    <w:p w:rsidR="00C651FA" w:rsidRPr="000C0D0F" w:rsidRDefault="00C651FA" w:rsidP="000C0D0F">
      <w:pPr>
        <w:spacing w:line="276" w:lineRule="auto"/>
        <w:rPr>
          <w:sz w:val="24"/>
          <w:szCs w:val="24"/>
        </w:rPr>
      </w:pPr>
      <w:r w:rsidRPr="000C0D0F">
        <w:rPr>
          <w:rFonts w:cstheme="minorHAnsi"/>
          <w:sz w:val="24"/>
          <w:szCs w:val="24"/>
        </w:rPr>
        <w:t>Trend analysis r</w:t>
      </w:r>
      <w:r w:rsidR="000F6E6B" w:rsidRPr="000C0D0F">
        <w:rPr>
          <w:rFonts w:cstheme="minorHAnsi"/>
          <w:sz w:val="24"/>
          <w:szCs w:val="24"/>
        </w:rPr>
        <w:t xml:space="preserve">esults are presented below for each parameter, </w:t>
      </w:r>
      <w:r w:rsidR="004A5840">
        <w:rPr>
          <w:rFonts w:cstheme="minorHAnsi"/>
          <w:sz w:val="24"/>
          <w:szCs w:val="24"/>
        </w:rPr>
        <w:t xml:space="preserve">and summarized in </w:t>
      </w:r>
      <w:r w:rsidR="00AB3549">
        <w:rPr>
          <w:rFonts w:cstheme="minorHAnsi"/>
          <w:sz w:val="24"/>
          <w:szCs w:val="24"/>
        </w:rPr>
        <w:t xml:space="preserve">Appendix </w:t>
      </w:r>
      <w:r w:rsidR="00A121BC">
        <w:rPr>
          <w:rFonts w:cstheme="minorHAnsi"/>
          <w:sz w:val="24"/>
          <w:szCs w:val="24"/>
        </w:rPr>
        <w:t>A, Table A2</w:t>
      </w:r>
      <w:r w:rsidRPr="000C0D0F">
        <w:rPr>
          <w:rFonts w:cstheme="minorHAnsi"/>
          <w:sz w:val="24"/>
          <w:szCs w:val="24"/>
        </w:rPr>
        <w:t xml:space="preserve">.  Results reflect adjustment for flow, </w:t>
      </w:r>
      <w:r w:rsidR="00D42FA3">
        <w:rPr>
          <w:rFonts w:cstheme="minorHAnsi"/>
          <w:sz w:val="24"/>
          <w:szCs w:val="24"/>
        </w:rPr>
        <w:t>since</w:t>
      </w:r>
      <w:r w:rsidRPr="000C0D0F">
        <w:rPr>
          <w:rFonts w:cstheme="minorHAnsi"/>
          <w:sz w:val="24"/>
          <w:szCs w:val="24"/>
        </w:rPr>
        <w:t xml:space="preserve"> c</w:t>
      </w:r>
      <w:r w:rsidRPr="000C0D0F">
        <w:rPr>
          <w:sz w:val="24"/>
          <w:szCs w:val="24"/>
        </w:rPr>
        <w:t xml:space="preserve">orrecting for flow conditions on the sample date, and regressing the residuals (or flow-adjusted concentrations) on time, allows one to make inferences about factors other than </w:t>
      </w:r>
      <w:r w:rsidR="00FD5291">
        <w:rPr>
          <w:sz w:val="24"/>
          <w:szCs w:val="24"/>
        </w:rPr>
        <w:t>daily-to-seasonally-</w:t>
      </w:r>
      <w:r w:rsidRPr="000C0D0F">
        <w:rPr>
          <w:sz w:val="24"/>
          <w:szCs w:val="24"/>
        </w:rPr>
        <w:t>varying flow that may be influencing concentration trends over time, such as:</w:t>
      </w:r>
    </w:p>
    <w:p w:rsidR="00C651FA" w:rsidRPr="000C0D0F" w:rsidRDefault="00C651FA" w:rsidP="000C0D0F">
      <w:pPr>
        <w:pStyle w:val="ListParagraph"/>
        <w:numPr>
          <w:ilvl w:val="0"/>
          <w:numId w:val="9"/>
        </w:numPr>
        <w:spacing w:line="276" w:lineRule="auto"/>
        <w:ind w:left="1080"/>
        <w:rPr>
          <w:sz w:val="24"/>
          <w:szCs w:val="24"/>
        </w:rPr>
      </w:pPr>
      <w:r w:rsidRPr="000C0D0F">
        <w:rPr>
          <w:sz w:val="24"/>
          <w:szCs w:val="24"/>
        </w:rPr>
        <w:t>Fluctuating strength of contaminant sources (e.g., number of cows,  length of channel with direct livestock access), or</w:t>
      </w:r>
    </w:p>
    <w:p w:rsidR="00C651FA" w:rsidRPr="000C0D0F" w:rsidRDefault="00C651FA" w:rsidP="000C0D0F">
      <w:pPr>
        <w:pStyle w:val="ListParagraph"/>
        <w:numPr>
          <w:ilvl w:val="0"/>
          <w:numId w:val="9"/>
        </w:numPr>
        <w:spacing w:line="276" w:lineRule="auto"/>
        <w:ind w:left="1080"/>
        <w:rPr>
          <w:sz w:val="24"/>
          <w:szCs w:val="24"/>
        </w:rPr>
      </w:pPr>
      <w:r w:rsidRPr="000C0D0F">
        <w:rPr>
          <w:sz w:val="24"/>
          <w:szCs w:val="24"/>
        </w:rPr>
        <w:t>Changing influence of groundwater sources (e.g., failing septic systems)</w:t>
      </w:r>
      <w:r w:rsidR="00257D2A">
        <w:rPr>
          <w:sz w:val="24"/>
          <w:szCs w:val="24"/>
        </w:rPr>
        <w:t>, or</w:t>
      </w:r>
    </w:p>
    <w:p w:rsidR="00C651FA" w:rsidRPr="000C0D0F" w:rsidRDefault="000C0D0F" w:rsidP="000C0D0F">
      <w:pPr>
        <w:pStyle w:val="ListParagraph"/>
        <w:numPr>
          <w:ilvl w:val="0"/>
          <w:numId w:val="9"/>
        </w:numPr>
        <w:spacing w:line="276" w:lineRule="auto"/>
        <w:ind w:left="1080"/>
        <w:rPr>
          <w:sz w:val="24"/>
          <w:szCs w:val="24"/>
        </w:rPr>
      </w:pPr>
      <w:r w:rsidRPr="000C0D0F">
        <w:rPr>
          <w:sz w:val="24"/>
          <w:szCs w:val="24"/>
        </w:rPr>
        <w:lastRenderedPageBreak/>
        <w:t>Incremental c</w:t>
      </w:r>
      <w:r w:rsidR="00C651FA" w:rsidRPr="000C0D0F">
        <w:rPr>
          <w:sz w:val="24"/>
          <w:szCs w:val="24"/>
        </w:rPr>
        <w:t xml:space="preserve">hanges in aggregate land use </w:t>
      </w:r>
      <w:r w:rsidR="00257D2A">
        <w:rPr>
          <w:sz w:val="24"/>
          <w:szCs w:val="24"/>
        </w:rPr>
        <w:t>in the upstream catchment</w:t>
      </w:r>
      <w:r w:rsidR="00575ABF">
        <w:rPr>
          <w:sz w:val="24"/>
          <w:szCs w:val="24"/>
        </w:rPr>
        <w:t xml:space="preserve"> (e.g., gradual development of buffer vegetation, or staged implementation of BMPs)</w:t>
      </w:r>
      <w:r w:rsidR="00257D2A">
        <w:rPr>
          <w:sz w:val="24"/>
          <w:szCs w:val="24"/>
        </w:rPr>
        <w:t xml:space="preserve">.  </w:t>
      </w:r>
    </w:p>
    <w:p w:rsidR="00AB3549" w:rsidRDefault="00AB3549" w:rsidP="000C0D0F">
      <w:pPr>
        <w:spacing w:line="276" w:lineRule="auto"/>
        <w:rPr>
          <w:rFonts w:cstheme="minorHAnsi"/>
          <w:sz w:val="24"/>
          <w:szCs w:val="24"/>
        </w:rPr>
      </w:pPr>
      <w:r>
        <w:rPr>
          <w:rFonts w:cstheme="minorHAnsi"/>
          <w:sz w:val="24"/>
          <w:szCs w:val="24"/>
        </w:rPr>
        <w:t xml:space="preserve">When plotting </w:t>
      </w:r>
      <w:r>
        <w:rPr>
          <w:rFonts w:ascii="Calibri" w:hAnsi="Calibri"/>
          <w:sz w:val="24"/>
        </w:rPr>
        <w:t>log</w:t>
      </w:r>
      <w:r w:rsidRPr="00177F19">
        <w:rPr>
          <w:rFonts w:ascii="Calibri" w:hAnsi="Calibri"/>
          <w:sz w:val="24"/>
          <w:vertAlign w:val="subscript"/>
        </w:rPr>
        <w:t>10</w:t>
      </w:r>
      <w:r>
        <w:rPr>
          <w:rFonts w:ascii="Calibri" w:hAnsi="Calibri"/>
          <w:sz w:val="24"/>
        </w:rPr>
        <w:t xml:space="preserve"> transformed </w:t>
      </w:r>
      <w:r>
        <w:rPr>
          <w:rFonts w:cstheme="minorHAnsi"/>
          <w:sz w:val="24"/>
          <w:szCs w:val="24"/>
        </w:rPr>
        <w:t>concentration versus discharge data to facilitate flow adjustment, a linear model did not always provide the best fit – particularly where threshold responses were evident</w:t>
      </w:r>
      <w:r w:rsidR="004A5840">
        <w:rPr>
          <w:rFonts w:cstheme="minorHAnsi"/>
          <w:sz w:val="24"/>
          <w:szCs w:val="24"/>
        </w:rPr>
        <w:t xml:space="preserve"> (e.g., Figure </w:t>
      </w:r>
      <w:r w:rsidR="00D42FA3">
        <w:rPr>
          <w:rFonts w:cstheme="minorHAnsi"/>
          <w:sz w:val="24"/>
          <w:szCs w:val="24"/>
        </w:rPr>
        <w:t>4</w:t>
      </w:r>
      <w:r w:rsidR="004A5840">
        <w:rPr>
          <w:rFonts w:cstheme="minorHAnsi"/>
          <w:sz w:val="24"/>
          <w:szCs w:val="24"/>
        </w:rPr>
        <w:t>)</w:t>
      </w:r>
      <w:r>
        <w:rPr>
          <w:rFonts w:cstheme="minorHAnsi"/>
          <w:sz w:val="24"/>
          <w:szCs w:val="24"/>
        </w:rPr>
        <w:t xml:space="preserve">.  This provided further justification for application of nonparametric methods.  </w:t>
      </w:r>
    </w:p>
    <w:p w:rsidR="004A5840" w:rsidRDefault="004A5840" w:rsidP="004A5840">
      <w:pPr>
        <w:spacing w:line="276" w:lineRule="auto"/>
        <w:jc w:val="center"/>
        <w:rPr>
          <w:rFonts w:cstheme="minorHAnsi"/>
          <w:sz w:val="24"/>
          <w:szCs w:val="24"/>
        </w:rPr>
      </w:pPr>
      <w:r>
        <w:rPr>
          <w:rFonts w:cstheme="minorHAnsi"/>
          <w:noProof/>
          <w:sz w:val="24"/>
          <w:szCs w:val="24"/>
        </w:rPr>
        <w:drawing>
          <wp:inline distT="0" distB="0" distL="0" distR="0" wp14:anchorId="02C8C8FD" wp14:editId="6BD333C7">
            <wp:extent cx="3952875" cy="223503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0964" cy="2239611"/>
                    </a:xfrm>
                    <a:prstGeom prst="rect">
                      <a:avLst/>
                    </a:prstGeom>
                    <a:noFill/>
                  </pic:spPr>
                </pic:pic>
              </a:graphicData>
            </a:graphic>
          </wp:inline>
        </w:drawing>
      </w:r>
    </w:p>
    <w:p w:rsidR="004A5840" w:rsidRPr="00D42FA3" w:rsidRDefault="004A5840" w:rsidP="00E45A9A">
      <w:pPr>
        <w:spacing w:line="240" w:lineRule="auto"/>
        <w:ind w:left="720"/>
        <w:rPr>
          <w:rFonts w:cstheme="minorHAnsi"/>
          <w:i/>
          <w:sz w:val="24"/>
          <w:szCs w:val="24"/>
        </w:rPr>
      </w:pPr>
      <w:proofErr w:type="gramStart"/>
      <w:r w:rsidRPr="00DB5F16">
        <w:rPr>
          <w:rFonts w:cstheme="minorHAnsi"/>
          <w:i/>
          <w:sz w:val="24"/>
          <w:szCs w:val="24"/>
        </w:rPr>
        <w:t xml:space="preserve">Figure </w:t>
      </w:r>
      <w:r w:rsidR="00D42FA3" w:rsidRPr="00DB5F16">
        <w:rPr>
          <w:rFonts w:cstheme="minorHAnsi"/>
          <w:i/>
          <w:sz w:val="24"/>
          <w:szCs w:val="24"/>
        </w:rPr>
        <w:t>4</w:t>
      </w:r>
      <w:r w:rsidRPr="00DB5F16">
        <w:rPr>
          <w:rFonts w:cstheme="minorHAnsi"/>
          <w:i/>
          <w:sz w:val="24"/>
          <w:szCs w:val="24"/>
        </w:rPr>
        <w:t>.</w:t>
      </w:r>
      <w:proofErr w:type="gramEnd"/>
      <w:r w:rsidRPr="00DB5F16">
        <w:rPr>
          <w:rFonts w:cstheme="minorHAnsi"/>
          <w:i/>
          <w:sz w:val="24"/>
          <w:szCs w:val="24"/>
        </w:rPr>
        <w:t xml:space="preserve">  Comparison of simple linear regression fit (blue line) and LOWESS fit (black line) to plot of log10 TP vs log10 Discharge data for LCR14 over </w:t>
      </w:r>
      <w:r w:rsidR="00A17E09" w:rsidRPr="00DB5F16">
        <w:rPr>
          <w:rFonts w:cstheme="minorHAnsi"/>
          <w:i/>
          <w:sz w:val="24"/>
          <w:szCs w:val="24"/>
        </w:rPr>
        <w:t xml:space="preserve">the </w:t>
      </w:r>
      <w:r w:rsidRPr="00DB5F16">
        <w:rPr>
          <w:rFonts w:cstheme="minorHAnsi"/>
          <w:i/>
          <w:sz w:val="24"/>
          <w:szCs w:val="24"/>
        </w:rPr>
        <w:t>available record from 1997 -2015 (n = 111).   Slope of linear regression line (0.313) is significantly different from zero (</w:t>
      </w:r>
      <w:r w:rsidR="00A17E09" w:rsidRPr="00DB5F16">
        <w:rPr>
          <w:rFonts w:cstheme="minorHAnsi"/>
          <w:i/>
          <w:sz w:val="24"/>
          <w:szCs w:val="24"/>
        </w:rPr>
        <w:t>r</w:t>
      </w:r>
      <w:r w:rsidRPr="00DB5F16">
        <w:rPr>
          <w:rFonts w:cstheme="minorHAnsi"/>
          <w:i/>
          <w:sz w:val="24"/>
          <w:szCs w:val="24"/>
          <w:vertAlign w:val="superscript"/>
        </w:rPr>
        <w:t>2</w:t>
      </w:r>
      <w:r w:rsidRPr="00DB5F16">
        <w:rPr>
          <w:rFonts w:cstheme="minorHAnsi"/>
          <w:i/>
          <w:sz w:val="24"/>
          <w:szCs w:val="24"/>
        </w:rPr>
        <w:t xml:space="preserve"> = 0.17, p &lt; 0.05); </w:t>
      </w:r>
      <w:r w:rsidR="00A17E09" w:rsidRPr="00DB5F16">
        <w:rPr>
          <w:rFonts w:cstheme="minorHAnsi"/>
          <w:i/>
          <w:sz w:val="24"/>
          <w:szCs w:val="24"/>
        </w:rPr>
        <w:t xml:space="preserve">however, </w:t>
      </w:r>
      <w:r w:rsidRPr="00DB5F16">
        <w:rPr>
          <w:rFonts w:cstheme="minorHAnsi"/>
          <w:i/>
          <w:sz w:val="24"/>
          <w:szCs w:val="24"/>
        </w:rPr>
        <w:t>residuals are not nor</w:t>
      </w:r>
      <w:r w:rsidR="00A17E09" w:rsidRPr="00DB5F16">
        <w:rPr>
          <w:rFonts w:cstheme="minorHAnsi"/>
          <w:i/>
          <w:sz w:val="24"/>
          <w:szCs w:val="24"/>
        </w:rPr>
        <w:t xml:space="preserve">mally distributed (p &lt; 0.05).  </w:t>
      </w:r>
      <w:r w:rsidRPr="00DB5F16">
        <w:rPr>
          <w:rFonts w:cstheme="minorHAnsi"/>
          <w:i/>
          <w:sz w:val="24"/>
          <w:szCs w:val="24"/>
        </w:rPr>
        <w:t xml:space="preserve">LOWESS line uses smoothing factor = 0.8.  </w:t>
      </w:r>
      <w:r w:rsidR="00A17E09" w:rsidRPr="00D42FA3">
        <w:rPr>
          <w:rFonts w:cstheme="minorHAnsi"/>
          <w:i/>
          <w:sz w:val="24"/>
          <w:szCs w:val="24"/>
        </w:rPr>
        <w:br/>
      </w:r>
    </w:p>
    <w:p w:rsidR="00A059D3" w:rsidRDefault="00A059D3" w:rsidP="00A059D3">
      <w:pPr>
        <w:pStyle w:val="Heading2"/>
      </w:pPr>
      <w:bookmarkStart w:id="16" w:name="_Toc497244923"/>
      <w:r>
        <w:t>4.1</w:t>
      </w:r>
      <w:r>
        <w:tab/>
        <w:t>Trends in Discharge</w:t>
      </w:r>
      <w:bookmarkEnd w:id="16"/>
    </w:p>
    <w:p w:rsidR="00A059D3" w:rsidRPr="00ED6A2C" w:rsidRDefault="00A059D3" w:rsidP="00D42FA3">
      <w:pPr>
        <w:spacing w:after="0" w:line="276" w:lineRule="auto"/>
        <w:rPr>
          <w:rFonts w:cstheme="minorHAnsi"/>
          <w:szCs w:val="24"/>
        </w:rPr>
      </w:pPr>
      <w:r>
        <w:rPr>
          <w:rFonts w:cstheme="minorHAnsi"/>
          <w:sz w:val="24"/>
          <w:szCs w:val="24"/>
        </w:rPr>
        <w:t xml:space="preserve">Mann-Kendall analysis confirmed a significant positive trend in daily mean flows over time for </w:t>
      </w:r>
      <w:r>
        <w:rPr>
          <w:rFonts w:cs="Tahoma"/>
          <w:i/>
          <w:sz w:val="24"/>
          <w:szCs w:val="24"/>
        </w:rPr>
        <w:t>E. coli</w:t>
      </w:r>
      <w:r w:rsidRPr="001C4FAC">
        <w:rPr>
          <w:rFonts w:cs="Tahoma"/>
          <w:sz w:val="24"/>
          <w:szCs w:val="24"/>
        </w:rPr>
        <w:t xml:space="preserve"> </w:t>
      </w:r>
      <w:r>
        <w:rPr>
          <w:rFonts w:cstheme="minorHAnsi"/>
          <w:sz w:val="24"/>
          <w:szCs w:val="24"/>
        </w:rPr>
        <w:t xml:space="preserve">(years 1992 through 2015) and for TP (years 1997 – 2015).   A significant negative </w:t>
      </w:r>
      <w:proofErr w:type="gramStart"/>
      <w:r>
        <w:rPr>
          <w:rFonts w:cstheme="minorHAnsi"/>
          <w:sz w:val="24"/>
          <w:szCs w:val="24"/>
        </w:rPr>
        <w:t>trend</w:t>
      </w:r>
      <w:proofErr w:type="gramEnd"/>
      <w:r>
        <w:rPr>
          <w:rFonts w:cstheme="minorHAnsi"/>
          <w:sz w:val="24"/>
          <w:szCs w:val="24"/>
        </w:rPr>
        <w:t xml:space="preserve"> in daily mean flows is evident for the most recent decade (2006 – 2015) during which Turbidity has been sampled (Table </w:t>
      </w:r>
      <w:r w:rsidR="00D42FA3">
        <w:rPr>
          <w:rFonts w:cstheme="minorHAnsi"/>
          <w:sz w:val="24"/>
          <w:szCs w:val="24"/>
        </w:rPr>
        <w:t>2</w:t>
      </w:r>
      <w:r>
        <w:rPr>
          <w:rFonts w:cstheme="minorHAnsi"/>
          <w:sz w:val="24"/>
          <w:szCs w:val="24"/>
        </w:rPr>
        <w:t>).</w:t>
      </w:r>
      <w:r>
        <w:rPr>
          <w:rFonts w:cstheme="minorHAnsi"/>
          <w:sz w:val="24"/>
          <w:szCs w:val="24"/>
        </w:rPr>
        <w:br/>
      </w:r>
    </w:p>
    <w:p w:rsidR="00A059D3" w:rsidRDefault="00A059D3" w:rsidP="00D42FA3">
      <w:pPr>
        <w:spacing w:after="0" w:line="276" w:lineRule="auto"/>
        <w:rPr>
          <w:rFonts w:cstheme="minorHAnsi"/>
          <w:sz w:val="24"/>
          <w:szCs w:val="24"/>
        </w:rPr>
      </w:pPr>
      <w:r>
        <w:rPr>
          <w:rFonts w:cstheme="minorHAnsi"/>
          <w:sz w:val="24"/>
          <w:szCs w:val="24"/>
        </w:rPr>
        <w:t xml:space="preserve">Yearly average trends (upward) for the 29-year and 19-year records of </w:t>
      </w:r>
      <w:r>
        <w:rPr>
          <w:rFonts w:cs="Tahoma"/>
          <w:i/>
          <w:sz w:val="24"/>
          <w:szCs w:val="24"/>
        </w:rPr>
        <w:t>E. coli</w:t>
      </w:r>
      <w:r w:rsidRPr="001C4FAC">
        <w:rPr>
          <w:rFonts w:cs="Tahoma"/>
          <w:sz w:val="24"/>
          <w:szCs w:val="24"/>
        </w:rPr>
        <w:t xml:space="preserve"> </w:t>
      </w:r>
      <w:r>
        <w:rPr>
          <w:rFonts w:cstheme="minorHAnsi"/>
          <w:sz w:val="24"/>
          <w:szCs w:val="24"/>
        </w:rPr>
        <w:t xml:space="preserve">and TP concentration data are relatively minor, representing less than 1% of the </w:t>
      </w:r>
      <w:r w:rsidRPr="00E17411">
        <w:rPr>
          <w:rFonts w:cstheme="minorHAnsi"/>
          <w:sz w:val="24"/>
          <w:szCs w:val="24"/>
        </w:rPr>
        <w:t>annual mean of daily mean flows recorded for Lewis Creek for water years 1990 through 201</w:t>
      </w:r>
      <w:r>
        <w:rPr>
          <w:rFonts w:cstheme="minorHAnsi"/>
          <w:sz w:val="24"/>
          <w:szCs w:val="24"/>
        </w:rPr>
        <w:t xml:space="preserve">5 (i.e., 108.7 </w:t>
      </w:r>
      <w:proofErr w:type="spellStart"/>
      <w:r>
        <w:rPr>
          <w:rFonts w:cstheme="minorHAnsi"/>
          <w:sz w:val="24"/>
          <w:szCs w:val="24"/>
        </w:rPr>
        <w:t>cfs</w:t>
      </w:r>
      <w:proofErr w:type="spellEnd"/>
      <w:r>
        <w:rPr>
          <w:rFonts w:cstheme="minorHAnsi"/>
          <w:sz w:val="24"/>
          <w:szCs w:val="24"/>
        </w:rPr>
        <w:t xml:space="preserve">; USGS, 2016).  A somewhat more substantial trend (downward) in DMF is evident for the most recent decade, wherein flows are decreasing on average by 3.2 </w:t>
      </w:r>
      <w:proofErr w:type="spellStart"/>
      <w:r>
        <w:rPr>
          <w:rFonts w:cstheme="minorHAnsi"/>
          <w:sz w:val="24"/>
          <w:szCs w:val="24"/>
        </w:rPr>
        <w:t>cfs</w:t>
      </w:r>
      <w:proofErr w:type="spellEnd"/>
      <w:r>
        <w:rPr>
          <w:rFonts w:cstheme="minorHAnsi"/>
          <w:sz w:val="24"/>
          <w:szCs w:val="24"/>
        </w:rPr>
        <w:t xml:space="preserve"> per year.  However, this length of record (10 </w:t>
      </w:r>
      <w:proofErr w:type="spellStart"/>
      <w:r>
        <w:rPr>
          <w:rFonts w:cstheme="minorHAnsi"/>
          <w:sz w:val="24"/>
          <w:szCs w:val="24"/>
        </w:rPr>
        <w:t>yrs</w:t>
      </w:r>
      <w:proofErr w:type="spellEnd"/>
      <w:r>
        <w:rPr>
          <w:rFonts w:cstheme="minorHAnsi"/>
          <w:sz w:val="24"/>
          <w:szCs w:val="24"/>
        </w:rPr>
        <w:t xml:space="preserve">) may be too short to reflect </w:t>
      </w:r>
      <w:proofErr w:type="spellStart"/>
      <w:r>
        <w:rPr>
          <w:rFonts w:cstheme="minorHAnsi"/>
          <w:sz w:val="24"/>
          <w:szCs w:val="24"/>
        </w:rPr>
        <w:t>longterm</w:t>
      </w:r>
      <w:proofErr w:type="spellEnd"/>
      <w:r>
        <w:rPr>
          <w:rFonts w:cstheme="minorHAnsi"/>
          <w:sz w:val="24"/>
          <w:szCs w:val="24"/>
        </w:rPr>
        <w:t xml:space="preserve"> changes, and could instead reflect serial correlation of DMF values.  A separate test of the full DMF record for Lewis </w:t>
      </w:r>
      <w:r w:rsidR="00A17E09">
        <w:rPr>
          <w:rFonts w:cstheme="minorHAnsi"/>
          <w:sz w:val="24"/>
          <w:szCs w:val="24"/>
        </w:rPr>
        <w:t xml:space="preserve">Creek </w:t>
      </w:r>
      <w:r>
        <w:rPr>
          <w:rFonts w:cstheme="minorHAnsi"/>
          <w:sz w:val="24"/>
          <w:szCs w:val="24"/>
        </w:rPr>
        <w:t xml:space="preserve">revealed that values are </w:t>
      </w:r>
      <w:proofErr w:type="spellStart"/>
      <w:r>
        <w:rPr>
          <w:rFonts w:cstheme="minorHAnsi"/>
          <w:sz w:val="24"/>
          <w:szCs w:val="24"/>
        </w:rPr>
        <w:t>autocorrelated</w:t>
      </w:r>
      <w:proofErr w:type="spellEnd"/>
      <w:r>
        <w:rPr>
          <w:rFonts w:cstheme="minorHAnsi"/>
          <w:sz w:val="24"/>
          <w:szCs w:val="24"/>
        </w:rPr>
        <w:t xml:space="preserve"> out to about 60 days, or two months.  </w:t>
      </w:r>
    </w:p>
    <w:p w:rsidR="00A059D3" w:rsidRDefault="00A059D3" w:rsidP="00A059D3">
      <w:pPr>
        <w:spacing w:after="0"/>
        <w:jc w:val="center"/>
        <w:rPr>
          <w:rFonts w:cstheme="minorHAnsi"/>
          <w:sz w:val="24"/>
          <w:szCs w:val="24"/>
        </w:rPr>
      </w:pPr>
      <w:proofErr w:type="gramStart"/>
      <w:r>
        <w:rPr>
          <w:rFonts w:cstheme="minorHAnsi"/>
          <w:sz w:val="24"/>
          <w:szCs w:val="24"/>
        </w:rPr>
        <w:lastRenderedPageBreak/>
        <w:t xml:space="preserve">Table </w:t>
      </w:r>
      <w:r w:rsidR="00A121BC">
        <w:rPr>
          <w:rFonts w:cstheme="minorHAnsi"/>
          <w:sz w:val="24"/>
          <w:szCs w:val="24"/>
        </w:rPr>
        <w:t>2</w:t>
      </w:r>
      <w:r w:rsidR="00A17E09">
        <w:rPr>
          <w:rFonts w:cstheme="minorHAnsi"/>
          <w:sz w:val="24"/>
          <w:szCs w:val="24"/>
        </w:rPr>
        <w:t>.</w:t>
      </w:r>
      <w:proofErr w:type="gramEnd"/>
      <w:r>
        <w:rPr>
          <w:rFonts w:cstheme="minorHAnsi"/>
          <w:sz w:val="24"/>
          <w:szCs w:val="24"/>
        </w:rPr>
        <w:t xml:space="preserve">  Trend Analysis Results for Daily Mean Flows, Lewis Creek at North </w:t>
      </w:r>
      <w:proofErr w:type="spellStart"/>
      <w:r>
        <w:rPr>
          <w:rFonts w:cstheme="minorHAnsi"/>
          <w:sz w:val="24"/>
          <w:szCs w:val="24"/>
        </w:rPr>
        <w:t>Ferrisburgh</w:t>
      </w:r>
      <w:proofErr w:type="spellEnd"/>
    </w:p>
    <w:p w:rsidR="00A059D3" w:rsidRPr="00E17411" w:rsidRDefault="00A059D3" w:rsidP="00A059D3">
      <w:pPr>
        <w:spacing w:after="0"/>
        <w:jc w:val="center"/>
        <w:rPr>
          <w:rFonts w:cstheme="minorHAnsi"/>
          <w:sz w:val="24"/>
          <w:szCs w:val="24"/>
        </w:rPr>
      </w:pPr>
      <w:r w:rsidRPr="002863F5">
        <w:rPr>
          <w:noProof/>
        </w:rPr>
        <w:drawing>
          <wp:inline distT="0" distB="0" distL="0" distR="0" wp14:anchorId="20763708" wp14:editId="722A014C">
            <wp:extent cx="4847388" cy="1600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7388" cy="1600200"/>
                    </a:xfrm>
                    <a:prstGeom prst="rect">
                      <a:avLst/>
                    </a:prstGeom>
                    <a:noFill/>
                    <a:ln>
                      <a:noFill/>
                    </a:ln>
                  </pic:spPr>
                </pic:pic>
              </a:graphicData>
            </a:graphic>
          </wp:inline>
        </w:drawing>
      </w:r>
    </w:p>
    <w:p w:rsidR="00AA4F30" w:rsidRDefault="007F62CD" w:rsidP="00D42FA3">
      <w:pPr>
        <w:spacing w:line="276" w:lineRule="auto"/>
        <w:rPr>
          <w:rFonts w:cstheme="minorHAnsi"/>
          <w:sz w:val="24"/>
          <w:szCs w:val="24"/>
        </w:rPr>
      </w:pPr>
      <w:r>
        <w:rPr>
          <w:rFonts w:cstheme="minorHAnsi"/>
          <w:sz w:val="24"/>
          <w:szCs w:val="24"/>
        </w:rPr>
        <w:br/>
      </w:r>
      <w:r w:rsidR="00A17E09">
        <w:rPr>
          <w:rFonts w:cstheme="minorHAnsi"/>
          <w:sz w:val="24"/>
          <w:szCs w:val="24"/>
        </w:rPr>
        <w:t>The DMF records for each monitoring period were also examined for trends in the number of days per year where flow exceeded the 95</w:t>
      </w:r>
      <w:r w:rsidR="00A17E09" w:rsidRPr="00A17E09">
        <w:rPr>
          <w:rFonts w:cstheme="minorHAnsi"/>
          <w:sz w:val="24"/>
          <w:szCs w:val="24"/>
          <w:vertAlign w:val="superscript"/>
        </w:rPr>
        <w:t>th</w:t>
      </w:r>
      <w:r w:rsidR="00A17E09">
        <w:rPr>
          <w:rFonts w:cstheme="minorHAnsi"/>
          <w:sz w:val="24"/>
          <w:szCs w:val="24"/>
        </w:rPr>
        <w:t>, 90</w:t>
      </w:r>
      <w:r w:rsidR="00A17E09" w:rsidRPr="00A17E09">
        <w:rPr>
          <w:rFonts w:cstheme="minorHAnsi"/>
          <w:sz w:val="24"/>
          <w:szCs w:val="24"/>
          <w:vertAlign w:val="superscript"/>
        </w:rPr>
        <w:t>th</w:t>
      </w:r>
      <w:r w:rsidR="00A17E09">
        <w:rPr>
          <w:rFonts w:cstheme="minorHAnsi"/>
          <w:sz w:val="24"/>
          <w:szCs w:val="24"/>
        </w:rPr>
        <w:t>, 75</w:t>
      </w:r>
      <w:r w:rsidR="00A17E09" w:rsidRPr="00A17E09">
        <w:rPr>
          <w:rFonts w:cstheme="minorHAnsi"/>
          <w:sz w:val="24"/>
          <w:szCs w:val="24"/>
          <w:vertAlign w:val="superscript"/>
        </w:rPr>
        <w:t>th</w:t>
      </w:r>
      <w:r w:rsidR="00A17E09">
        <w:rPr>
          <w:rFonts w:cstheme="minorHAnsi"/>
          <w:sz w:val="24"/>
          <w:szCs w:val="24"/>
        </w:rPr>
        <w:t>, and 50</w:t>
      </w:r>
      <w:r w:rsidR="00A17E09" w:rsidRPr="00A17E09">
        <w:rPr>
          <w:rFonts w:cstheme="minorHAnsi"/>
          <w:sz w:val="24"/>
          <w:szCs w:val="24"/>
          <w:vertAlign w:val="superscript"/>
        </w:rPr>
        <w:t>th</w:t>
      </w:r>
      <w:r w:rsidR="00386665">
        <w:rPr>
          <w:rFonts w:cstheme="minorHAnsi"/>
          <w:sz w:val="24"/>
          <w:szCs w:val="24"/>
        </w:rPr>
        <w:t xml:space="preserve"> percentiles.  A significant positive trend in days per year exceeding</w:t>
      </w:r>
      <w:r>
        <w:rPr>
          <w:rFonts w:cstheme="minorHAnsi"/>
          <w:sz w:val="24"/>
          <w:szCs w:val="24"/>
        </w:rPr>
        <w:t xml:space="preserve"> both</w:t>
      </w:r>
      <w:r w:rsidR="00386665">
        <w:rPr>
          <w:rFonts w:cstheme="minorHAnsi"/>
          <w:sz w:val="24"/>
          <w:szCs w:val="24"/>
        </w:rPr>
        <w:t xml:space="preserve"> the 75</w:t>
      </w:r>
      <w:r w:rsidR="00386665" w:rsidRPr="00386665">
        <w:rPr>
          <w:rFonts w:cstheme="minorHAnsi"/>
          <w:sz w:val="24"/>
          <w:szCs w:val="24"/>
          <w:vertAlign w:val="superscript"/>
        </w:rPr>
        <w:t>th</w:t>
      </w:r>
      <w:r>
        <w:rPr>
          <w:rFonts w:cstheme="minorHAnsi"/>
          <w:sz w:val="24"/>
          <w:szCs w:val="24"/>
          <w:vertAlign w:val="superscript"/>
        </w:rPr>
        <w:t xml:space="preserve"> </w:t>
      </w:r>
      <w:r w:rsidRPr="007F62CD">
        <w:rPr>
          <w:rFonts w:cstheme="minorHAnsi"/>
          <w:sz w:val="24"/>
          <w:szCs w:val="24"/>
        </w:rPr>
        <w:t>and 50</w:t>
      </w:r>
      <w:r>
        <w:rPr>
          <w:rFonts w:cstheme="minorHAnsi"/>
          <w:sz w:val="24"/>
          <w:szCs w:val="24"/>
          <w:vertAlign w:val="superscript"/>
        </w:rPr>
        <w:t>th</w:t>
      </w:r>
      <w:r w:rsidR="00386665">
        <w:rPr>
          <w:rFonts w:cstheme="minorHAnsi"/>
          <w:sz w:val="24"/>
          <w:szCs w:val="24"/>
        </w:rPr>
        <w:t xml:space="preserve"> percentile</w:t>
      </w:r>
      <w:r>
        <w:rPr>
          <w:rFonts w:cstheme="minorHAnsi"/>
          <w:sz w:val="24"/>
          <w:szCs w:val="24"/>
        </w:rPr>
        <w:t>s</w:t>
      </w:r>
      <w:r w:rsidR="00386665">
        <w:rPr>
          <w:rFonts w:cstheme="minorHAnsi"/>
          <w:sz w:val="24"/>
          <w:szCs w:val="24"/>
        </w:rPr>
        <w:t xml:space="preserve"> (</w:t>
      </w:r>
      <w:r w:rsidRPr="007F62CD">
        <w:rPr>
          <w:rFonts w:cs="Arial"/>
          <w:sz w:val="24"/>
          <w:szCs w:val="24"/>
        </w:rPr>
        <w:t>α</w:t>
      </w:r>
      <w:r w:rsidRPr="007F62CD">
        <w:rPr>
          <w:rFonts w:cstheme="minorHAnsi"/>
          <w:sz w:val="24"/>
          <w:szCs w:val="24"/>
        </w:rPr>
        <w:t xml:space="preserve"> </w:t>
      </w:r>
      <w:r w:rsidR="00386665">
        <w:rPr>
          <w:rFonts w:cstheme="minorHAnsi"/>
          <w:sz w:val="24"/>
          <w:szCs w:val="24"/>
        </w:rPr>
        <w:t>= 0.</w:t>
      </w:r>
      <w:r>
        <w:rPr>
          <w:rFonts w:cstheme="minorHAnsi"/>
          <w:sz w:val="24"/>
          <w:szCs w:val="24"/>
        </w:rPr>
        <w:t>10</w:t>
      </w:r>
      <w:r w:rsidR="00386665">
        <w:rPr>
          <w:rFonts w:cstheme="minorHAnsi"/>
          <w:sz w:val="24"/>
          <w:szCs w:val="24"/>
        </w:rPr>
        <w:t>) was noted for the 24-year period from 1992 through 2015</w:t>
      </w:r>
      <w:r>
        <w:rPr>
          <w:rFonts w:cstheme="minorHAnsi"/>
          <w:sz w:val="24"/>
          <w:szCs w:val="24"/>
        </w:rPr>
        <w:t xml:space="preserve"> (Table 6). </w:t>
      </w:r>
      <w:r w:rsidR="00386665">
        <w:rPr>
          <w:rFonts w:cstheme="minorHAnsi"/>
          <w:sz w:val="24"/>
          <w:szCs w:val="24"/>
        </w:rPr>
        <w:t xml:space="preserve"> </w:t>
      </w:r>
      <w:r w:rsidR="00A17E09">
        <w:rPr>
          <w:rFonts w:cstheme="minorHAnsi"/>
          <w:sz w:val="24"/>
          <w:szCs w:val="24"/>
        </w:rPr>
        <w:t xml:space="preserve">This finding is consistent with regional </w:t>
      </w:r>
      <w:r>
        <w:rPr>
          <w:rFonts w:cstheme="minorHAnsi"/>
          <w:sz w:val="24"/>
          <w:szCs w:val="24"/>
        </w:rPr>
        <w:t>patterns</w:t>
      </w:r>
      <w:r w:rsidR="00A17E09">
        <w:rPr>
          <w:rFonts w:cstheme="minorHAnsi"/>
          <w:sz w:val="24"/>
          <w:szCs w:val="24"/>
        </w:rPr>
        <w:t xml:space="preserve"> of increased magnitude, frequency and persistence of precipitation over recent decades (</w:t>
      </w:r>
      <w:proofErr w:type="spellStart"/>
      <w:r w:rsidR="00A17E09">
        <w:rPr>
          <w:rFonts w:cstheme="minorHAnsi"/>
          <w:sz w:val="24"/>
          <w:szCs w:val="24"/>
        </w:rPr>
        <w:t>Guilbert</w:t>
      </w:r>
      <w:proofErr w:type="spellEnd"/>
      <w:r w:rsidR="00A17E09">
        <w:rPr>
          <w:rFonts w:cstheme="minorHAnsi"/>
          <w:sz w:val="24"/>
          <w:szCs w:val="24"/>
        </w:rPr>
        <w:t>,</w:t>
      </w:r>
      <w:r w:rsidR="00386665">
        <w:rPr>
          <w:rFonts w:cstheme="minorHAnsi"/>
          <w:sz w:val="24"/>
          <w:szCs w:val="24"/>
        </w:rPr>
        <w:t xml:space="preserve"> </w:t>
      </w:r>
      <w:r w:rsidR="00386665" w:rsidRPr="00386665">
        <w:rPr>
          <w:rFonts w:cstheme="minorHAnsi"/>
          <w:i/>
          <w:sz w:val="24"/>
          <w:szCs w:val="24"/>
        </w:rPr>
        <w:t>et al</w:t>
      </w:r>
      <w:r w:rsidR="00386665">
        <w:rPr>
          <w:rFonts w:cstheme="minorHAnsi"/>
          <w:sz w:val="24"/>
          <w:szCs w:val="24"/>
        </w:rPr>
        <w:t xml:space="preserve">., 2015; </w:t>
      </w:r>
      <w:proofErr w:type="spellStart"/>
      <w:r w:rsidR="00386665">
        <w:rPr>
          <w:rFonts w:cstheme="minorHAnsi"/>
          <w:sz w:val="24"/>
          <w:szCs w:val="24"/>
        </w:rPr>
        <w:t>Guilbert</w:t>
      </w:r>
      <w:proofErr w:type="spellEnd"/>
      <w:r w:rsidR="00386665">
        <w:rPr>
          <w:rFonts w:cstheme="minorHAnsi"/>
          <w:sz w:val="24"/>
          <w:szCs w:val="24"/>
        </w:rPr>
        <w:t xml:space="preserve"> </w:t>
      </w:r>
      <w:r w:rsidR="00386665" w:rsidRPr="00386665">
        <w:rPr>
          <w:rFonts w:cstheme="minorHAnsi"/>
          <w:i/>
          <w:sz w:val="24"/>
          <w:szCs w:val="24"/>
        </w:rPr>
        <w:t>et al</w:t>
      </w:r>
      <w:r w:rsidR="00386665">
        <w:rPr>
          <w:rFonts w:cstheme="minorHAnsi"/>
          <w:sz w:val="24"/>
          <w:szCs w:val="24"/>
        </w:rPr>
        <w:t>., 2014).</w:t>
      </w:r>
      <w:r w:rsidR="00A91202">
        <w:rPr>
          <w:rFonts w:cstheme="minorHAnsi"/>
          <w:sz w:val="24"/>
          <w:szCs w:val="24"/>
        </w:rPr>
        <w:t xml:space="preserve">  </w:t>
      </w:r>
    </w:p>
    <w:p w:rsidR="001B230D" w:rsidRDefault="001B230D" w:rsidP="00D42FA3">
      <w:pPr>
        <w:spacing w:line="276" w:lineRule="auto"/>
        <w:rPr>
          <w:rFonts w:cstheme="minorHAnsi"/>
          <w:sz w:val="24"/>
          <w:szCs w:val="24"/>
        </w:rPr>
      </w:pPr>
    </w:p>
    <w:p w:rsidR="00AA4F30" w:rsidRDefault="00AA4F30" w:rsidP="00AA4F30">
      <w:pPr>
        <w:pStyle w:val="Heading2"/>
      </w:pPr>
      <w:bookmarkStart w:id="17" w:name="_Toc497244924"/>
      <w:r>
        <w:t>4.</w:t>
      </w:r>
      <w:r w:rsidR="00F657D8">
        <w:t>2</w:t>
      </w:r>
      <w:r>
        <w:tab/>
      </w:r>
      <w:r w:rsidR="008514AD">
        <w:t xml:space="preserve">Trends </w:t>
      </w:r>
      <w:r w:rsidR="007F62CD">
        <w:t>in Concentration</w:t>
      </w:r>
      <w:bookmarkEnd w:id="17"/>
      <w:r w:rsidR="007F62CD">
        <w:t xml:space="preserve"> </w:t>
      </w:r>
    </w:p>
    <w:p w:rsidR="00E45A9A" w:rsidRDefault="008514AD" w:rsidP="001B230D">
      <w:pPr>
        <w:spacing w:line="276" w:lineRule="auto"/>
        <w:rPr>
          <w:rFonts w:cstheme="minorHAnsi"/>
          <w:sz w:val="24"/>
          <w:szCs w:val="24"/>
        </w:rPr>
      </w:pPr>
      <w:r>
        <w:rPr>
          <w:rFonts w:cstheme="minorHAnsi"/>
          <w:sz w:val="24"/>
          <w:szCs w:val="24"/>
        </w:rPr>
        <w:t>Table</w:t>
      </w:r>
      <w:r w:rsidR="002A1534">
        <w:rPr>
          <w:rFonts w:cstheme="minorHAnsi"/>
          <w:sz w:val="24"/>
          <w:szCs w:val="24"/>
        </w:rPr>
        <w:t xml:space="preserve"> </w:t>
      </w:r>
      <w:r w:rsidR="00D42FA3">
        <w:rPr>
          <w:rFonts w:cstheme="minorHAnsi"/>
          <w:sz w:val="24"/>
          <w:szCs w:val="24"/>
        </w:rPr>
        <w:t>3</w:t>
      </w:r>
      <w:r w:rsidR="002A1534">
        <w:rPr>
          <w:rFonts w:cstheme="minorHAnsi"/>
          <w:sz w:val="24"/>
          <w:szCs w:val="24"/>
        </w:rPr>
        <w:t xml:space="preserve"> presents trend data for flow-adjusted </w:t>
      </w:r>
      <w:r w:rsidR="00AB527E">
        <w:rPr>
          <w:rFonts w:cs="Tahoma"/>
          <w:i/>
          <w:sz w:val="24"/>
          <w:szCs w:val="24"/>
        </w:rPr>
        <w:t>E. coli</w:t>
      </w:r>
      <w:r>
        <w:rPr>
          <w:rFonts w:cstheme="minorHAnsi"/>
          <w:sz w:val="24"/>
          <w:szCs w:val="24"/>
        </w:rPr>
        <w:t>, TP, and Turbidity</w:t>
      </w:r>
      <w:r w:rsidR="002A1534">
        <w:rPr>
          <w:rFonts w:cstheme="minorHAnsi"/>
          <w:sz w:val="24"/>
          <w:szCs w:val="24"/>
        </w:rPr>
        <w:t xml:space="preserve"> concentrations over the length of available record for Lewis </w:t>
      </w:r>
      <w:r>
        <w:rPr>
          <w:rFonts w:cstheme="minorHAnsi"/>
          <w:sz w:val="24"/>
          <w:szCs w:val="24"/>
        </w:rPr>
        <w:t xml:space="preserve">Creek sentinel stations LCR3.7 </w:t>
      </w:r>
      <w:r w:rsidR="002A1534">
        <w:rPr>
          <w:rFonts w:cstheme="minorHAnsi"/>
          <w:sz w:val="24"/>
          <w:szCs w:val="24"/>
        </w:rPr>
        <w:t>and LCR1</w:t>
      </w:r>
      <w:r>
        <w:rPr>
          <w:rFonts w:cstheme="minorHAnsi"/>
          <w:sz w:val="24"/>
          <w:szCs w:val="24"/>
        </w:rPr>
        <w:t>4</w:t>
      </w:r>
      <w:r w:rsidR="002A1534">
        <w:rPr>
          <w:rFonts w:cstheme="minorHAnsi"/>
          <w:sz w:val="24"/>
          <w:szCs w:val="24"/>
        </w:rPr>
        <w:t xml:space="preserve">.  </w:t>
      </w:r>
      <w:r>
        <w:rPr>
          <w:rFonts w:cstheme="minorHAnsi"/>
          <w:sz w:val="24"/>
          <w:szCs w:val="24"/>
        </w:rPr>
        <w:t>Record lengths varied for the constituents (</w:t>
      </w:r>
      <w:r w:rsidR="00AB527E">
        <w:rPr>
          <w:rFonts w:cs="Tahoma"/>
          <w:i/>
          <w:sz w:val="24"/>
          <w:szCs w:val="24"/>
        </w:rPr>
        <w:t>E. coli</w:t>
      </w:r>
      <w:r>
        <w:rPr>
          <w:rFonts w:cstheme="minorHAnsi"/>
          <w:sz w:val="24"/>
          <w:szCs w:val="24"/>
        </w:rPr>
        <w:t xml:space="preserve"> for TP, for Turbidity).  Two option</w:t>
      </w:r>
      <w:r w:rsidR="007F62CD">
        <w:rPr>
          <w:rFonts w:cstheme="minorHAnsi"/>
          <w:sz w:val="24"/>
          <w:szCs w:val="24"/>
        </w:rPr>
        <w:t>s</w:t>
      </w:r>
      <w:r>
        <w:rPr>
          <w:rFonts w:cstheme="minorHAnsi"/>
          <w:sz w:val="24"/>
          <w:szCs w:val="24"/>
        </w:rPr>
        <w:t xml:space="preserve"> are presented for </w:t>
      </w:r>
      <w:r w:rsidR="00AB527E">
        <w:rPr>
          <w:rFonts w:cs="Tahoma"/>
          <w:i/>
          <w:sz w:val="24"/>
          <w:szCs w:val="24"/>
        </w:rPr>
        <w:t>E. coli</w:t>
      </w:r>
      <w:r w:rsidR="00AB527E" w:rsidRPr="001C4FAC">
        <w:rPr>
          <w:rFonts w:cs="Tahoma"/>
          <w:sz w:val="24"/>
          <w:szCs w:val="24"/>
        </w:rPr>
        <w:t xml:space="preserve"> </w:t>
      </w:r>
      <w:r>
        <w:rPr>
          <w:rFonts w:cstheme="minorHAnsi"/>
          <w:sz w:val="24"/>
          <w:szCs w:val="24"/>
        </w:rPr>
        <w:t xml:space="preserve">and TP, wherein </w:t>
      </w:r>
      <w:r w:rsidR="007F62CD">
        <w:rPr>
          <w:rFonts w:cstheme="minorHAnsi"/>
          <w:sz w:val="24"/>
          <w:szCs w:val="24"/>
        </w:rPr>
        <w:t>“</w:t>
      </w:r>
      <w:r>
        <w:rPr>
          <w:rFonts w:cstheme="minorHAnsi"/>
          <w:sz w:val="24"/>
          <w:szCs w:val="24"/>
        </w:rPr>
        <w:t>All</w:t>
      </w:r>
      <w:r w:rsidR="007F62CD">
        <w:rPr>
          <w:rFonts w:cstheme="minorHAnsi"/>
          <w:sz w:val="24"/>
          <w:szCs w:val="24"/>
        </w:rPr>
        <w:t>”</w:t>
      </w:r>
      <w:r>
        <w:rPr>
          <w:rFonts w:cstheme="minorHAnsi"/>
          <w:sz w:val="24"/>
          <w:szCs w:val="24"/>
        </w:rPr>
        <w:t xml:space="preserve"> a</w:t>
      </w:r>
      <w:r w:rsidR="002A1534">
        <w:rPr>
          <w:rFonts w:cstheme="minorHAnsi"/>
          <w:sz w:val="24"/>
          <w:szCs w:val="24"/>
        </w:rPr>
        <w:t xml:space="preserve">vailable data </w:t>
      </w:r>
      <w:r>
        <w:rPr>
          <w:rFonts w:cstheme="minorHAnsi"/>
          <w:sz w:val="24"/>
          <w:szCs w:val="24"/>
        </w:rPr>
        <w:t xml:space="preserve">and data </w:t>
      </w:r>
      <w:r w:rsidR="002A1534">
        <w:rPr>
          <w:rFonts w:cstheme="minorHAnsi"/>
          <w:sz w:val="24"/>
          <w:szCs w:val="24"/>
        </w:rPr>
        <w:t xml:space="preserve">stratified to select only those observations made during </w:t>
      </w:r>
      <w:r w:rsidR="007F62CD">
        <w:rPr>
          <w:rFonts w:cstheme="minorHAnsi"/>
          <w:sz w:val="24"/>
          <w:szCs w:val="24"/>
        </w:rPr>
        <w:t>“</w:t>
      </w:r>
      <w:r w:rsidR="002A1534">
        <w:rPr>
          <w:rFonts w:cstheme="minorHAnsi"/>
          <w:sz w:val="24"/>
          <w:szCs w:val="24"/>
        </w:rPr>
        <w:t>Low Flow</w:t>
      </w:r>
      <w:r w:rsidR="007F62CD">
        <w:rPr>
          <w:rFonts w:cstheme="minorHAnsi"/>
          <w:sz w:val="24"/>
          <w:szCs w:val="24"/>
        </w:rPr>
        <w:t>”</w:t>
      </w:r>
      <w:r w:rsidR="002A1534">
        <w:rPr>
          <w:rFonts w:cstheme="minorHAnsi"/>
          <w:sz w:val="24"/>
          <w:szCs w:val="24"/>
        </w:rPr>
        <w:t xml:space="preserve"> conditions (i.e., DMF recorded at the USGS gage was below 33 </w:t>
      </w:r>
      <w:proofErr w:type="spellStart"/>
      <w:r w:rsidR="002A1534">
        <w:rPr>
          <w:rFonts w:cstheme="minorHAnsi"/>
          <w:sz w:val="24"/>
          <w:szCs w:val="24"/>
        </w:rPr>
        <w:t>cfs</w:t>
      </w:r>
      <w:proofErr w:type="spellEnd"/>
      <w:r w:rsidR="002A1534">
        <w:rPr>
          <w:rFonts w:cstheme="minorHAnsi"/>
          <w:sz w:val="24"/>
          <w:szCs w:val="24"/>
        </w:rPr>
        <w:t xml:space="preserve">).  In each case, the trend is not significant over the indicated time period.   </w:t>
      </w:r>
      <w:r w:rsidR="00B94B6D">
        <w:rPr>
          <w:rFonts w:cstheme="minorHAnsi"/>
          <w:sz w:val="24"/>
          <w:szCs w:val="24"/>
        </w:rPr>
        <w:t xml:space="preserve"> </w:t>
      </w:r>
      <w:r>
        <w:rPr>
          <w:rFonts w:cstheme="minorHAnsi"/>
          <w:sz w:val="24"/>
          <w:szCs w:val="24"/>
        </w:rPr>
        <w:t xml:space="preserve">This </w:t>
      </w:r>
      <w:r w:rsidR="007F62CD">
        <w:rPr>
          <w:rFonts w:cstheme="minorHAnsi"/>
          <w:sz w:val="24"/>
          <w:szCs w:val="24"/>
        </w:rPr>
        <w:t>response was apparent</w:t>
      </w:r>
      <w:r>
        <w:rPr>
          <w:rFonts w:cstheme="minorHAnsi"/>
          <w:sz w:val="24"/>
          <w:szCs w:val="24"/>
        </w:rPr>
        <w:t xml:space="preserve"> </w:t>
      </w:r>
      <w:r w:rsidR="007F62CD">
        <w:rPr>
          <w:rFonts w:cstheme="minorHAnsi"/>
          <w:sz w:val="24"/>
          <w:szCs w:val="24"/>
        </w:rPr>
        <w:t>despite slight, statistically-</w:t>
      </w:r>
      <w:r>
        <w:rPr>
          <w:rFonts w:cstheme="minorHAnsi"/>
          <w:sz w:val="24"/>
          <w:szCs w:val="24"/>
        </w:rPr>
        <w:t>significant</w:t>
      </w:r>
      <w:r w:rsidR="007F62CD">
        <w:rPr>
          <w:rFonts w:cstheme="minorHAnsi"/>
          <w:sz w:val="24"/>
          <w:szCs w:val="24"/>
        </w:rPr>
        <w:t xml:space="preserve"> upward</w:t>
      </w:r>
      <w:r>
        <w:rPr>
          <w:rFonts w:cstheme="minorHAnsi"/>
          <w:sz w:val="24"/>
          <w:szCs w:val="24"/>
        </w:rPr>
        <w:t xml:space="preserve"> trends in DMF over the relevant time period</w:t>
      </w:r>
      <w:r w:rsidR="007F62CD">
        <w:rPr>
          <w:rFonts w:cstheme="minorHAnsi"/>
          <w:sz w:val="24"/>
          <w:szCs w:val="24"/>
        </w:rPr>
        <w:t>s</w:t>
      </w:r>
      <w:r>
        <w:rPr>
          <w:rFonts w:cstheme="minorHAnsi"/>
          <w:sz w:val="24"/>
          <w:szCs w:val="24"/>
        </w:rPr>
        <w:t xml:space="preserve"> for </w:t>
      </w:r>
      <w:r w:rsidR="00AB527E">
        <w:rPr>
          <w:rFonts w:cs="Tahoma"/>
          <w:i/>
          <w:sz w:val="24"/>
          <w:szCs w:val="24"/>
        </w:rPr>
        <w:t>E. coli</w:t>
      </w:r>
      <w:r w:rsidR="00AB527E" w:rsidRPr="001C4FAC">
        <w:rPr>
          <w:rFonts w:cs="Tahoma"/>
          <w:sz w:val="24"/>
          <w:szCs w:val="24"/>
        </w:rPr>
        <w:t xml:space="preserve"> </w:t>
      </w:r>
      <w:r>
        <w:rPr>
          <w:rFonts w:cstheme="minorHAnsi"/>
          <w:sz w:val="24"/>
          <w:szCs w:val="24"/>
        </w:rPr>
        <w:t>an</w:t>
      </w:r>
      <w:r w:rsidR="007F62CD">
        <w:rPr>
          <w:rFonts w:cstheme="minorHAnsi"/>
          <w:sz w:val="24"/>
          <w:szCs w:val="24"/>
        </w:rPr>
        <w:t>d TP, and despite statistically-</w:t>
      </w:r>
      <w:r>
        <w:rPr>
          <w:rFonts w:cstheme="minorHAnsi"/>
          <w:sz w:val="24"/>
          <w:szCs w:val="24"/>
        </w:rPr>
        <w:t xml:space="preserve">significant </w:t>
      </w:r>
      <w:r w:rsidR="007F62CD">
        <w:rPr>
          <w:rFonts w:cstheme="minorHAnsi"/>
          <w:sz w:val="24"/>
          <w:szCs w:val="24"/>
        </w:rPr>
        <w:t xml:space="preserve">increasing </w:t>
      </w:r>
      <w:r>
        <w:rPr>
          <w:rFonts w:cstheme="minorHAnsi"/>
          <w:sz w:val="24"/>
          <w:szCs w:val="24"/>
        </w:rPr>
        <w:t xml:space="preserve">trends in </w:t>
      </w:r>
      <w:r w:rsidR="007F62CD">
        <w:rPr>
          <w:rFonts w:cstheme="minorHAnsi"/>
          <w:sz w:val="24"/>
          <w:szCs w:val="24"/>
        </w:rPr>
        <w:t>DMF</w:t>
      </w:r>
      <w:r>
        <w:rPr>
          <w:rFonts w:cstheme="minorHAnsi"/>
          <w:sz w:val="24"/>
          <w:szCs w:val="24"/>
        </w:rPr>
        <w:t xml:space="preserve"> equaling or exceeding the 75</w:t>
      </w:r>
      <w:r w:rsidRPr="008514AD">
        <w:rPr>
          <w:rFonts w:cstheme="minorHAnsi"/>
          <w:sz w:val="24"/>
          <w:szCs w:val="24"/>
          <w:vertAlign w:val="superscript"/>
        </w:rPr>
        <w:t>th</w:t>
      </w:r>
      <w:r>
        <w:rPr>
          <w:rFonts w:cstheme="minorHAnsi"/>
          <w:sz w:val="24"/>
          <w:szCs w:val="24"/>
        </w:rPr>
        <w:t xml:space="preserve"> percentile </w:t>
      </w:r>
      <w:r w:rsidR="007F62CD">
        <w:rPr>
          <w:rFonts w:cstheme="minorHAnsi"/>
          <w:sz w:val="24"/>
          <w:szCs w:val="24"/>
        </w:rPr>
        <w:t>for the period from 1992 through 2015</w:t>
      </w:r>
      <w:r>
        <w:rPr>
          <w:rFonts w:cstheme="minorHAnsi"/>
          <w:sz w:val="24"/>
          <w:szCs w:val="24"/>
        </w:rPr>
        <w:t xml:space="preserve">.   </w:t>
      </w:r>
    </w:p>
    <w:p w:rsidR="001B230D" w:rsidRDefault="001B230D" w:rsidP="00D308EF">
      <w:pPr>
        <w:spacing w:line="276" w:lineRule="auto"/>
        <w:jc w:val="center"/>
        <w:rPr>
          <w:rFonts w:cstheme="minorHAnsi"/>
          <w:sz w:val="24"/>
          <w:szCs w:val="24"/>
        </w:rPr>
        <w:sectPr w:rsidR="001B230D" w:rsidSect="0055613D">
          <w:pgSz w:w="12240" w:h="15840"/>
          <w:pgMar w:top="1440" w:right="1710" w:bottom="1440" w:left="1440" w:header="720" w:footer="720" w:gutter="0"/>
          <w:pgNumType w:start="1"/>
          <w:cols w:space="720"/>
          <w:docGrid w:linePitch="360"/>
        </w:sectPr>
      </w:pPr>
    </w:p>
    <w:p w:rsidR="00D06999" w:rsidRDefault="00D06999" w:rsidP="00D308EF">
      <w:pPr>
        <w:spacing w:line="276" w:lineRule="auto"/>
        <w:jc w:val="center"/>
        <w:rPr>
          <w:rFonts w:cstheme="minorHAnsi"/>
          <w:sz w:val="24"/>
          <w:szCs w:val="24"/>
        </w:rPr>
      </w:pPr>
      <w:proofErr w:type="gramStart"/>
      <w:r>
        <w:rPr>
          <w:rFonts w:cstheme="minorHAnsi"/>
          <w:sz w:val="24"/>
          <w:szCs w:val="24"/>
        </w:rPr>
        <w:lastRenderedPageBreak/>
        <w:t xml:space="preserve">Table </w:t>
      </w:r>
      <w:r w:rsidR="00A121BC">
        <w:rPr>
          <w:rFonts w:cstheme="minorHAnsi"/>
          <w:sz w:val="24"/>
          <w:szCs w:val="24"/>
        </w:rPr>
        <w:t>3</w:t>
      </w:r>
      <w:r w:rsidR="007F62CD">
        <w:rPr>
          <w:rFonts w:cstheme="minorHAnsi"/>
          <w:sz w:val="24"/>
          <w:szCs w:val="24"/>
        </w:rPr>
        <w:t>.</w:t>
      </w:r>
      <w:proofErr w:type="gramEnd"/>
      <w:r w:rsidR="007F62CD">
        <w:rPr>
          <w:rFonts w:cstheme="minorHAnsi"/>
          <w:sz w:val="24"/>
          <w:szCs w:val="24"/>
        </w:rPr>
        <w:t xml:space="preserve"> </w:t>
      </w:r>
      <w:r>
        <w:rPr>
          <w:rFonts w:cstheme="minorHAnsi"/>
          <w:sz w:val="24"/>
          <w:szCs w:val="24"/>
        </w:rPr>
        <w:t xml:space="preserve">  Monotonic Trend Results for Sentinel Stations, Lewis Creek watershed</w:t>
      </w:r>
    </w:p>
    <w:p w:rsidR="007F62CD" w:rsidRDefault="001905EC" w:rsidP="002A1534">
      <w:pPr>
        <w:spacing w:line="276" w:lineRule="auto"/>
      </w:pPr>
      <w:r w:rsidRPr="001905EC">
        <w:rPr>
          <w:noProof/>
        </w:rPr>
        <w:drawing>
          <wp:inline distT="0" distB="0" distL="0" distR="0" wp14:anchorId="69F8E59B" wp14:editId="0C8D47D9">
            <wp:extent cx="5995445" cy="322897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4733" cy="3233977"/>
                    </a:xfrm>
                    <a:prstGeom prst="rect">
                      <a:avLst/>
                    </a:prstGeom>
                    <a:noFill/>
                    <a:ln>
                      <a:noFill/>
                    </a:ln>
                  </pic:spPr>
                </pic:pic>
              </a:graphicData>
            </a:graphic>
          </wp:inline>
        </w:drawing>
      </w:r>
      <w:r w:rsidRPr="001905EC">
        <w:t xml:space="preserve"> </w:t>
      </w:r>
    </w:p>
    <w:p w:rsidR="00236229" w:rsidRDefault="00236229" w:rsidP="00B84EF9">
      <w:pPr>
        <w:spacing w:after="0" w:line="240" w:lineRule="auto"/>
        <w:rPr>
          <w:rFonts w:cstheme="minorHAnsi"/>
          <w:sz w:val="24"/>
          <w:szCs w:val="24"/>
        </w:rPr>
      </w:pPr>
    </w:p>
    <w:p w:rsidR="00AA4F30" w:rsidRDefault="00AA4F30" w:rsidP="001F68C9">
      <w:pPr>
        <w:pStyle w:val="Heading1"/>
      </w:pPr>
      <w:bookmarkStart w:id="18" w:name="_Toc497244925"/>
      <w:r>
        <w:t>5.0</w:t>
      </w:r>
      <w:r>
        <w:tab/>
      </w:r>
      <w:r w:rsidR="00BF0CA1">
        <w:t>Conclusion</w:t>
      </w:r>
      <w:bookmarkEnd w:id="18"/>
    </w:p>
    <w:p w:rsidR="00AA4F30" w:rsidRDefault="00AA4F30" w:rsidP="00AA4F30">
      <w:pPr>
        <w:spacing w:after="0" w:line="240" w:lineRule="auto"/>
        <w:rPr>
          <w:rFonts w:cstheme="minorHAnsi"/>
          <w:sz w:val="24"/>
          <w:szCs w:val="24"/>
        </w:rPr>
      </w:pPr>
    </w:p>
    <w:p w:rsidR="00D72BDA" w:rsidRDefault="00D72BDA" w:rsidP="00D72BDA">
      <w:pPr>
        <w:spacing w:line="276" w:lineRule="auto"/>
        <w:rPr>
          <w:rFonts w:cstheme="minorHAnsi"/>
          <w:sz w:val="24"/>
          <w:szCs w:val="24"/>
        </w:rPr>
      </w:pPr>
      <w:r>
        <w:rPr>
          <w:rFonts w:cs="Tahoma"/>
          <w:sz w:val="24"/>
          <w:szCs w:val="24"/>
        </w:rPr>
        <w:t>Trend analysis has been undertaken for two sentinel stations</w:t>
      </w:r>
      <w:r w:rsidR="00CA6F8C">
        <w:rPr>
          <w:rFonts w:cs="Tahoma"/>
          <w:sz w:val="24"/>
          <w:szCs w:val="24"/>
        </w:rPr>
        <w:t xml:space="preserve"> (LCR3.7 and LCR14)</w:t>
      </w:r>
      <w:r>
        <w:rPr>
          <w:rFonts w:cs="Tahoma"/>
          <w:sz w:val="24"/>
          <w:szCs w:val="24"/>
        </w:rPr>
        <w:t xml:space="preserve"> in the Lewis Creek watershed </w:t>
      </w:r>
      <w:r w:rsidR="00CA6F8C">
        <w:rPr>
          <w:rFonts w:cs="Tahoma"/>
          <w:sz w:val="24"/>
          <w:szCs w:val="24"/>
        </w:rPr>
        <w:t xml:space="preserve">which have been </w:t>
      </w:r>
      <w:r>
        <w:rPr>
          <w:rFonts w:cs="Tahoma"/>
          <w:sz w:val="24"/>
          <w:szCs w:val="24"/>
        </w:rPr>
        <w:t xml:space="preserve">monitored </w:t>
      </w:r>
      <w:r w:rsidR="00CA6F8C">
        <w:rPr>
          <w:rFonts w:cs="Tahoma"/>
          <w:sz w:val="24"/>
          <w:szCs w:val="24"/>
        </w:rPr>
        <w:t xml:space="preserve">in spring and summer </w:t>
      </w:r>
      <w:r>
        <w:rPr>
          <w:rFonts w:cs="Tahoma"/>
          <w:sz w:val="24"/>
          <w:szCs w:val="24"/>
        </w:rPr>
        <w:t xml:space="preserve">for </w:t>
      </w:r>
      <w:r w:rsidRPr="00CA6F8C">
        <w:rPr>
          <w:rFonts w:cs="Tahoma"/>
          <w:i/>
          <w:sz w:val="24"/>
          <w:szCs w:val="24"/>
        </w:rPr>
        <w:t>E.coli</w:t>
      </w:r>
      <w:r>
        <w:rPr>
          <w:rFonts w:cs="Tahoma"/>
          <w:sz w:val="24"/>
          <w:szCs w:val="24"/>
        </w:rPr>
        <w:t xml:space="preserve"> (since 1992), T</w:t>
      </w:r>
      <w:r w:rsidR="00A121BC">
        <w:rPr>
          <w:rFonts w:cs="Tahoma"/>
          <w:sz w:val="24"/>
          <w:szCs w:val="24"/>
        </w:rPr>
        <w:t xml:space="preserve">otal </w:t>
      </w:r>
      <w:r>
        <w:rPr>
          <w:rFonts w:cs="Tahoma"/>
          <w:sz w:val="24"/>
          <w:szCs w:val="24"/>
        </w:rPr>
        <w:t>P</w:t>
      </w:r>
      <w:r w:rsidR="00A121BC">
        <w:rPr>
          <w:rFonts w:cs="Tahoma"/>
          <w:sz w:val="24"/>
          <w:szCs w:val="24"/>
        </w:rPr>
        <w:t>hosphorus</w:t>
      </w:r>
      <w:r>
        <w:rPr>
          <w:rFonts w:cs="Tahoma"/>
          <w:sz w:val="24"/>
          <w:szCs w:val="24"/>
        </w:rPr>
        <w:t xml:space="preserve"> (since 1997) and Turbidity (since 2006).  No significant trends </w:t>
      </w:r>
      <w:r w:rsidR="00CA6F8C">
        <w:rPr>
          <w:rFonts w:cs="Tahoma"/>
          <w:sz w:val="24"/>
          <w:szCs w:val="24"/>
        </w:rPr>
        <w:t xml:space="preserve">in monthly water quality data </w:t>
      </w:r>
      <w:r>
        <w:rPr>
          <w:rFonts w:cs="Tahoma"/>
          <w:sz w:val="24"/>
          <w:szCs w:val="24"/>
        </w:rPr>
        <w:t xml:space="preserve">were evident over the </w:t>
      </w:r>
      <w:r w:rsidR="00CA6F8C">
        <w:rPr>
          <w:rFonts w:cs="Tahoma"/>
          <w:sz w:val="24"/>
          <w:szCs w:val="24"/>
        </w:rPr>
        <w:t xml:space="preserve">respective </w:t>
      </w:r>
      <w:r>
        <w:rPr>
          <w:rFonts w:cs="Tahoma"/>
          <w:sz w:val="24"/>
          <w:szCs w:val="24"/>
        </w:rPr>
        <w:t>monitoring period</w:t>
      </w:r>
      <w:r w:rsidR="00CA6F8C">
        <w:rPr>
          <w:rFonts w:cs="Tahoma"/>
          <w:sz w:val="24"/>
          <w:szCs w:val="24"/>
        </w:rPr>
        <w:t>s</w:t>
      </w:r>
      <w:r w:rsidR="00A121BC">
        <w:rPr>
          <w:rFonts w:cs="Tahoma"/>
          <w:sz w:val="24"/>
          <w:szCs w:val="24"/>
        </w:rPr>
        <w:t xml:space="preserve"> at either </w:t>
      </w:r>
      <w:r w:rsidR="00DB5F16">
        <w:rPr>
          <w:rFonts w:cs="Tahoma"/>
          <w:sz w:val="24"/>
          <w:szCs w:val="24"/>
        </w:rPr>
        <w:t xml:space="preserve">sentinel </w:t>
      </w:r>
      <w:r w:rsidR="00A121BC">
        <w:rPr>
          <w:rFonts w:cs="Tahoma"/>
          <w:sz w:val="24"/>
          <w:szCs w:val="24"/>
        </w:rPr>
        <w:t xml:space="preserve">station.  </w:t>
      </w:r>
      <w:r w:rsidR="00DB5F16">
        <w:rPr>
          <w:sz w:val="24"/>
        </w:rPr>
        <w:t>R</w:t>
      </w:r>
      <w:r w:rsidR="00DB5F16" w:rsidRPr="008E264D">
        <w:rPr>
          <w:sz w:val="24"/>
        </w:rPr>
        <w:t xml:space="preserve">estoration and conservation projects </w:t>
      </w:r>
      <w:r w:rsidR="00DB5F16">
        <w:rPr>
          <w:sz w:val="24"/>
        </w:rPr>
        <w:t xml:space="preserve">have been progressively implemented </w:t>
      </w:r>
      <w:r w:rsidR="00DB5F16" w:rsidRPr="008E264D">
        <w:rPr>
          <w:sz w:val="24"/>
        </w:rPr>
        <w:t xml:space="preserve">over </w:t>
      </w:r>
      <w:r w:rsidR="00DB5F16">
        <w:rPr>
          <w:sz w:val="24"/>
        </w:rPr>
        <w:t>time</w:t>
      </w:r>
      <w:r w:rsidR="00DB5F16" w:rsidRPr="008E264D">
        <w:rPr>
          <w:sz w:val="24"/>
        </w:rPr>
        <w:t xml:space="preserve"> </w:t>
      </w:r>
      <w:r w:rsidR="008C014F">
        <w:rPr>
          <w:sz w:val="24"/>
        </w:rPr>
        <w:t xml:space="preserve">in the watershed.  While </w:t>
      </w:r>
      <w:r w:rsidR="00DB5F16" w:rsidRPr="008E264D">
        <w:rPr>
          <w:sz w:val="24"/>
        </w:rPr>
        <w:t xml:space="preserve">gradual improvements in water </w:t>
      </w:r>
      <w:r w:rsidR="00DB5F16" w:rsidRPr="00A059D3">
        <w:rPr>
          <w:sz w:val="24"/>
          <w:szCs w:val="24"/>
        </w:rPr>
        <w:t>quality</w:t>
      </w:r>
      <w:r w:rsidR="008C014F">
        <w:rPr>
          <w:sz w:val="24"/>
          <w:szCs w:val="24"/>
        </w:rPr>
        <w:t xml:space="preserve"> are to be expected as a result of these projects, an increased magnitude and frequency of high flows may be complicating the water quality response</w:t>
      </w:r>
      <w:r w:rsidR="00DB5F16" w:rsidRPr="00A059D3">
        <w:rPr>
          <w:sz w:val="24"/>
          <w:szCs w:val="24"/>
        </w:rPr>
        <w:t xml:space="preserve">.  </w:t>
      </w:r>
      <w:r w:rsidR="008C014F">
        <w:rPr>
          <w:rFonts w:cs="Tahoma"/>
          <w:sz w:val="24"/>
          <w:szCs w:val="24"/>
        </w:rPr>
        <w:t>A</w:t>
      </w:r>
      <w:r>
        <w:rPr>
          <w:rFonts w:cs="Tahoma"/>
          <w:sz w:val="24"/>
          <w:szCs w:val="24"/>
        </w:rPr>
        <w:t xml:space="preserve"> statistically-significant, positive trend in </w:t>
      </w:r>
      <w:r>
        <w:rPr>
          <w:rFonts w:cstheme="minorHAnsi"/>
          <w:sz w:val="24"/>
          <w:szCs w:val="24"/>
        </w:rPr>
        <w:t>daily mean flow over the 24-year period from 1992 through 2015, and a significant positive trend in the number of High Flow days per year over the same period</w:t>
      </w:r>
      <w:r w:rsidR="008C014F">
        <w:rPr>
          <w:rFonts w:cstheme="minorHAnsi"/>
          <w:sz w:val="24"/>
          <w:szCs w:val="24"/>
        </w:rPr>
        <w:t xml:space="preserve"> were detected</w:t>
      </w:r>
      <w:r>
        <w:rPr>
          <w:rFonts w:cstheme="minorHAnsi"/>
          <w:sz w:val="24"/>
          <w:szCs w:val="24"/>
        </w:rPr>
        <w:t xml:space="preserve">.  These results </w:t>
      </w:r>
      <w:r w:rsidR="00CA6F8C">
        <w:rPr>
          <w:rFonts w:cstheme="minorHAnsi"/>
          <w:sz w:val="24"/>
          <w:szCs w:val="24"/>
        </w:rPr>
        <w:t>underscore</w:t>
      </w:r>
      <w:r>
        <w:rPr>
          <w:rFonts w:cstheme="minorHAnsi"/>
          <w:sz w:val="24"/>
          <w:szCs w:val="24"/>
        </w:rPr>
        <w:t xml:space="preserve"> the importance of continued implementation of Best Management Practices and riparian conservation measures in the fa</w:t>
      </w:r>
      <w:r w:rsidR="00CA6F8C">
        <w:rPr>
          <w:rFonts w:cstheme="minorHAnsi"/>
          <w:sz w:val="24"/>
          <w:szCs w:val="24"/>
        </w:rPr>
        <w:t>ce of increasing climate change</w:t>
      </w:r>
      <w:r>
        <w:rPr>
          <w:rFonts w:cstheme="minorHAnsi"/>
          <w:sz w:val="24"/>
          <w:szCs w:val="24"/>
        </w:rPr>
        <w:t>.</w:t>
      </w:r>
    </w:p>
    <w:p w:rsidR="00F56043" w:rsidRDefault="00F56043">
      <w:pPr>
        <w:rPr>
          <w:sz w:val="24"/>
        </w:rPr>
      </w:pPr>
    </w:p>
    <w:p w:rsidR="00884987" w:rsidRPr="00C97F16" w:rsidRDefault="00A121BC" w:rsidP="00DD424C">
      <w:pPr>
        <w:pStyle w:val="Heading1"/>
      </w:pPr>
      <w:bookmarkStart w:id="19" w:name="_Toc497244926"/>
      <w:r>
        <w:lastRenderedPageBreak/>
        <w:t>6</w:t>
      </w:r>
      <w:r w:rsidR="00DD424C">
        <w:t>.0</w:t>
      </w:r>
      <w:r w:rsidR="00DD424C">
        <w:tab/>
      </w:r>
      <w:r w:rsidR="00884987" w:rsidRPr="00C97F16">
        <w:t>References</w:t>
      </w:r>
      <w:bookmarkEnd w:id="19"/>
    </w:p>
    <w:p w:rsidR="00F26E3E" w:rsidRPr="00960033" w:rsidRDefault="003F15CA" w:rsidP="00960033">
      <w:pPr>
        <w:autoSpaceDE w:val="0"/>
        <w:autoSpaceDN w:val="0"/>
        <w:adjustRightInd w:val="0"/>
        <w:ind w:left="360" w:hanging="360"/>
        <w:rPr>
          <w:rFonts w:ascii="Calibri" w:hAnsi="Calibri"/>
        </w:rPr>
      </w:pPr>
      <w:r w:rsidRPr="00960033">
        <w:rPr>
          <w:rFonts w:ascii="Calibri" w:hAnsi="Calibri" w:cs="Univers 47 Condensed Light"/>
        </w:rPr>
        <w:t xml:space="preserve">Addison County River Watch Collaborative and South Mountain Research &amp; Consulting, 2016, </w:t>
      </w:r>
      <w:r w:rsidRPr="00960033">
        <w:rPr>
          <w:rFonts w:ascii="Calibri" w:hAnsi="Calibri" w:cs="Calibri"/>
          <w:i/>
        </w:rPr>
        <w:t>Workshops and Analysis to Enhance Flood Resiliency of Headwater Forests</w:t>
      </w:r>
      <w:r w:rsidRPr="00960033">
        <w:rPr>
          <w:rFonts w:ascii="Calibri" w:hAnsi="Calibri" w:cs="Calibri"/>
        </w:rPr>
        <w:t xml:space="preserve">, Final Grant Summary Report, </w:t>
      </w:r>
      <w:proofErr w:type="gramStart"/>
      <w:r w:rsidRPr="00960033">
        <w:rPr>
          <w:rFonts w:ascii="Calibri" w:hAnsi="Calibri" w:cs="Calibri"/>
        </w:rPr>
        <w:t>Grant</w:t>
      </w:r>
      <w:proofErr w:type="gramEnd"/>
      <w:r w:rsidRPr="00960033">
        <w:rPr>
          <w:rFonts w:ascii="Calibri" w:hAnsi="Calibri" w:cs="Calibri"/>
        </w:rPr>
        <w:t xml:space="preserve"> Award #: WG224-16</w:t>
      </w:r>
      <w:r w:rsidRPr="00960033">
        <w:rPr>
          <w:rFonts w:ascii="Calibri" w:hAnsi="Calibri"/>
        </w:rPr>
        <w:t>.</w:t>
      </w:r>
    </w:p>
    <w:p w:rsidR="00F26E3E" w:rsidRPr="00960033" w:rsidRDefault="00F26E3E" w:rsidP="009C215D">
      <w:pPr>
        <w:spacing w:after="120" w:line="240" w:lineRule="auto"/>
        <w:ind w:left="360" w:hanging="360"/>
        <w:rPr>
          <w:rFonts w:cs="Tahoma"/>
        </w:rPr>
      </w:pPr>
      <w:proofErr w:type="spellStart"/>
      <w:r w:rsidRPr="00960033">
        <w:rPr>
          <w:rFonts w:cs="Tahoma"/>
        </w:rPr>
        <w:t>Capen</w:t>
      </w:r>
      <w:proofErr w:type="spellEnd"/>
      <w:r w:rsidRPr="00960033">
        <w:rPr>
          <w:rFonts w:cs="Tahoma"/>
        </w:rPr>
        <w:t>, David E., 1998, Biophysical regions of Vermont from the VT Biodiversity Project (</w:t>
      </w:r>
      <w:proofErr w:type="spellStart"/>
      <w:r w:rsidRPr="00960033">
        <w:rPr>
          <w:rFonts w:cs="Tahoma"/>
        </w:rPr>
        <w:t>GeologicOther_BIOPHYSRG</w:t>
      </w:r>
      <w:proofErr w:type="spellEnd"/>
      <w:r w:rsidRPr="00960033">
        <w:rPr>
          <w:rFonts w:cs="Tahoma"/>
        </w:rPr>
        <w:t xml:space="preserve">), downloaded from Vermont Center for Geographic Information </w:t>
      </w:r>
      <w:hyperlink r:id="rId19" w:history="1">
        <w:r w:rsidRPr="00960033">
          <w:rPr>
            <w:rStyle w:val="Hyperlink"/>
            <w:rFonts w:cs="Tahoma"/>
          </w:rPr>
          <w:t>&lt;http://www.vcgi.org/&gt;</w:t>
        </w:r>
      </w:hyperlink>
      <w:r w:rsidRPr="00960033">
        <w:rPr>
          <w:rFonts w:cs="Tahoma"/>
        </w:rPr>
        <w:t>.</w:t>
      </w:r>
    </w:p>
    <w:p w:rsidR="00386665" w:rsidRDefault="00CD4EB2" w:rsidP="00CD4EB2">
      <w:pPr>
        <w:autoSpaceDE w:val="0"/>
        <w:autoSpaceDN w:val="0"/>
        <w:adjustRightInd w:val="0"/>
        <w:spacing w:after="0" w:line="240" w:lineRule="auto"/>
        <w:ind w:left="450" w:hanging="450"/>
        <w:rPr>
          <w:rFonts w:cstheme="minorHAnsi"/>
        </w:rPr>
      </w:pPr>
      <w:r w:rsidRPr="00CD4EB2">
        <w:rPr>
          <w:rFonts w:cstheme="minorHAnsi"/>
          <w:sz w:val="24"/>
          <w:szCs w:val="24"/>
        </w:rPr>
        <w:t xml:space="preserve">Cleveland, W.S., 1979, Robust Locally Weighted Regression and Smoothing Scatterplots: </w:t>
      </w:r>
      <w:r w:rsidRPr="00CD4EB2">
        <w:rPr>
          <w:rFonts w:cstheme="minorHAnsi"/>
          <w:i/>
          <w:iCs/>
          <w:sz w:val="24"/>
          <w:szCs w:val="24"/>
        </w:rPr>
        <w:t>J. Am.</w:t>
      </w:r>
      <w:r>
        <w:rPr>
          <w:rFonts w:cstheme="minorHAnsi"/>
          <w:i/>
          <w:iCs/>
          <w:sz w:val="24"/>
          <w:szCs w:val="24"/>
        </w:rPr>
        <w:t xml:space="preserve"> </w:t>
      </w:r>
      <w:r w:rsidRPr="00CD4EB2">
        <w:rPr>
          <w:rFonts w:cstheme="minorHAnsi"/>
          <w:i/>
          <w:iCs/>
          <w:sz w:val="24"/>
          <w:szCs w:val="24"/>
        </w:rPr>
        <w:t>Stat. Assoc. 74</w:t>
      </w:r>
      <w:r w:rsidRPr="00CD4EB2">
        <w:rPr>
          <w:rFonts w:cstheme="minorHAnsi"/>
          <w:sz w:val="24"/>
          <w:szCs w:val="24"/>
        </w:rPr>
        <w:t>, 829-836.</w:t>
      </w:r>
      <w:r w:rsidRPr="00CD4EB2">
        <w:rPr>
          <w:rFonts w:cstheme="minorHAnsi"/>
        </w:rPr>
        <w:t xml:space="preserve"> </w:t>
      </w:r>
    </w:p>
    <w:p w:rsidR="00386665" w:rsidRDefault="00386665" w:rsidP="00386665">
      <w:pPr>
        <w:spacing w:before="100" w:beforeAutospacing="1" w:after="100" w:afterAutospacing="1"/>
        <w:ind w:left="450" w:hanging="450"/>
        <w:rPr>
          <w:color w:val="000000"/>
        </w:rPr>
      </w:pPr>
      <w:proofErr w:type="spellStart"/>
      <w:proofErr w:type="gramStart"/>
      <w:r>
        <w:rPr>
          <w:color w:val="000000"/>
        </w:rPr>
        <w:t>Guilbert</w:t>
      </w:r>
      <w:proofErr w:type="spellEnd"/>
      <w:r>
        <w:rPr>
          <w:color w:val="000000"/>
        </w:rPr>
        <w:t xml:space="preserve">, J., A. K. Betts, D. M. Rizzo, B. </w:t>
      </w:r>
      <w:proofErr w:type="spellStart"/>
      <w:r>
        <w:rPr>
          <w:color w:val="000000"/>
        </w:rPr>
        <w:t>Beckage</w:t>
      </w:r>
      <w:proofErr w:type="spellEnd"/>
      <w:r>
        <w:rPr>
          <w:color w:val="000000"/>
        </w:rPr>
        <w:t>, and A. Bomblies.</w:t>
      </w:r>
      <w:proofErr w:type="gramEnd"/>
      <w:r>
        <w:rPr>
          <w:color w:val="000000"/>
        </w:rPr>
        <w:t xml:space="preserve"> 2015. Characterization of increased persistence and intensity of precipitation in the Northeastern United States. </w:t>
      </w:r>
      <w:proofErr w:type="gramStart"/>
      <w:r>
        <w:rPr>
          <w:color w:val="000000"/>
        </w:rPr>
        <w:t>Geophysical Research Letters.</w:t>
      </w:r>
      <w:proofErr w:type="gramEnd"/>
      <w:r>
        <w:rPr>
          <w:color w:val="000000"/>
        </w:rPr>
        <w:t xml:space="preserve"> DOI: 10.1002/2015GL063124. </w:t>
      </w:r>
    </w:p>
    <w:p w:rsidR="00CD4EB2" w:rsidRPr="00386665" w:rsidRDefault="00386665" w:rsidP="00386665">
      <w:pPr>
        <w:spacing w:before="100" w:beforeAutospacing="1" w:after="100" w:afterAutospacing="1"/>
        <w:ind w:left="450" w:hanging="450"/>
        <w:rPr>
          <w:color w:val="000000"/>
        </w:rPr>
      </w:pPr>
      <w:proofErr w:type="spellStart"/>
      <w:proofErr w:type="gramStart"/>
      <w:r>
        <w:rPr>
          <w:color w:val="000000"/>
        </w:rPr>
        <w:t>Guilbert</w:t>
      </w:r>
      <w:proofErr w:type="spellEnd"/>
      <w:r>
        <w:rPr>
          <w:color w:val="000000"/>
        </w:rPr>
        <w:t xml:space="preserve">, J., B. </w:t>
      </w:r>
      <w:proofErr w:type="spellStart"/>
      <w:r>
        <w:rPr>
          <w:color w:val="000000"/>
        </w:rPr>
        <w:t>Beckage</w:t>
      </w:r>
      <w:proofErr w:type="spellEnd"/>
      <w:r>
        <w:rPr>
          <w:color w:val="000000"/>
        </w:rPr>
        <w:t>, J. M. Winter, R. M. Horton, T. Perkins, and A. Bomblies.</w:t>
      </w:r>
      <w:proofErr w:type="gramEnd"/>
      <w:r>
        <w:rPr>
          <w:color w:val="000000"/>
        </w:rPr>
        <w:t xml:space="preserve"> 2014. Impacts of projected climate change over the Lake Champlain Basin in Vermont. Journal of Applied Meteorology and Climatology 53: 1861-1875. </w:t>
      </w:r>
    </w:p>
    <w:p w:rsidR="00F56043" w:rsidRPr="00960033" w:rsidRDefault="00F56043" w:rsidP="00CD4EB2">
      <w:pPr>
        <w:ind w:left="450" w:hanging="450"/>
      </w:pPr>
      <w:proofErr w:type="spellStart"/>
      <w:proofErr w:type="gramStart"/>
      <w:r w:rsidRPr="00960033">
        <w:t>Helsel</w:t>
      </w:r>
      <w:proofErr w:type="spellEnd"/>
      <w:r w:rsidRPr="00960033">
        <w:t>, D.R., and R.M. Hirsch.</w:t>
      </w:r>
      <w:proofErr w:type="gramEnd"/>
      <w:r w:rsidRPr="00960033">
        <w:t xml:space="preserve"> 2002. Statistical Methods in Water Resources. Book 4, Chapter A3 in </w:t>
      </w:r>
      <w:r w:rsidRPr="00960033">
        <w:rPr>
          <w:i/>
          <w:iCs/>
        </w:rPr>
        <w:t>Techniques of Water-Resources Investigations</w:t>
      </w:r>
      <w:r w:rsidRPr="00960033">
        <w:t>. U.S. Geological Survey, Reston, VA. Accessed February 10, 2016. http://pubs.usgs.gov/twri/twri4a3/.</w:t>
      </w:r>
    </w:p>
    <w:p w:rsidR="003F15CA" w:rsidRDefault="00F56043" w:rsidP="009C215D">
      <w:pPr>
        <w:ind w:left="450" w:hanging="450"/>
      </w:pPr>
      <w:r w:rsidRPr="00960033">
        <w:t xml:space="preserve">Hirsch, R.M. 1988. Statistical methods and sampling design for estimating step trends in surface water quality. </w:t>
      </w:r>
      <w:r w:rsidRPr="00960033">
        <w:rPr>
          <w:i/>
          <w:iCs/>
        </w:rPr>
        <w:t xml:space="preserve">Water Resources Research </w:t>
      </w:r>
      <w:r w:rsidRPr="00960033">
        <w:t>24:493-503.</w:t>
      </w:r>
    </w:p>
    <w:p w:rsidR="003C5753" w:rsidRPr="003C5753" w:rsidRDefault="003C5753" w:rsidP="003C5753">
      <w:pPr>
        <w:spacing w:after="240" w:line="240" w:lineRule="auto"/>
        <w:ind w:left="450" w:right="130" w:hanging="450"/>
        <w:rPr>
          <w:rFonts w:eastAsia="Times New Roman" w:cstheme="minorHAnsi"/>
          <w:color w:val="000000"/>
        </w:rPr>
      </w:pPr>
      <w:r w:rsidRPr="003C5753">
        <w:rPr>
          <w:rFonts w:eastAsia="Times New Roman" w:cstheme="minorHAnsi"/>
          <w:color w:val="000000"/>
        </w:rPr>
        <w:t>Hirsch, R.M., J.R. Slack, and R.A. Smith. 1982. </w:t>
      </w:r>
      <w:r w:rsidRPr="003C5753">
        <w:rPr>
          <w:rFonts w:eastAsia="Times New Roman" w:cstheme="minorHAnsi"/>
          <w:bCs/>
          <w:i/>
          <w:iCs/>
          <w:color w:val="000000"/>
        </w:rPr>
        <w:t xml:space="preserve">Techniques of trend analysis for monthly water quality </w:t>
      </w:r>
      <w:proofErr w:type="gramStart"/>
      <w:r w:rsidRPr="003C5753">
        <w:rPr>
          <w:rFonts w:eastAsia="Times New Roman" w:cstheme="minorHAnsi"/>
          <w:bCs/>
          <w:i/>
          <w:iCs/>
          <w:color w:val="000000"/>
        </w:rPr>
        <w:t>data</w:t>
      </w:r>
      <w:r w:rsidRPr="003C5753">
        <w:rPr>
          <w:rFonts w:eastAsia="Times New Roman" w:cstheme="minorHAnsi"/>
          <w:color w:val="000000"/>
        </w:rPr>
        <w:t> ,</w:t>
      </w:r>
      <w:proofErr w:type="gramEnd"/>
      <w:r w:rsidRPr="003C5753">
        <w:rPr>
          <w:rFonts w:eastAsia="Times New Roman" w:cstheme="minorHAnsi"/>
          <w:color w:val="000000"/>
        </w:rPr>
        <w:t xml:space="preserve"> Water Resources Research 18(1):107-121.</w:t>
      </w:r>
    </w:p>
    <w:p w:rsidR="003C5753" w:rsidRPr="003C5753" w:rsidRDefault="00EF1D61" w:rsidP="003C5753">
      <w:pPr>
        <w:ind w:left="450" w:hanging="450"/>
        <w:rPr>
          <w:rFonts w:cstheme="minorHAnsi"/>
        </w:rPr>
      </w:pPr>
      <w:r w:rsidRPr="003C5753">
        <w:rPr>
          <w:rFonts w:cstheme="minorHAnsi"/>
        </w:rPr>
        <w:t>Illick, Marty, 2017, personal communication, Executive Director of Lewis Creek Association.</w:t>
      </w:r>
    </w:p>
    <w:p w:rsidR="003C5753" w:rsidRPr="003C5753" w:rsidRDefault="003C5753" w:rsidP="003C5753">
      <w:pPr>
        <w:spacing w:after="240" w:line="240" w:lineRule="auto"/>
        <w:ind w:left="450" w:right="130" w:hanging="450"/>
        <w:rPr>
          <w:rFonts w:eastAsia="Times New Roman" w:cstheme="minorHAnsi"/>
          <w:color w:val="000000"/>
        </w:rPr>
      </w:pPr>
      <w:r w:rsidRPr="003C5753">
        <w:rPr>
          <w:rFonts w:eastAsia="Times New Roman" w:cstheme="minorHAnsi"/>
          <w:color w:val="000000"/>
        </w:rPr>
        <w:t>Kendall, M.G. 1975. </w:t>
      </w:r>
      <w:r w:rsidRPr="003C5753">
        <w:rPr>
          <w:rFonts w:eastAsia="Times New Roman" w:cstheme="minorHAnsi"/>
          <w:bCs/>
          <w:i/>
          <w:iCs/>
          <w:color w:val="000000"/>
        </w:rPr>
        <w:t>Rank Correlation Methods</w:t>
      </w:r>
      <w:r w:rsidRPr="003C5753">
        <w:rPr>
          <w:rFonts w:eastAsia="Times New Roman" w:cstheme="minorHAnsi"/>
          <w:color w:val="000000"/>
        </w:rPr>
        <w:t>, 4</w:t>
      </w:r>
      <w:r w:rsidRPr="003C5753">
        <w:rPr>
          <w:rFonts w:eastAsia="Times New Roman" w:cstheme="minorHAnsi"/>
          <w:color w:val="000000"/>
          <w:vertAlign w:val="superscript"/>
        </w:rPr>
        <w:t>th</w:t>
      </w:r>
      <w:r w:rsidRPr="003C5753">
        <w:rPr>
          <w:rFonts w:eastAsia="Times New Roman" w:cstheme="minorHAnsi"/>
          <w:color w:val="000000"/>
        </w:rPr>
        <w:t> edition, Charles Griffin, London.</w:t>
      </w:r>
    </w:p>
    <w:p w:rsidR="003C5753" w:rsidRPr="003C5753" w:rsidRDefault="003C5753" w:rsidP="003C5753">
      <w:pPr>
        <w:spacing w:after="240" w:line="240" w:lineRule="auto"/>
        <w:ind w:left="450" w:right="130" w:hanging="450"/>
        <w:rPr>
          <w:rFonts w:eastAsia="Times New Roman" w:cstheme="minorHAnsi"/>
          <w:color w:val="000000"/>
        </w:rPr>
      </w:pPr>
      <w:r w:rsidRPr="003C5753">
        <w:rPr>
          <w:rFonts w:eastAsia="Times New Roman" w:cstheme="minorHAnsi"/>
          <w:color w:val="000000"/>
        </w:rPr>
        <w:t>Mann, H.B. 1945. </w:t>
      </w:r>
      <w:r w:rsidRPr="003C5753">
        <w:rPr>
          <w:rFonts w:eastAsia="Times New Roman" w:cstheme="minorHAnsi"/>
          <w:bCs/>
          <w:i/>
          <w:iCs/>
          <w:color w:val="000000"/>
        </w:rPr>
        <w:t>Non-parametric tests against trend</w:t>
      </w:r>
      <w:r w:rsidRPr="003C5753">
        <w:rPr>
          <w:rFonts w:eastAsia="Times New Roman" w:cstheme="minorHAnsi"/>
          <w:color w:val="000000"/>
        </w:rPr>
        <w:t xml:space="preserve">, </w:t>
      </w:r>
      <w:proofErr w:type="spellStart"/>
      <w:r w:rsidRPr="003C5753">
        <w:rPr>
          <w:rFonts w:eastAsia="Times New Roman" w:cstheme="minorHAnsi"/>
          <w:color w:val="000000"/>
        </w:rPr>
        <w:t>Econometrica</w:t>
      </w:r>
      <w:proofErr w:type="spellEnd"/>
      <w:r w:rsidRPr="003C5753">
        <w:rPr>
          <w:rFonts w:eastAsia="Times New Roman" w:cstheme="minorHAnsi"/>
          <w:color w:val="000000"/>
        </w:rPr>
        <w:t xml:space="preserve"> 13:163-171.</w:t>
      </w:r>
    </w:p>
    <w:p w:rsidR="002140D8" w:rsidRPr="00735B1E" w:rsidRDefault="002140D8" w:rsidP="002140D8">
      <w:pPr>
        <w:autoSpaceDE w:val="0"/>
        <w:autoSpaceDN w:val="0"/>
        <w:adjustRightInd w:val="0"/>
        <w:spacing w:after="0" w:line="240" w:lineRule="auto"/>
        <w:ind w:left="540" w:hanging="540"/>
        <w:rPr>
          <w:rFonts w:cs="NewsGothicBT-Roman"/>
          <w:szCs w:val="24"/>
        </w:rPr>
      </w:pPr>
      <w:r>
        <w:rPr>
          <w:rFonts w:cs="NewsGothicBT-Roman"/>
          <w:szCs w:val="24"/>
        </w:rPr>
        <w:t>Meals, D. W., J.</w:t>
      </w:r>
      <w:r w:rsidRPr="00735B1E">
        <w:rPr>
          <w:rFonts w:cs="NewsGothicBT-Roman"/>
          <w:szCs w:val="24"/>
        </w:rPr>
        <w:t xml:space="preserve"> Spooner, </w:t>
      </w:r>
      <w:r>
        <w:rPr>
          <w:rFonts w:cs="NewsGothicBT-Roman"/>
          <w:szCs w:val="24"/>
        </w:rPr>
        <w:t xml:space="preserve">S. </w:t>
      </w:r>
      <w:r w:rsidRPr="00735B1E">
        <w:rPr>
          <w:rFonts w:cs="NewsGothicBT-Roman"/>
          <w:szCs w:val="24"/>
        </w:rPr>
        <w:t xml:space="preserve"> A. Dressing, </w:t>
      </w:r>
      <w:r>
        <w:rPr>
          <w:rFonts w:cs="NewsGothicBT-Roman"/>
          <w:szCs w:val="24"/>
        </w:rPr>
        <w:t xml:space="preserve">J. B. </w:t>
      </w:r>
      <w:proofErr w:type="spellStart"/>
      <w:r>
        <w:rPr>
          <w:rFonts w:cs="NewsGothicBT-Roman"/>
          <w:szCs w:val="24"/>
        </w:rPr>
        <w:t>Harcum</w:t>
      </w:r>
      <w:proofErr w:type="spellEnd"/>
      <w:r>
        <w:rPr>
          <w:rFonts w:cs="NewsGothicBT-Roman"/>
          <w:szCs w:val="24"/>
        </w:rPr>
        <w:t xml:space="preserve">, 2013, </w:t>
      </w:r>
      <w:r w:rsidRPr="00735B1E">
        <w:rPr>
          <w:rFonts w:cs="NewsGothicBT-Roman"/>
          <w:szCs w:val="24"/>
        </w:rPr>
        <w:t xml:space="preserve">Statistical analysis for </w:t>
      </w:r>
      <w:r>
        <w:rPr>
          <w:rFonts w:cs="NewsGothicBT-Roman"/>
          <w:szCs w:val="24"/>
        </w:rPr>
        <w:t xml:space="preserve">monotonic trends, Tech Notes 6, </w:t>
      </w:r>
      <w:r w:rsidRPr="00735B1E">
        <w:rPr>
          <w:rFonts w:cs="NewsGothicBT-Roman"/>
          <w:szCs w:val="24"/>
        </w:rPr>
        <w:t>Developed for U.S. Environmental Protection Agency</w:t>
      </w:r>
      <w:r>
        <w:rPr>
          <w:rFonts w:cs="NewsGothicBT-Roman"/>
          <w:szCs w:val="24"/>
        </w:rPr>
        <w:t xml:space="preserve"> </w:t>
      </w:r>
      <w:r w:rsidRPr="00735B1E">
        <w:rPr>
          <w:rFonts w:cs="NewsGothicBT-Roman"/>
          <w:szCs w:val="24"/>
        </w:rPr>
        <w:t>by Tetra Tech, Inc., Fairfax, VA, 23 p. Available online at</w:t>
      </w:r>
      <w:r>
        <w:rPr>
          <w:rFonts w:cs="NewsGothicBT-Roman"/>
          <w:szCs w:val="24"/>
        </w:rPr>
        <w:t xml:space="preserve">: </w:t>
      </w:r>
      <w:r w:rsidRPr="00175F13">
        <w:rPr>
          <w:rFonts w:cs="NewsGothicBT-Roman"/>
          <w:szCs w:val="24"/>
        </w:rPr>
        <w:t>https://www.epa.</w:t>
      </w:r>
      <w:r>
        <w:rPr>
          <w:rFonts w:cs="NewsGothicBT-Roman"/>
          <w:szCs w:val="24"/>
        </w:rPr>
        <w:t>gov/sites/production/files/2016</w:t>
      </w:r>
      <w:r w:rsidRPr="00175F13">
        <w:rPr>
          <w:rFonts w:cs="NewsGothicBT-Roman"/>
          <w:szCs w:val="24"/>
        </w:rPr>
        <w:t>05/documents/</w:t>
      </w:r>
      <w:r>
        <w:rPr>
          <w:rFonts w:cs="NewsGothicBT-Roman"/>
          <w:szCs w:val="24"/>
        </w:rPr>
        <w:br/>
      </w:r>
      <w:r w:rsidRPr="00175F13">
        <w:rPr>
          <w:rFonts w:cs="NewsGothicBT-Roman"/>
          <w:szCs w:val="24"/>
        </w:rPr>
        <w:t>tech_notes_6_dec2013_trend.pdf</w:t>
      </w:r>
    </w:p>
    <w:p w:rsidR="002140D8" w:rsidRDefault="002140D8" w:rsidP="003F15CA">
      <w:pPr>
        <w:pStyle w:val="Default"/>
        <w:tabs>
          <w:tab w:val="left" w:pos="360"/>
        </w:tabs>
        <w:ind w:left="360" w:hanging="360"/>
        <w:rPr>
          <w:rFonts w:cs="Univers 47 Condensed Light"/>
          <w:sz w:val="22"/>
          <w:szCs w:val="22"/>
        </w:rPr>
      </w:pPr>
    </w:p>
    <w:p w:rsidR="003F15CA" w:rsidRPr="00960033" w:rsidRDefault="003F15CA" w:rsidP="003F15CA">
      <w:pPr>
        <w:pStyle w:val="Default"/>
        <w:tabs>
          <w:tab w:val="left" w:pos="360"/>
        </w:tabs>
        <w:ind w:left="360" w:hanging="360"/>
        <w:rPr>
          <w:rFonts w:cs="Univers 47 Condensed Light"/>
          <w:i/>
          <w:iCs/>
          <w:sz w:val="22"/>
          <w:szCs w:val="22"/>
        </w:rPr>
      </w:pPr>
      <w:r w:rsidRPr="00960033">
        <w:rPr>
          <w:rFonts w:cs="Univers 47 Condensed Light"/>
          <w:sz w:val="22"/>
          <w:szCs w:val="22"/>
        </w:rPr>
        <w:t xml:space="preserve">Olson, S.A., 2014, Estimation of flood discharges at selected annual exceedance probabilities for unregulated, rural streams in Vermont, </w:t>
      </w:r>
      <w:r w:rsidRPr="00960033">
        <w:rPr>
          <w:rFonts w:cs="Univers 47 Condensed Light"/>
          <w:i/>
          <w:iCs/>
          <w:sz w:val="22"/>
          <w:szCs w:val="22"/>
        </w:rPr>
        <w:t xml:space="preserve">with a section on </w:t>
      </w:r>
      <w:r w:rsidRPr="00960033">
        <w:rPr>
          <w:rFonts w:cs="Univers 47 Condensed Light"/>
          <w:sz w:val="22"/>
          <w:szCs w:val="22"/>
        </w:rPr>
        <w:t xml:space="preserve">Vermont regional skew regression, by </w:t>
      </w:r>
      <w:proofErr w:type="spellStart"/>
      <w:r w:rsidRPr="00960033">
        <w:rPr>
          <w:rFonts w:cs="Univers 47 Condensed Light"/>
          <w:sz w:val="22"/>
          <w:szCs w:val="22"/>
        </w:rPr>
        <w:t>Veilleux</w:t>
      </w:r>
      <w:proofErr w:type="spellEnd"/>
      <w:r w:rsidRPr="00960033">
        <w:rPr>
          <w:rFonts w:cs="Univers 47 Condensed Light"/>
          <w:sz w:val="22"/>
          <w:szCs w:val="22"/>
        </w:rPr>
        <w:t xml:space="preserve">, A.G.: U.S. Geological Survey Scientific Investigations Report 2014–5078, 27 p. plus appendixes, </w:t>
      </w:r>
      <w:hyperlink r:id="rId20" w:history="1">
        <w:r w:rsidRPr="00960033">
          <w:rPr>
            <w:rStyle w:val="Hyperlink"/>
            <w:rFonts w:eastAsiaTheme="majorEastAsia" w:cs="Univers 47 Condensed Light"/>
            <w:i/>
            <w:iCs/>
            <w:sz w:val="22"/>
            <w:szCs w:val="22"/>
          </w:rPr>
          <w:t>http://dx.doi.org/10.3133/sir20145078</w:t>
        </w:r>
      </w:hyperlink>
      <w:r w:rsidRPr="00960033">
        <w:rPr>
          <w:rFonts w:cs="Univers 47 Condensed Light"/>
          <w:i/>
          <w:iCs/>
          <w:sz w:val="22"/>
          <w:szCs w:val="22"/>
        </w:rPr>
        <w:t>.</w:t>
      </w:r>
    </w:p>
    <w:p w:rsidR="003F15CA" w:rsidRPr="00960033" w:rsidRDefault="003F15CA" w:rsidP="003F15CA">
      <w:pPr>
        <w:pStyle w:val="Default"/>
        <w:tabs>
          <w:tab w:val="left" w:pos="360"/>
        </w:tabs>
        <w:ind w:left="360" w:hanging="360"/>
        <w:rPr>
          <w:sz w:val="22"/>
          <w:szCs w:val="22"/>
        </w:rPr>
      </w:pPr>
    </w:p>
    <w:p w:rsidR="006C75F2" w:rsidRPr="00960033" w:rsidRDefault="00AE4E0F" w:rsidP="00704FA4">
      <w:pPr>
        <w:spacing w:after="0" w:line="240" w:lineRule="auto"/>
        <w:ind w:left="360" w:hanging="360"/>
        <w:rPr>
          <w:color w:val="000000" w:themeColor="text1"/>
        </w:rPr>
      </w:pPr>
      <w:r w:rsidRPr="00960033">
        <w:rPr>
          <w:rFonts w:cs="Tahoma"/>
        </w:rPr>
        <w:t>South Mountain Research &amp; Consulting</w:t>
      </w:r>
      <w:r w:rsidR="006C75F2" w:rsidRPr="00960033">
        <w:rPr>
          <w:rFonts w:cs="Tahoma"/>
        </w:rPr>
        <w:t xml:space="preserve">, </w:t>
      </w:r>
      <w:r w:rsidR="00F44D10" w:rsidRPr="00960033">
        <w:rPr>
          <w:rFonts w:cs="Tahoma"/>
        </w:rPr>
        <w:t xml:space="preserve">2013, </w:t>
      </w:r>
      <w:r w:rsidR="00F44D10" w:rsidRPr="00960033">
        <w:rPr>
          <w:color w:val="000000" w:themeColor="text1"/>
        </w:rPr>
        <w:t>Water Quality Management Plan</w:t>
      </w:r>
      <w:r w:rsidR="00704FA4">
        <w:rPr>
          <w:color w:val="000000" w:themeColor="text1"/>
        </w:rPr>
        <w:t xml:space="preserve">: </w:t>
      </w:r>
      <w:r w:rsidR="00F44D10" w:rsidRPr="00960033">
        <w:rPr>
          <w:color w:val="000000" w:themeColor="text1"/>
        </w:rPr>
        <w:t>Pond Brook Tributary, Lewis Creek Watershed</w:t>
      </w:r>
      <w:r w:rsidRPr="00960033">
        <w:rPr>
          <w:color w:val="000000" w:themeColor="text1"/>
        </w:rPr>
        <w:t>, prepared under contract to Lewis Creek Association.</w:t>
      </w:r>
    </w:p>
    <w:p w:rsidR="00960033" w:rsidRPr="00960033" w:rsidRDefault="00960033" w:rsidP="00960033">
      <w:pPr>
        <w:spacing w:after="0" w:line="240" w:lineRule="auto"/>
        <w:ind w:left="360" w:hanging="360"/>
        <w:rPr>
          <w:color w:val="000000" w:themeColor="text1"/>
        </w:rPr>
      </w:pPr>
    </w:p>
    <w:p w:rsidR="00AE4E0F" w:rsidRPr="00960033" w:rsidRDefault="00AE4E0F" w:rsidP="00960033">
      <w:pPr>
        <w:autoSpaceDE w:val="0"/>
        <w:autoSpaceDN w:val="0"/>
        <w:adjustRightInd w:val="0"/>
        <w:spacing w:after="0" w:line="240" w:lineRule="auto"/>
        <w:ind w:left="360" w:hanging="360"/>
        <w:rPr>
          <w:color w:val="000000" w:themeColor="text1"/>
        </w:rPr>
      </w:pPr>
      <w:r w:rsidRPr="00960033">
        <w:rPr>
          <w:rFonts w:cs="Tahoma"/>
        </w:rPr>
        <w:t>South Mountain Research &amp; Consulting</w:t>
      </w:r>
      <w:r w:rsidR="006C75F2" w:rsidRPr="00960033">
        <w:rPr>
          <w:rFonts w:cs="Tahoma"/>
        </w:rPr>
        <w:t xml:space="preserve">, </w:t>
      </w:r>
      <w:r w:rsidRPr="00960033">
        <w:rPr>
          <w:rFonts w:cs="Tahoma"/>
        </w:rPr>
        <w:t xml:space="preserve">2010, </w:t>
      </w:r>
      <w:r w:rsidRPr="00960033">
        <w:rPr>
          <w:rFonts w:cstheme="minorHAnsi"/>
          <w:bCs/>
        </w:rPr>
        <w:t xml:space="preserve">Lewis Creek Watershed: River Corridor Conservation &amp; Management Plan, </w:t>
      </w:r>
      <w:r w:rsidRPr="00960033">
        <w:rPr>
          <w:rFonts w:cstheme="minorHAnsi"/>
        </w:rPr>
        <w:t xml:space="preserve">Addison &amp; Chittenden Counties, Vermont, </w:t>
      </w:r>
      <w:r w:rsidRPr="00960033">
        <w:rPr>
          <w:color w:val="000000" w:themeColor="text1"/>
        </w:rPr>
        <w:t>prepared under contract to Lewis Creek Association.</w:t>
      </w:r>
    </w:p>
    <w:p w:rsidR="00AE4E0F" w:rsidRPr="00960033" w:rsidRDefault="00AE4E0F" w:rsidP="00AE4E0F">
      <w:pPr>
        <w:autoSpaceDE w:val="0"/>
        <w:autoSpaceDN w:val="0"/>
        <w:adjustRightInd w:val="0"/>
        <w:spacing w:after="0" w:line="240" w:lineRule="auto"/>
        <w:rPr>
          <w:rFonts w:cstheme="minorHAnsi"/>
          <w:bCs/>
        </w:rPr>
      </w:pPr>
    </w:p>
    <w:p w:rsidR="00F26E3E" w:rsidRPr="00960033" w:rsidRDefault="00F26E3E" w:rsidP="00F26E3E">
      <w:pPr>
        <w:spacing w:after="120" w:line="240" w:lineRule="auto"/>
        <w:ind w:left="360" w:hanging="360"/>
        <w:rPr>
          <w:rFonts w:cs="Tahoma"/>
        </w:rPr>
      </w:pPr>
      <w:r w:rsidRPr="00960033">
        <w:rPr>
          <w:rFonts w:cs="Tahoma"/>
        </w:rPr>
        <w:t xml:space="preserve">Stewart, David P., 1973.  </w:t>
      </w:r>
      <w:r w:rsidRPr="00960033">
        <w:rPr>
          <w:rFonts w:cs="Tahoma"/>
          <w:i/>
        </w:rPr>
        <w:t>Geology for Environmental Planning in the Burlington-Middlebury Region, Vermont</w:t>
      </w:r>
      <w:r w:rsidRPr="00960033">
        <w:rPr>
          <w:rFonts w:cs="Tahoma"/>
        </w:rPr>
        <w:t>.  Vermont Geological Survey, Environmental Geology No. 3. Montpelier, Vermont: Water Resources Department.</w:t>
      </w:r>
    </w:p>
    <w:p w:rsidR="00F26E3E" w:rsidRPr="00960033" w:rsidRDefault="00F26E3E" w:rsidP="00F26E3E">
      <w:pPr>
        <w:spacing w:after="120" w:line="240" w:lineRule="auto"/>
        <w:ind w:left="360" w:hanging="360"/>
        <w:rPr>
          <w:rFonts w:cs="Tahoma"/>
        </w:rPr>
      </w:pPr>
      <w:r w:rsidRPr="00960033">
        <w:rPr>
          <w:rFonts w:cs="Tahoma"/>
        </w:rPr>
        <w:t xml:space="preserve">Stewart, David P. and Paul </w:t>
      </w:r>
      <w:proofErr w:type="spellStart"/>
      <w:r w:rsidRPr="00960033">
        <w:rPr>
          <w:rFonts w:cs="Tahoma"/>
        </w:rPr>
        <w:t>MacClintock</w:t>
      </w:r>
      <w:proofErr w:type="spellEnd"/>
      <w:r w:rsidRPr="00960033">
        <w:rPr>
          <w:rFonts w:cs="Tahoma"/>
        </w:rPr>
        <w:t xml:space="preserve">, 1969, </w:t>
      </w:r>
      <w:proofErr w:type="gramStart"/>
      <w:r w:rsidRPr="00960033">
        <w:rPr>
          <w:rFonts w:cs="Tahoma"/>
          <w:i/>
        </w:rPr>
        <w:t>The</w:t>
      </w:r>
      <w:proofErr w:type="gramEnd"/>
      <w:r w:rsidRPr="00960033">
        <w:rPr>
          <w:rFonts w:cs="Tahoma"/>
          <w:i/>
        </w:rPr>
        <w:t xml:space="preserve"> Surficial Geology and Pleistocene History of Vermont</w:t>
      </w:r>
      <w:r w:rsidRPr="00960033">
        <w:rPr>
          <w:rFonts w:cs="Tahoma"/>
        </w:rPr>
        <w:t>.  Vermont Geological Survey Bulletin No. 31.</w:t>
      </w:r>
    </w:p>
    <w:p w:rsidR="003F15CA" w:rsidRPr="00E17411" w:rsidRDefault="00F26E3E" w:rsidP="00E17411">
      <w:pPr>
        <w:tabs>
          <w:tab w:val="left" w:pos="900"/>
        </w:tabs>
        <w:autoSpaceDE w:val="0"/>
        <w:autoSpaceDN w:val="0"/>
        <w:adjustRightInd w:val="0"/>
        <w:spacing w:after="0" w:line="240" w:lineRule="auto"/>
        <w:ind w:left="360" w:hanging="360"/>
        <w:rPr>
          <w:rFonts w:cs="Tahoma"/>
          <w:bCs/>
        </w:rPr>
      </w:pPr>
      <w:r w:rsidRPr="00960033">
        <w:t xml:space="preserve">Troy, Austin, Deane Wang, &amp; David </w:t>
      </w:r>
      <w:proofErr w:type="spellStart"/>
      <w:r w:rsidRPr="00960033">
        <w:t>Capen</w:t>
      </w:r>
      <w:proofErr w:type="spellEnd"/>
      <w:r w:rsidRPr="00960033">
        <w:t xml:space="preserve">, 2007.  </w:t>
      </w:r>
      <w:r w:rsidRPr="00960033">
        <w:rPr>
          <w:rFonts w:cs="Tahoma"/>
          <w:bCs/>
        </w:rPr>
        <w:t>Updating the Lake Champlain Basin Land Use Data to Improve Prediction of Phosphorus Loading, Lake Champlain Basin Pr</w:t>
      </w:r>
      <w:r w:rsidR="00E17411">
        <w:rPr>
          <w:rFonts w:cs="Tahoma"/>
          <w:bCs/>
        </w:rPr>
        <w:t>ogram, Technical Report No. 54.</w:t>
      </w:r>
      <w:r w:rsidR="00E17411">
        <w:rPr>
          <w:rFonts w:cs="Tahoma"/>
          <w:bCs/>
        </w:rPr>
        <w:br/>
      </w:r>
    </w:p>
    <w:p w:rsidR="003F15CA" w:rsidRDefault="003F15CA" w:rsidP="00E17411">
      <w:pPr>
        <w:ind w:left="360" w:right="360" w:hanging="360"/>
        <w:rPr>
          <w:rFonts w:ascii="Calibri" w:hAnsi="Calibri"/>
        </w:rPr>
      </w:pPr>
      <w:r w:rsidRPr="00960033">
        <w:rPr>
          <w:rFonts w:ascii="Calibri" w:hAnsi="Calibri"/>
        </w:rPr>
        <w:t>USGS, 2017, on-line surface water data, &lt;</w:t>
      </w:r>
      <w:hyperlink r:id="rId21" w:history="1">
        <w:r w:rsidRPr="00960033">
          <w:rPr>
            <w:rStyle w:val="Hyperlink"/>
            <w:rFonts w:ascii="Calibri" w:hAnsi="Calibri"/>
          </w:rPr>
          <w:t>http://waterdata.usgs.gov/vt/nwis</w:t>
        </w:r>
      </w:hyperlink>
      <w:r w:rsidR="00E17411">
        <w:rPr>
          <w:rFonts w:ascii="Calibri" w:hAnsi="Calibri"/>
        </w:rPr>
        <w:t>&gt;.</w:t>
      </w:r>
    </w:p>
    <w:p w:rsidR="00E17411" w:rsidRPr="00960033" w:rsidRDefault="00034267" w:rsidP="00E17411">
      <w:pPr>
        <w:ind w:left="360" w:right="360" w:hanging="360"/>
        <w:rPr>
          <w:rFonts w:ascii="Calibri" w:hAnsi="Calibri"/>
        </w:rPr>
      </w:pPr>
      <w:r>
        <w:rPr>
          <w:rFonts w:ascii="Calibri" w:hAnsi="Calibri"/>
        </w:rPr>
        <w:t xml:space="preserve">USGS, </w:t>
      </w:r>
      <w:r w:rsidR="00E17411">
        <w:rPr>
          <w:rFonts w:ascii="Calibri" w:hAnsi="Calibri"/>
        </w:rPr>
        <w:t>2015 Water Year Summary for Site USGS 04282780</w:t>
      </w:r>
      <w:proofErr w:type="gramStart"/>
      <w:r w:rsidR="00E17411">
        <w:rPr>
          <w:rFonts w:ascii="Calibri" w:hAnsi="Calibri"/>
        </w:rPr>
        <w:t>,  available</w:t>
      </w:r>
      <w:proofErr w:type="gramEnd"/>
      <w:r w:rsidR="00E17411">
        <w:rPr>
          <w:rFonts w:ascii="Calibri" w:hAnsi="Calibri"/>
        </w:rPr>
        <w:t xml:space="preserve"> at </w:t>
      </w:r>
      <w:r w:rsidR="00E17411" w:rsidRPr="00E17411">
        <w:rPr>
          <w:rFonts w:ascii="Calibri" w:hAnsi="Calibri"/>
        </w:rPr>
        <w:t>https://waterdata.usgs.gov/nwis/wys_rpt/?site_no=04282780&amp;agency_cd=USGS</w:t>
      </w:r>
    </w:p>
    <w:p w:rsidR="00CA2632" w:rsidRPr="00960033" w:rsidRDefault="003F15CA" w:rsidP="00CA2632">
      <w:pPr>
        <w:ind w:left="360" w:hanging="360"/>
        <w:rPr>
          <w:rFonts w:ascii="Calibri" w:hAnsi="Calibri"/>
        </w:rPr>
      </w:pPr>
      <w:r w:rsidRPr="00960033">
        <w:rPr>
          <w:rFonts w:ascii="Calibri" w:hAnsi="Calibri"/>
        </w:rPr>
        <w:t xml:space="preserve">VTDEC, 2011, </w:t>
      </w:r>
      <w:r w:rsidRPr="00960033">
        <w:rPr>
          <w:rFonts w:ascii="Calibri" w:hAnsi="Calibri"/>
          <w:i/>
        </w:rPr>
        <w:t>Vermont Statewide Total Maximum Daily Load (TMDL) for Bacteria Impaired Waters</w:t>
      </w:r>
      <w:r w:rsidRPr="00960033">
        <w:rPr>
          <w:rFonts w:ascii="Calibri" w:hAnsi="Calibri"/>
        </w:rPr>
        <w:t>, prepared by FB Environmental Associates, Inc., Por</w:t>
      </w:r>
      <w:r w:rsidR="00C85008" w:rsidRPr="00960033">
        <w:rPr>
          <w:rFonts w:ascii="Calibri" w:hAnsi="Calibri"/>
        </w:rPr>
        <w:t xml:space="preserve">tland, ME.  </w:t>
      </w:r>
      <w:proofErr w:type="gramStart"/>
      <w:r w:rsidR="00CA2632" w:rsidRPr="00960033">
        <w:rPr>
          <w:rFonts w:ascii="Calibri" w:hAnsi="Calibri"/>
        </w:rPr>
        <w:t>and</w:t>
      </w:r>
      <w:proofErr w:type="gramEnd"/>
      <w:r w:rsidR="00C85008" w:rsidRPr="00960033">
        <w:rPr>
          <w:rFonts w:ascii="Calibri" w:hAnsi="Calibri"/>
        </w:rPr>
        <w:t xml:space="preserve"> Appendix</w:t>
      </w:r>
      <w:r w:rsidRPr="00960033">
        <w:rPr>
          <w:rFonts w:ascii="Calibri" w:hAnsi="Calibri"/>
        </w:rPr>
        <w:t xml:space="preserve"> </w:t>
      </w:r>
      <w:r w:rsidR="00C85008" w:rsidRPr="00960033">
        <w:rPr>
          <w:rFonts w:ascii="Calibri" w:hAnsi="Calibri"/>
        </w:rPr>
        <w:t>5</w:t>
      </w:r>
      <w:r w:rsidRPr="00960033">
        <w:rPr>
          <w:rFonts w:ascii="Calibri" w:hAnsi="Calibri"/>
        </w:rPr>
        <w:t>.</w:t>
      </w:r>
      <w:r w:rsidR="00CA2632" w:rsidRPr="00960033">
        <w:rPr>
          <w:rFonts w:ascii="Calibri" w:hAnsi="Calibri"/>
        </w:rPr>
        <w:t xml:space="preserve">  Available at: http://dec.vermont.gov/sites/dec/files/wsm/mapp/docs/mp_bacteriatmdl.pdf http://dec.vermont.gov/sites/dec/files/documents/WSMD_mapp_5lewiscreekpondbrook.pdf</w:t>
      </w:r>
    </w:p>
    <w:p w:rsidR="00323F86" w:rsidRPr="001D5C88" w:rsidRDefault="00323F86" w:rsidP="00323F86">
      <w:pPr>
        <w:ind w:left="360" w:right="360" w:hanging="360"/>
        <w:rPr>
          <w:rFonts w:ascii="Calibri" w:hAnsi="Calibri"/>
        </w:rPr>
      </w:pPr>
      <w:proofErr w:type="gramStart"/>
      <w:r w:rsidRPr="001D5C88">
        <w:rPr>
          <w:rFonts w:ascii="Calibri" w:hAnsi="Calibri"/>
        </w:rPr>
        <w:t xml:space="preserve">VTDEC, 2012, </w:t>
      </w:r>
      <w:r w:rsidRPr="001D5C88">
        <w:rPr>
          <w:rFonts w:ascii="Calibri" w:hAnsi="Calibri"/>
          <w:i/>
        </w:rPr>
        <w:t>Otter Creek Basin Water Quality Management Plan</w:t>
      </w:r>
      <w:r w:rsidRPr="001D5C88">
        <w:rPr>
          <w:rFonts w:ascii="Calibri" w:hAnsi="Calibri"/>
        </w:rPr>
        <w:t>, including appendices.</w:t>
      </w:r>
      <w:proofErr w:type="gramEnd"/>
      <w:r w:rsidRPr="001D5C88">
        <w:rPr>
          <w:rFonts w:ascii="Calibri" w:hAnsi="Calibri"/>
        </w:rPr>
        <w:t xml:space="preserve">  Available at: http://dec.vermont.gov/sites/dec/files/wsm/mapp/docs/mp_ottercreekplan.pdf http://dec.vermont.gov/sites/dec/files/wsm/mapp/docs/mp_ottercreekappendix.pdf</w:t>
      </w:r>
    </w:p>
    <w:p w:rsidR="00F26E3E" w:rsidRPr="00960033" w:rsidRDefault="00F26E3E" w:rsidP="00F26E3E">
      <w:pPr>
        <w:spacing w:after="120" w:line="240" w:lineRule="auto"/>
        <w:ind w:left="360" w:hanging="360"/>
        <w:rPr>
          <w:rFonts w:cs="Tahoma"/>
        </w:rPr>
      </w:pPr>
      <w:r w:rsidRPr="00960033">
        <w:rPr>
          <w:rFonts w:cs="Tahoma"/>
        </w:rPr>
        <w:t>VT D</w:t>
      </w:r>
      <w:r w:rsidR="0010527D" w:rsidRPr="00960033">
        <w:rPr>
          <w:rFonts w:cs="Tahoma"/>
        </w:rPr>
        <w:t>EC Water Quality Division, 2016</w:t>
      </w:r>
      <w:r w:rsidRPr="00960033">
        <w:rPr>
          <w:rFonts w:cs="Tahoma"/>
        </w:rPr>
        <w:t xml:space="preserve">, </w:t>
      </w:r>
      <w:r w:rsidRPr="00960033">
        <w:rPr>
          <w:rFonts w:cs="Tahoma"/>
          <w:i/>
        </w:rPr>
        <w:t>State of Vermont</w:t>
      </w:r>
      <w:r w:rsidR="0010527D" w:rsidRPr="00960033">
        <w:rPr>
          <w:rFonts w:cs="Tahoma"/>
          <w:i/>
        </w:rPr>
        <w:t xml:space="preserve"> 2016 </w:t>
      </w:r>
      <w:r w:rsidRPr="00960033">
        <w:rPr>
          <w:rFonts w:cs="Tahoma"/>
          <w:i/>
        </w:rPr>
        <w:t>303(d) List of Waters</w:t>
      </w:r>
      <w:r w:rsidRPr="00960033">
        <w:rPr>
          <w:rFonts w:cs="Tahoma"/>
        </w:rPr>
        <w:t xml:space="preserve">: </w:t>
      </w:r>
      <w:r w:rsidR="0010527D" w:rsidRPr="00960033">
        <w:rPr>
          <w:rFonts w:cs="Tahoma"/>
          <w:i/>
        </w:rPr>
        <w:t>Part D</w:t>
      </w:r>
      <w:r w:rsidRPr="00960033">
        <w:rPr>
          <w:rFonts w:cs="Tahoma"/>
          <w:i/>
        </w:rPr>
        <w:t xml:space="preserve"> – Impaired Surface Waters in Need of TMDL</w:t>
      </w:r>
      <w:r w:rsidRPr="00960033">
        <w:rPr>
          <w:rFonts w:cs="Tahoma"/>
        </w:rPr>
        <w:t>.</w:t>
      </w:r>
    </w:p>
    <w:p w:rsidR="00F26E3E" w:rsidRPr="00960033" w:rsidRDefault="00F26E3E" w:rsidP="00F26E3E">
      <w:pPr>
        <w:spacing w:after="120" w:line="240" w:lineRule="auto"/>
        <w:ind w:left="360" w:hanging="360"/>
        <w:rPr>
          <w:rFonts w:cs="Tahoma"/>
        </w:rPr>
      </w:pPr>
      <w:r w:rsidRPr="00960033">
        <w:rPr>
          <w:rFonts w:cs="Tahoma"/>
        </w:rPr>
        <w:t xml:space="preserve">VT DEC Water Quality Division, 2010b, </w:t>
      </w:r>
      <w:r w:rsidRPr="00960033">
        <w:rPr>
          <w:rFonts w:cs="Tahoma"/>
          <w:i/>
        </w:rPr>
        <w:t>State of Vermont 2008 List of Priority Surface Waters Outside the Scope of Clean Water Act Section 303(d)</w:t>
      </w:r>
      <w:r w:rsidRPr="00960033">
        <w:rPr>
          <w:rFonts w:cs="Tahoma"/>
        </w:rPr>
        <w:t xml:space="preserve">: </w:t>
      </w:r>
      <w:r w:rsidRPr="00960033">
        <w:rPr>
          <w:rFonts w:cs="Tahoma"/>
          <w:i/>
        </w:rPr>
        <w:t>Part C – Surface Waters in Need of Further Assessment</w:t>
      </w:r>
      <w:r w:rsidRPr="00960033">
        <w:rPr>
          <w:rFonts w:cs="Tahoma"/>
        </w:rPr>
        <w:t>.</w:t>
      </w:r>
    </w:p>
    <w:p w:rsidR="003F15CA" w:rsidRPr="00960033" w:rsidRDefault="003F15CA" w:rsidP="00504C20">
      <w:pPr>
        <w:ind w:left="360" w:hanging="360"/>
        <w:rPr>
          <w:rFonts w:ascii="Calibri" w:hAnsi="Calibri"/>
        </w:rPr>
      </w:pPr>
      <w:r w:rsidRPr="00960033">
        <w:rPr>
          <w:rFonts w:ascii="Calibri" w:hAnsi="Calibri"/>
        </w:rPr>
        <w:t>Vermont Watershed Management Division, 20</w:t>
      </w:r>
      <w:r w:rsidR="00504C20" w:rsidRPr="00960033">
        <w:rPr>
          <w:rFonts w:ascii="Calibri" w:hAnsi="Calibri"/>
        </w:rPr>
        <w:t>16</w:t>
      </w:r>
      <w:r w:rsidRPr="00960033">
        <w:rPr>
          <w:rFonts w:ascii="Calibri" w:hAnsi="Calibri"/>
        </w:rPr>
        <w:t xml:space="preserve">.  </w:t>
      </w:r>
      <w:r w:rsidRPr="00960033">
        <w:rPr>
          <w:rFonts w:ascii="Calibri" w:hAnsi="Calibri"/>
          <w:i/>
        </w:rPr>
        <w:t>Vermont Water Quality Standards</w:t>
      </w:r>
      <w:r w:rsidRPr="00960033">
        <w:rPr>
          <w:rFonts w:ascii="Calibri" w:hAnsi="Calibri"/>
        </w:rPr>
        <w:t xml:space="preserve">. </w:t>
      </w:r>
      <w:r w:rsidRPr="00960033">
        <w:rPr>
          <w:rFonts w:ascii="Calibri" w:hAnsi="Calibri"/>
        </w:rPr>
        <w:br/>
        <w:t xml:space="preserve">Effective </w:t>
      </w:r>
      <w:r w:rsidR="00504C20" w:rsidRPr="00960033">
        <w:rPr>
          <w:rFonts w:ascii="Calibri" w:hAnsi="Calibri"/>
        </w:rPr>
        <w:t>15</w:t>
      </w:r>
      <w:r w:rsidRPr="00960033">
        <w:rPr>
          <w:rFonts w:ascii="Calibri" w:hAnsi="Calibri"/>
        </w:rPr>
        <w:t xml:space="preserve"> </w:t>
      </w:r>
      <w:r w:rsidR="00504C20" w:rsidRPr="00960033">
        <w:rPr>
          <w:rFonts w:ascii="Calibri" w:hAnsi="Calibri"/>
        </w:rPr>
        <w:t>January 2017</w:t>
      </w:r>
      <w:r w:rsidRPr="00960033">
        <w:rPr>
          <w:rFonts w:ascii="Calibri" w:hAnsi="Calibri"/>
        </w:rPr>
        <w:t xml:space="preserve">.  Montpelier, VT.  </w:t>
      </w:r>
      <w:r w:rsidR="00504C20" w:rsidRPr="00960033">
        <w:rPr>
          <w:rFonts w:ascii="Calibri" w:hAnsi="Calibri"/>
        </w:rPr>
        <w:t xml:space="preserve"> Available at: </w:t>
      </w:r>
      <w:r w:rsidR="00504C20" w:rsidRPr="00960033">
        <w:t>http://dec.vermont.gov/sites/dec/files/documents/wsmd_water_quality_standards_2016.pdf</w:t>
      </w:r>
    </w:p>
    <w:p w:rsidR="003F15CA" w:rsidRPr="00960033" w:rsidRDefault="003F15CA" w:rsidP="003F15CA">
      <w:pPr>
        <w:ind w:left="360" w:hanging="360"/>
        <w:rPr>
          <w:rFonts w:ascii="Calibri" w:hAnsi="Calibri"/>
        </w:rPr>
      </w:pPr>
    </w:p>
    <w:p w:rsidR="00884987" w:rsidRDefault="00884987"/>
    <w:p w:rsidR="00F02B43" w:rsidRDefault="00F02B43"/>
    <w:p w:rsidR="00D71724" w:rsidRDefault="00D71724" w:rsidP="00F02B43">
      <w:pPr>
        <w:sectPr w:rsidR="00D71724" w:rsidSect="001B230D">
          <w:pgSz w:w="12240" w:h="15840"/>
          <w:pgMar w:top="1440" w:right="1710" w:bottom="1440" w:left="1440" w:header="720" w:footer="720" w:gutter="0"/>
          <w:cols w:space="720"/>
          <w:docGrid w:linePitch="360"/>
        </w:sectPr>
      </w:pPr>
      <w:r>
        <w:t xml:space="preserve">  </w:t>
      </w:r>
    </w:p>
    <w:p w:rsidR="00242FCB" w:rsidRDefault="00242FCB" w:rsidP="00F02B43"/>
    <w:p w:rsidR="00B86E18" w:rsidRDefault="009F1B1F" w:rsidP="00F02B43">
      <w:pPr>
        <w:rPr>
          <w:sz w:val="24"/>
        </w:rPr>
      </w:pPr>
      <w:proofErr w:type="gramStart"/>
      <w:r>
        <w:rPr>
          <w:sz w:val="24"/>
        </w:rPr>
        <w:t>Appendix A.</w:t>
      </w:r>
      <w:proofErr w:type="gramEnd"/>
      <w:r>
        <w:rPr>
          <w:sz w:val="24"/>
        </w:rPr>
        <w:t xml:space="preserve">  </w:t>
      </w:r>
    </w:p>
    <w:p w:rsidR="00F02B43" w:rsidRPr="00242FCB" w:rsidRDefault="009F1B1F" w:rsidP="00F02B43">
      <w:pPr>
        <w:rPr>
          <w:sz w:val="24"/>
        </w:rPr>
      </w:pPr>
      <w:proofErr w:type="gramStart"/>
      <w:r>
        <w:rPr>
          <w:sz w:val="24"/>
        </w:rPr>
        <w:t>Table A-1</w:t>
      </w:r>
      <w:r w:rsidR="00094394" w:rsidRPr="00242FCB">
        <w:rPr>
          <w:sz w:val="24"/>
        </w:rPr>
        <w:t>.</w:t>
      </w:r>
      <w:proofErr w:type="gramEnd"/>
      <w:r w:rsidR="00094394" w:rsidRPr="00242FCB">
        <w:rPr>
          <w:sz w:val="24"/>
        </w:rPr>
        <w:t xml:space="preserve">   Monitoring History for </w:t>
      </w:r>
      <w:r w:rsidR="00242FCB" w:rsidRPr="00242FCB">
        <w:rPr>
          <w:sz w:val="24"/>
        </w:rPr>
        <w:t>Sentinel</w:t>
      </w:r>
      <w:r w:rsidR="00094394" w:rsidRPr="00242FCB">
        <w:rPr>
          <w:sz w:val="24"/>
        </w:rPr>
        <w:t xml:space="preserve"> Stations, Lewis Creek watershed</w:t>
      </w:r>
    </w:p>
    <w:p w:rsidR="00094394" w:rsidRDefault="00094394" w:rsidP="00F02B43">
      <w:r w:rsidRPr="00094394">
        <w:rPr>
          <w:noProof/>
        </w:rPr>
        <w:drawing>
          <wp:inline distT="0" distB="0" distL="0" distR="0">
            <wp:extent cx="8229600" cy="3209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0" cy="3209544"/>
                    </a:xfrm>
                    <a:prstGeom prst="rect">
                      <a:avLst/>
                    </a:prstGeom>
                    <a:noFill/>
                    <a:ln>
                      <a:noFill/>
                    </a:ln>
                  </pic:spPr>
                </pic:pic>
              </a:graphicData>
            </a:graphic>
          </wp:inline>
        </w:drawing>
      </w:r>
    </w:p>
    <w:p w:rsidR="00884987" w:rsidRDefault="00884987" w:rsidP="00F02B43"/>
    <w:p w:rsidR="00884987" w:rsidRDefault="00884987" w:rsidP="00F02B43">
      <w:pPr>
        <w:sectPr w:rsidR="00884987" w:rsidSect="00094394">
          <w:pgSz w:w="15840" w:h="12240" w:orient="landscape"/>
          <w:pgMar w:top="1440" w:right="1440" w:bottom="1440" w:left="1440" w:header="720" w:footer="720" w:gutter="0"/>
          <w:cols w:space="720"/>
          <w:docGrid w:linePitch="360"/>
        </w:sectPr>
      </w:pPr>
    </w:p>
    <w:p w:rsidR="00884987" w:rsidRDefault="000C2831" w:rsidP="00F02B43">
      <w:r>
        <w:lastRenderedPageBreak/>
        <w:t>Table A-2</w:t>
      </w:r>
      <w:r w:rsidR="00884987">
        <w:t>.  Trend Analysis Results</w:t>
      </w:r>
    </w:p>
    <w:p w:rsidR="00884987" w:rsidRDefault="00884987" w:rsidP="00F02B43">
      <w:pPr>
        <w:sectPr w:rsidR="00884987" w:rsidSect="00094394">
          <w:footerReference w:type="default" r:id="rId23"/>
          <w:pgSz w:w="15840" w:h="12240" w:orient="landscape"/>
          <w:pgMar w:top="1440" w:right="1440" w:bottom="1440" w:left="1440" w:header="720" w:footer="720" w:gutter="0"/>
          <w:cols w:space="720"/>
          <w:docGrid w:linePitch="360"/>
        </w:sectPr>
      </w:pPr>
      <w:r w:rsidRPr="00884987">
        <w:rPr>
          <w:noProof/>
        </w:rPr>
        <w:drawing>
          <wp:inline distT="0" distB="0" distL="0" distR="0">
            <wp:extent cx="7610475" cy="55999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14294" cy="5602798"/>
                    </a:xfrm>
                    <a:prstGeom prst="rect">
                      <a:avLst/>
                    </a:prstGeom>
                    <a:noFill/>
                    <a:ln>
                      <a:noFill/>
                    </a:ln>
                  </pic:spPr>
                </pic:pic>
              </a:graphicData>
            </a:graphic>
          </wp:inline>
        </w:drawing>
      </w:r>
    </w:p>
    <w:p w:rsidR="003276E8" w:rsidRDefault="003276E8" w:rsidP="001B230D"/>
    <w:sectPr w:rsidR="003276E8" w:rsidSect="00C42D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02" w:rsidRDefault="00765702" w:rsidP="006F0DBE">
      <w:pPr>
        <w:spacing w:after="0" w:line="240" w:lineRule="auto"/>
      </w:pPr>
      <w:r>
        <w:separator/>
      </w:r>
    </w:p>
  </w:endnote>
  <w:endnote w:type="continuationSeparator" w:id="0">
    <w:p w:rsidR="00765702" w:rsidRDefault="00765702" w:rsidP="006F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Univers 47 Condensed Light">
    <w:altName w:val="Univers 47 Condensed Light"/>
    <w:panose1 w:val="00000000000000000000"/>
    <w:charset w:val="00"/>
    <w:family w:val="swiss"/>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18" w:rsidRDefault="00B86E18">
    <w:pPr>
      <w:pStyle w:val="Footer"/>
      <w:jc w:val="center"/>
    </w:pPr>
  </w:p>
  <w:p w:rsidR="00B86E18" w:rsidRDefault="00B86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18" w:rsidRDefault="00B86E18">
    <w:pPr>
      <w:pStyle w:val="Footer"/>
      <w:jc w:val="center"/>
    </w:pPr>
  </w:p>
  <w:p w:rsidR="00B86E18" w:rsidRDefault="00B86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933707"/>
      <w:docPartObj>
        <w:docPartGallery w:val="Page Numbers (Bottom of Page)"/>
        <w:docPartUnique/>
      </w:docPartObj>
    </w:sdtPr>
    <w:sdtEndPr>
      <w:rPr>
        <w:noProof/>
      </w:rPr>
    </w:sdtEndPr>
    <w:sdtContent>
      <w:p w:rsidR="00B86E18" w:rsidRDefault="00B86E18">
        <w:pPr>
          <w:pStyle w:val="Footer"/>
          <w:jc w:val="center"/>
        </w:pPr>
        <w:r>
          <w:fldChar w:fldCharType="begin"/>
        </w:r>
        <w:r>
          <w:instrText xml:space="preserve"> PAGE   \* MERGEFORMAT </w:instrText>
        </w:r>
        <w:r>
          <w:fldChar w:fldCharType="separate"/>
        </w:r>
        <w:r w:rsidR="00CC7CBC">
          <w:rPr>
            <w:noProof/>
          </w:rPr>
          <w:t>i</w:t>
        </w:r>
        <w:r>
          <w:rPr>
            <w:noProof/>
          </w:rPr>
          <w:fldChar w:fldCharType="end"/>
        </w:r>
      </w:p>
    </w:sdtContent>
  </w:sdt>
  <w:p w:rsidR="00B86E18" w:rsidRDefault="00B86E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24735"/>
      <w:docPartObj>
        <w:docPartGallery w:val="Page Numbers (Bottom of Page)"/>
        <w:docPartUnique/>
      </w:docPartObj>
    </w:sdtPr>
    <w:sdtEndPr>
      <w:rPr>
        <w:noProof/>
      </w:rPr>
    </w:sdtEndPr>
    <w:sdtContent>
      <w:p w:rsidR="001B230D" w:rsidRDefault="001B230D">
        <w:pPr>
          <w:pStyle w:val="Footer"/>
          <w:jc w:val="center"/>
        </w:pPr>
        <w:r>
          <w:fldChar w:fldCharType="begin"/>
        </w:r>
        <w:r>
          <w:instrText xml:space="preserve"> PAGE   \* MERGEFORMAT </w:instrText>
        </w:r>
        <w:r>
          <w:fldChar w:fldCharType="separate"/>
        </w:r>
        <w:r w:rsidR="00CC7CBC">
          <w:rPr>
            <w:noProof/>
          </w:rPr>
          <w:t>16</w:t>
        </w:r>
        <w:r>
          <w:rPr>
            <w:noProof/>
          </w:rPr>
          <w:fldChar w:fldCharType="end"/>
        </w:r>
      </w:p>
    </w:sdtContent>
  </w:sdt>
  <w:p w:rsidR="001B230D" w:rsidRDefault="001B2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02" w:rsidRDefault="00765702" w:rsidP="006F0DBE">
      <w:pPr>
        <w:spacing w:after="0" w:line="240" w:lineRule="auto"/>
      </w:pPr>
      <w:r>
        <w:separator/>
      </w:r>
    </w:p>
  </w:footnote>
  <w:footnote w:type="continuationSeparator" w:id="0">
    <w:p w:rsidR="00765702" w:rsidRDefault="00765702" w:rsidP="006F0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48F"/>
    <w:multiLevelType w:val="hybridMultilevel"/>
    <w:tmpl w:val="A3C0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10D8"/>
    <w:multiLevelType w:val="hybridMultilevel"/>
    <w:tmpl w:val="378C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42C1D"/>
    <w:multiLevelType w:val="hybridMultilevel"/>
    <w:tmpl w:val="B7E0BE76"/>
    <w:lvl w:ilvl="0" w:tplc="C884E3C6">
      <w:start w:val="3"/>
      <w:numFmt w:val="bullet"/>
      <w:lvlText w:val=""/>
      <w:lvlJc w:val="left"/>
      <w:pPr>
        <w:ind w:left="465" w:hanging="360"/>
      </w:pPr>
      <w:rPr>
        <w:rFonts w:ascii="Wingdings" w:eastAsiaTheme="minorHAnsi" w:hAnsi="Wingdings"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2CE177CF"/>
    <w:multiLevelType w:val="multilevel"/>
    <w:tmpl w:val="1C484A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951B2C"/>
    <w:multiLevelType w:val="hybridMultilevel"/>
    <w:tmpl w:val="378C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909DC"/>
    <w:multiLevelType w:val="hybridMultilevel"/>
    <w:tmpl w:val="F52427D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3F26E84"/>
    <w:multiLevelType w:val="hybridMultilevel"/>
    <w:tmpl w:val="A0F68164"/>
    <w:lvl w:ilvl="0" w:tplc="7178A3DE">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59184190"/>
    <w:multiLevelType w:val="hybridMultilevel"/>
    <w:tmpl w:val="7F98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52342"/>
    <w:multiLevelType w:val="hybridMultilevel"/>
    <w:tmpl w:val="985C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B3351D"/>
    <w:multiLevelType w:val="hybridMultilevel"/>
    <w:tmpl w:val="D594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3"/>
  </w:num>
  <w:num w:numId="7">
    <w:abstractNumId w:val="2"/>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D2"/>
    <w:rsid w:val="000212C8"/>
    <w:rsid w:val="00022F7A"/>
    <w:rsid w:val="00026375"/>
    <w:rsid w:val="00034267"/>
    <w:rsid w:val="000578BA"/>
    <w:rsid w:val="00060F21"/>
    <w:rsid w:val="00075448"/>
    <w:rsid w:val="00082E41"/>
    <w:rsid w:val="00094394"/>
    <w:rsid w:val="000C0D0F"/>
    <w:rsid w:val="000C2831"/>
    <w:rsid w:val="000E681A"/>
    <w:rsid w:val="000F3051"/>
    <w:rsid w:val="000F6E6B"/>
    <w:rsid w:val="00103718"/>
    <w:rsid w:val="0010527D"/>
    <w:rsid w:val="00114577"/>
    <w:rsid w:val="00116E67"/>
    <w:rsid w:val="00122000"/>
    <w:rsid w:val="00122E1F"/>
    <w:rsid w:val="00150374"/>
    <w:rsid w:val="001626FF"/>
    <w:rsid w:val="00162E4D"/>
    <w:rsid w:val="001640E6"/>
    <w:rsid w:val="001905EC"/>
    <w:rsid w:val="00190D3E"/>
    <w:rsid w:val="00196B22"/>
    <w:rsid w:val="001B230D"/>
    <w:rsid w:val="001B6B0C"/>
    <w:rsid w:val="001D0C2D"/>
    <w:rsid w:val="001E20CD"/>
    <w:rsid w:val="001F0E2F"/>
    <w:rsid w:val="001F68C9"/>
    <w:rsid w:val="002140D8"/>
    <w:rsid w:val="002306A9"/>
    <w:rsid w:val="00236229"/>
    <w:rsid w:val="00242FCB"/>
    <w:rsid w:val="00257D2A"/>
    <w:rsid w:val="00275076"/>
    <w:rsid w:val="00275593"/>
    <w:rsid w:val="002863F5"/>
    <w:rsid w:val="002A1534"/>
    <w:rsid w:val="002A1904"/>
    <w:rsid w:val="002B455F"/>
    <w:rsid w:val="00321BDD"/>
    <w:rsid w:val="00323F86"/>
    <w:rsid w:val="003276E8"/>
    <w:rsid w:val="003419D0"/>
    <w:rsid w:val="003445E7"/>
    <w:rsid w:val="00354A1F"/>
    <w:rsid w:val="00365E81"/>
    <w:rsid w:val="003722F8"/>
    <w:rsid w:val="00386665"/>
    <w:rsid w:val="0039536A"/>
    <w:rsid w:val="00397B32"/>
    <w:rsid w:val="003B1931"/>
    <w:rsid w:val="003C2D98"/>
    <w:rsid w:val="003C5753"/>
    <w:rsid w:val="003E5A6C"/>
    <w:rsid w:val="003E6AED"/>
    <w:rsid w:val="003F15CA"/>
    <w:rsid w:val="003F73F9"/>
    <w:rsid w:val="00413D13"/>
    <w:rsid w:val="0044079B"/>
    <w:rsid w:val="0044373D"/>
    <w:rsid w:val="004451CB"/>
    <w:rsid w:val="00454E85"/>
    <w:rsid w:val="00464A4B"/>
    <w:rsid w:val="00484743"/>
    <w:rsid w:val="004A5587"/>
    <w:rsid w:val="004A5840"/>
    <w:rsid w:val="004E6326"/>
    <w:rsid w:val="004F3D6D"/>
    <w:rsid w:val="00504C20"/>
    <w:rsid w:val="00532595"/>
    <w:rsid w:val="00537C63"/>
    <w:rsid w:val="00541066"/>
    <w:rsid w:val="0055613D"/>
    <w:rsid w:val="00563021"/>
    <w:rsid w:val="00570278"/>
    <w:rsid w:val="00575ABF"/>
    <w:rsid w:val="00582A6F"/>
    <w:rsid w:val="005A0283"/>
    <w:rsid w:val="005D21CC"/>
    <w:rsid w:val="005E3760"/>
    <w:rsid w:val="005F0DD2"/>
    <w:rsid w:val="00611587"/>
    <w:rsid w:val="006148CC"/>
    <w:rsid w:val="0066608B"/>
    <w:rsid w:val="00666802"/>
    <w:rsid w:val="00684335"/>
    <w:rsid w:val="006863FC"/>
    <w:rsid w:val="006A1C8E"/>
    <w:rsid w:val="006C62D7"/>
    <w:rsid w:val="006C75F2"/>
    <w:rsid w:val="006E3A50"/>
    <w:rsid w:val="006F0DBE"/>
    <w:rsid w:val="00704FA4"/>
    <w:rsid w:val="007217E1"/>
    <w:rsid w:val="00753A10"/>
    <w:rsid w:val="00760471"/>
    <w:rsid w:val="00765702"/>
    <w:rsid w:val="007717FC"/>
    <w:rsid w:val="00794ABB"/>
    <w:rsid w:val="007A4DCB"/>
    <w:rsid w:val="007C762E"/>
    <w:rsid w:val="007D5F2E"/>
    <w:rsid w:val="007D71D7"/>
    <w:rsid w:val="007F29CD"/>
    <w:rsid w:val="007F2B88"/>
    <w:rsid w:val="007F62CD"/>
    <w:rsid w:val="00803173"/>
    <w:rsid w:val="00804B71"/>
    <w:rsid w:val="008514AD"/>
    <w:rsid w:val="008801B9"/>
    <w:rsid w:val="008836A6"/>
    <w:rsid w:val="00884987"/>
    <w:rsid w:val="008863F9"/>
    <w:rsid w:val="00894465"/>
    <w:rsid w:val="0089698C"/>
    <w:rsid w:val="008A70EF"/>
    <w:rsid w:val="008C014F"/>
    <w:rsid w:val="008D0613"/>
    <w:rsid w:val="008E23A8"/>
    <w:rsid w:val="008E264D"/>
    <w:rsid w:val="00906B57"/>
    <w:rsid w:val="00937E42"/>
    <w:rsid w:val="00941C7F"/>
    <w:rsid w:val="00960033"/>
    <w:rsid w:val="009C215D"/>
    <w:rsid w:val="009D2B86"/>
    <w:rsid w:val="009F1156"/>
    <w:rsid w:val="009F1B1F"/>
    <w:rsid w:val="00A00945"/>
    <w:rsid w:val="00A059D3"/>
    <w:rsid w:val="00A059E8"/>
    <w:rsid w:val="00A07E94"/>
    <w:rsid w:val="00A121BC"/>
    <w:rsid w:val="00A16E81"/>
    <w:rsid w:val="00A17E09"/>
    <w:rsid w:val="00A23543"/>
    <w:rsid w:val="00A50CE8"/>
    <w:rsid w:val="00A56B3D"/>
    <w:rsid w:val="00A70ACF"/>
    <w:rsid w:val="00A90312"/>
    <w:rsid w:val="00A91202"/>
    <w:rsid w:val="00A92892"/>
    <w:rsid w:val="00AA4F30"/>
    <w:rsid w:val="00AA6C4E"/>
    <w:rsid w:val="00AA7E9F"/>
    <w:rsid w:val="00AB3549"/>
    <w:rsid w:val="00AB4E35"/>
    <w:rsid w:val="00AB527E"/>
    <w:rsid w:val="00AE4E0F"/>
    <w:rsid w:val="00AF53DE"/>
    <w:rsid w:val="00AF5510"/>
    <w:rsid w:val="00AF6B3F"/>
    <w:rsid w:val="00B164E0"/>
    <w:rsid w:val="00B27440"/>
    <w:rsid w:val="00B34F9A"/>
    <w:rsid w:val="00B56DB6"/>
    <w:rsid w:val="00B56FC6"/>
    <w:rsid w:val="00B62E14"/>
    <w:rsid w:val="00B74393"/>
    <w:rsid w:val="00B81BBD"/>
    <w:rsid w:val="00B84EF9"/>
    <w:rsid w:val="00B86E18"/>
    <w:rsid w:val="00B94071"/>
    <w:rsid w:val="00B94B6D"/>
    <w:rsid w:val="00BA578A"/>
    <w:rsid w:val="00BB4D2B"/>
    <w:rsid w:val="00BB5F6E"/>
    <w:rsid w:val="00BD5C22"/>
    <w:rsid w:val="00BF0CA1"/>
    <w:rsid w:val="00BF3FD4"/>
    <w:rsid w:val="00BF4C15"/>
    <w:rsid w:val="00BF562A"/>
    <w:rsid w:val="00C071CE"/>
    <w:rsid w:val="00C132CF"/>
    <w:rsid w:val="00C135CB"/>
    <w:rsid w:val="00C22E63"/>
    <w:rsid w:val="00C335BF"/>
    <w:rsid w:val="00C42D01"/>
    <w:rsid w:val="00C651FA"/>
    <w:rsid w:val="00C66EAF"/>
    <w:rsid w:val="00C71883"/>
    <w:rsid w:val="00C82A65"/>
    <w:rsid w:val="00C85008"/>
    <w:rsid w:val="00C97F16"/>
    <w:rsid w:val="00CA2632"/>
    <w:rsid w:val="00CA4D41"/>
    <w:rsid w:val="00CA6F8C"/>
    <w:rsid w:val="00CC533C"/>
    <w:rsid w:val="00CC7CBC"/>
    <w:rsid w:val="00CD4EB2"/>
    <w:rsid w:val="00CF0FDB"/>
    <w:rsid w:val="00D020BE"/>
    <w:rsid w:val="00D06999"/>
    <w:rsid w:val="00D077C1"/>
    <w:rsid w:val="00D11741"/>
    <w:rsid w:val="00D308EF"/>
    <w:rsid w:val="00D42FA3"/>
    <w:rsid w:val="00D71724"/>
    <w:rsid w:val="00D72BDA"/>
    <w:rsid w:val="00D85A2D"/>
    <w:rsid w:val="00D95025"/>
    <w:rsid w:val="00DA4EE2"/>
    <w:rsid w:val="00DA60D9"/>
    <w:rsid w:val="00DB5F16"/>
    <w:rsid w:val="00DD424C"/>
    <w:rsid w:val="00DE050C"/>
    <w:rsid w:val="00E17411"/>
    <w:rsid w:val="00E21351"/>
    <w:rsid w:val="00E45A9A"/>
    <w:rsid w:val="00E52E39"/>
    <w:rsid w:val="00E57368"/>
    <w:rsid w:val="00E62A68"/>
    <w:rsid w:val="00E64305"/>
    <w:rsid w:val="00ED6A2C"/>
    <w:rsid w:val="00EE3C5B"/>
    <w:rsid w:val="00EE603D"/>
    <w:rsid w:val="00EE7C44"/>
    <w:rsid w:val="00EF12F8"/>
    <w:rsid w:val="00EF1D61"/>
    <w:rsid w:val="00F013D2"/>
    <w:rsid w:val="00F02B43"/>
    <w:rsid w:val="00F148AD"/>
    <w:rsid w:val="00F1761E"/>
    <w:rsid w:val="00F26E3E"/>
    <w:rsid w:val="00F44D10"/>
    <w:rsid w:val="00F56043"/>
    <w:rsid w:val="00F657D8"/>
    <w:rsid w:val="00F850B4"/>
    <w:rsid w:val="00FA5210"/>
    <w:rsid w:val="00FA79D9"/>
    <w:rsid w:val="00FD2DF4"/>
    <w:rsid w:val="00FD5291"/>
    <w:rsid w:val="00FE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7C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C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455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55F"/>
    <w:rPr>
      <w:color w:val="0563C1" w:themeColor="hyperlink"/>
      <w:u w:val="single"/>
    </w:rPr>
  </w:style>
  <w:style w:type="character" w:customStyle="1" w:styleId="bodytextbold1">
    <w:name w:val="bodytextbold1"/>
    <w:basedOn w:val="DefaultParagraphFont"/>
    <w:rsid w:val="002B455F"/>
    <w:rPr>
      <w:rFonts w:ascii="Arial" w:hAnsi="Arial" w:cs="Arial" w:hint="default"/>
      <w:b/>
      <w:bCs/>
      <w:sz w:val="18"/>
      <w:szCs w:val="18"/>
    </w:rPr>
  </w:style>
  <w:style w:type="character" w:customStyle="1" w:styleId="bodytextbold-blue1">
    <w:name w:val="bodytextbold-blue1"/>
    <w:basedOn w:val="DefaultParagraphFont"/>
    <w:rsid w:val="002B455F"/>
    <w:rPr>
      <w:rFonts w:ascii="Arial" w:hAnsi="Arial" w:cs="Arial" w:hint="default"/>
      <w:b/>
      <w:bCs/>
      <w:i w:val="0"/>
      <w:iCs w:val="0"/>
      <w:color w:val="3300FF"/>
      <w:sz w:val="18"/>
      <w:szCs w:val="18"/>
    </w:rPr>
  </w:style>
  <w:style w:type="character" w:customStyle="1" w:styleId="Heading3Char">
    <w:name w:val="Heading 3 Char"/>
    <w:basedOn w:val="DefaultParagraphFont"/>
    <w:link w:val="Heading3"/>
    <w:uiPriority w:val="9"/>
    <w:rsid w:val="002B455F"/>
    <w:rPr>
      <w:rFonts w:asciiTheme="majorHAnsi" w:eastAsiaTheme="majorEastAsia" w:hAnsiTheme="majorHAnsi" w:cstheme="majorBidi"/>
      <w:b/>
      <w:bCs/>
      <w:color w:val="5B9BD5" w:themeColor="accent1"/>
    </w:rPr>
  </w:style>
  <w:style w:type="paragraph" w:customStyle="1" w:styleId="Default">
    <w:name w:val="Default"/>
    <w:rsid w:val="003F15CA"/>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A00945"/>
    <w:pPr>
      <w:ind w:left="720"/>
      <w:contextualSpacing/>
    </w:pPr>
  </w:style>
  <w:style w:type="table" w:styleId="TableGrid">
    <w:name w:val="Table Grid"/>
    <w:basedOn w:val="TableNormal"/>
    <w:uiPriority w:val="39"/>
    <w:rsid w:val="002A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7C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C6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276E8"/>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27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E8"/>
    <w:rPr>
      <w:rFonts w:ascii="Segoe UI" w:hAnsi="Segoe UI" w:cs="Segoe UI"/>
      <w:sz w:val="18"/>
      <w:szCs w:val="18"/>
    </w:rPr>
  </w:style>
  <w:style w:type="character" w:customStyle="1" w:styleId="citation">
    <w:name w:val="citation"/>
    <w:basedOn w:val="DefaultParagraphFont"/>
    <w:rsid w:val="003C5753"/>
  </w:style>
  <w:style w:type="character" w:customStyle="1" w:styleId="apple-converted-space">
    <w:name w:val="apple-converted-space"/>
    <w:basedOn w:val="DefaultParagraphFont"/>
    <w:rsid w:val="003C5753"/>
  </w:style>
  <w:style w:type="character" w:customStyle="1" w:styleId="reference">
    <w:name w:val="reference"/>
    <w:basedOn w:val="DefaultParagraphFont"/>
    <w:rsid w:val="003C5753"/>
  </w:style>
  <w:style w:type="character" w:customStyle="1" w:styleId="ordinal">
    <w:name w:val="ordinal"/>
    <w:basedOn w:val="DefaultParagraphFont"/>
    <w:rsid w:val="003C5753"/>
  </w:style>
  <w:style w:type="paragraph" w:styleId="TOCHeading">
    <w:name w:val="TOC Heading"/>
    <w:basedOn w:val="Heading1"/>
    <w:next w:val="Normal"/>
    <w:uiPriority w:val="39"/>
    <w:semiHidden/>
    <w:unhideWhenUsed/>
    <w:qFormat/>
    <w:rsid w:val="0039536A"/>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39536A"/>
    <w:pPr>
      <w:spacing w:after="100"/>
    </w:pPr>
  </w:style>
  <w:style w:type="paragraph" w:styleId="TOC2">
    <w:name w:val="toc 2"/>
    <w:basedOn w:val="Normal"/>
    <w:next w:val="Normal"/>
    <w:autoRedefine/>
    <w:uiPriority w:val="39"/>
    <w:unhideWhenUsed/>
    <w:rsid w:val="0039536A"/>
    <w:pPr>
      <w:spacing w:after="100"/>
      <w:ind w:left="220"/>
    </w:pPr>
  </w:style>
  <w:style w:type="paragraph" w:styleId="TOC3">
    <w:name w:val="toc 3"/>
    <w:basedOn w:val="Normal"/>
    <w:next w:val="Normal"/>
    <w:autoRedefine/>
    <w:uiPriority w:val="39"/>
    <w:unhideWhenUsed/>
    <w:rsid w:val="0039536A"/>
    <w:pPr>
      <w:spacing w:after="100"/>
      <w:ind w:left="440"/>
    </w:pPr>
  </w:style>
  <w:style w:type="paragraph" w:styleId="Header">
    <w:name w:val="header"/>
    <w:basedOn w:val="Normal"/>
    <w:link w:val="HeaderChar"/>
    <w:uiPriority w:val="99"/>
    <w:unhideWhenUsed/>
    <w:rsid w:val="006F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DBE"/>
  </w:style>
  <w:style w:type="paragraph" w:styleId="Footer">
    <w:name w:val="footer"/>
    <w:basedOn w:val="Normal"/>
    <w:link w:val="FooterChar"/>
    <w:uiPriority w:val="99"/>
    <w:unhideWhenUsed/>
    <w:rsid w:val="006F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7C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C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455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55F"/>
    <w:rPr>
      <w:color w:val="0563C1" w:themeColor="hyperlink"/>
      <w:u w:val="single"/>
    </w:rPr>
  </w:style>
  <w:style w:type="character" w:customStyle="1" w:styleId="bodytextbold1">
    <w:name w:val="bodytextbold1"/>
    <w:basedOn w:val="DefaultParagraphFont"/>
    <w:rsid w:val="002B455F"/>
    <w:rPr>
      <w:rFonts w:ascii="Arial" w:hAnsi="Arial" w:cs="Arial" w:hint="default"/>
      <w:b/>
      <w:bCs/>
      <w:sz w:val="18"/>
      <w:szCs w:val="18"/>
    </w:rPr>
  </w:style>
  <w:style w:type="character" w:customStyle="1" w:styleId="bodytextbold-blue1">
    <w:name w:val="bodytextbold-blue1"/>
    <w:basedOn w:val="DefaultParagraphFont"/>
    <w:rsid w:val="002B455F"/>
    <w:rPr>
      <w:rFonts w:ascii="Arial" w:hAnsi="Arial" w:cs="Arial" w:hint="default"/>
      <w:b/>
      <w:bCs/>
      <w:i w:val="0"/>
      <w:iCs w:val="0"/>
      <w:color w:val="3300FF"/>
      <w:sz w:val="18"/>
      <w:szCs w:val="18"/>
    </w:rPr>
  </w:style>
  <w:style w:type="character" w:customStyle="1" w:styleId="Heading3Char">
    <w:name w:val="Heading 3 Char"/>
    <w:basedOn w:val="DefaultParagraphFont"/>
    <w:link w:val="Heading3"/>
    <w:uiPriority w:val="9"/>
    <w:rsid w:val="002B455F"/>
    <w:rPr>
      <w:rFonts w:asciiTheme="majorHAnsi" w:eastAsiaTheme="majorEastAsia" w:hAnsiTheme="majorHAnsi" w:cstheme="majorBidi"/>
      <w:b/>
      <w:bCs/>
      <w:color w:val="5B9BD5" w:themeColor="accent1"/>
    </w:rPr>
  </w:style>
  <w:style w:type="paragraph" w:customStyle="1" w:styleId="Default">
    <w:name w:val="Default"/>
    <w:rsid w:val="003F15CA"/>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A00945"/>
    <w:pPr>
      <w:ind w:left="720"/>
      <w:contextualSpacing/>
    </w:pPr>
  </w:style>
  <w:style w:type="table" w:styleId="TableGrid">
    <w:name w:val="Table Grid"/>
    <w:basedOn w:val="TableNormal"/>
    <w:uiPriority w:val="39"/>
    <w:rsid w:val="002A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7C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C6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276E8"/>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27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E8"/>
    <w:rPr>
      <w:rFonts w:ascii="Segoe UI" w:hAnsi="Segoe UI" w:cs="Segoe UI"/>
      <w:sz w:val="18"/>
      <w:szCs w:val="18"/>
    </w:rPr>
  </w:style>
  <w:style w:type="character" w:customStyle="1" w:styleId="citation">
    <w:name w:val="citation"/>
    <w:basedOn w:val="DefaultParagraphFont"/>
    <w:rsid w:val="003C5753"/>
  </w:style>
  <w:style w:type="character" w:customStyle="1" w:styleId="apple-converted-space">
    <w:name w:val="apple-converted-space"/>
    <w:basedOn w:val="DefaultParagraphFont"/>
    <w:rsid w:val="003C5753"/>
  </w:style>
  <w:style w:type="character" w:customStyle="1" w:styleId="reference">
    <w:name w:val="reference"/>
    <w:basedOn w:val="DefaultParagraphFont"/>
    <w:rsid w:val="003C5753"/>
  </w:style>
  <w:style w:type="character" w:customStyle="1" w:styleId="ordinal">
    <w:name w:val="ordinal"/>
    <w:basedOn w:val="DefaultParagraphFont"/>
    <w:rsid w:val="003C5753"/>
  </w:style>
  <w:style w:type="paragraph" w:styleId="TOCHeading">
    <w:name w:val="TOC Heading"/>
    <w:basedOn w:val="Heading1"/>
    <w:next w:val="Normal"/>
    <w:uiPriority w:val="39"/>
    <w:semiHidden/>
    <w:unhideWhenUsed/>
    <w:qFormat/>
    <w:rsid w:val="0039536A"/>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39536A"/>
    <w:pPr>
      <w:spacing w:after="100"/>
    </w:pPr>
  </w:style>
  <w:style w:type="paragraph" w:styleId="TOC2">
    <w:name w:val="toc 2"/>
    <w:basedOn w:val="Normal"/>
    <w:next w:val="Normal"/>
    <w:autoRedefine/>
    <w:uiPriority w:val="39"/>
    <w:unhideWhenUsed/>
    <w:rsid w:val="0039536A"/>
    <w:pPr>
      <w:spacing w:after="100"/>
      <w:ind w:left="220"/>
    </w:pPr>
  </w:style>
  <w:style w:type="paragraph" w:styleId="TOC3">
    <w:name w:val="toc 3"/>
    <w:basedOn w:val="Normal"/>
    <w:next w:val="Normal"/>
    <w:autoRedefine/>
    <w:uiPriority w:val="39"/>
    <w:unhideWhenUsed/>
    <w:rsid w:val="0039536A"/>
    <w:pPr>
      <w:spacing w:after="100"/>
      <w:ind w:left="440"/>
    </w:pPr>
  </w:style>
  <w:style w:type="paragraph" w:styleId="Header">
    <w:name w:val="header"/>
    <w:basedOn w:val="Normal"/>
    <w:link w:val="HeaderChar"/>
    <w:uiPriority w:val="99"/>
    <w:unhideWhenUsed/>
    <w:rsid w:val="006F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DBE"/>
  </w:style>
  <w:style w:type="paragraph" w:styleId="Footer">
    <w:name w:val="footer"/>
    <w:basedOn w:val="Normal"/>
    <w:link w:val="FooterChar"/>
    <w:uiPriority w:val="99"/>
    <w:unhideWhenUsed/>
    <w:rsid w:val="006F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1551">
      <w:bodyDiv w:val="1"/>
      <w:marLeft w:val="0"/>
      <w:marRight w:val="0"/>
      <w:marTop w:val="0"/>
      <w:marBottom w:val="0"/>
      <w:divBdr>
        <w:top w:val="none" w:sz="0" w:space="0" w:color="auto"/>
        <w:left w:val="none" w:sz="0" w:space="0" w:color="auto"/>
        <w:bottom w:val="none" w:sz="0" w:space="0" w:color="auto"/>
        <w:right w:val="none" w:sz="0" w:space="0" w:color="auto"/>
      </w:divBdr>
    </w:div>
    <w:div w:id="229776319">
      <w:bodyDiv w:val="1"/>
      <w:marLeft w:val="0"/>
      <w:marRight w:val="0"/>
      <w:marTop w:val="0"/>
      <w:marBottom w:val="0"/>
      <w:divBdr>
        <w:top w:val="none" w:sz="0" w:space="0" w:color="auto"/>
        <w:left w:val="none" w:sz="0" w:space="0" w:color="auto"/>
        <w:bottom w:val="none" w:sz="0" w:space="0" w:color="auto"/>
        <w:right w:val="none" w:sz="0" w:space="0" w:color="auto"/>
      </w:divBdr>
    </w:div>
    <w:div w:id="414285402">
      <w:bodyDiv w:val="1"/>
      <w:marLeft w:val="0"/>
      <w:marRight w:val="0"/>
      <w:marTop w:val="0"/>
      <w:marBottom w:val="0"/>
      <w:divBdr>
        <w:top w:val="none" w:sz="0" w:space="0" w:color="auto"/>
        <w:left w:val="none" w:sz="0" w:space="0" w:color="auto"/>
        <w:bottom w:val="none" w:sz="0" w:space="0" w:color="auto"/>
        <w:right w:val="none" w:sz="0" w:space="0" w:color="auto"/>
      </w:divBdr>
    </w:div>
    <w:div w:id="517548723">
      <w:bodyDiv w:val="1"/>
      <w:marLeft w:val="0"/>
      <w:marRight w:val="0"/>
      <w:marTop w:val="0"/>
      <w:marBottom w:val="0"/>
      <w:divBdr>
        <w:top w:val="none" w:sz="0" w:space="0" w:color="auto"/>
        <w:left w:val="none" w:sz="0" w:space="0" w:color="auto"/>
        <w:bottom w:val="none" w:sz="0" w:space="0" w:color="auto"/>
        <w:right w:val="none" w:sz="0" w:space="0" w:color="auto"/>
      </w:divBdr>
    </w:div>
    <w:div w:id="878593245">
      <w:bodyDiv w:val="1"/>
      <w:marLeft w:val="0"/>
      <w:marRight w:val="0"/>
      <w:marTop w:val="0"/>
      <w:marBottom w:val="0"/>
      <w:divBdr>
        <w:top w:val="none" w:sz="0" w:space="0" w:color="auto"/>
        <w:left w:val="none" w:sz="0" w:space="0" w:color="auto"/>
        <w:bottom w:val="none" w:sz="0" w:space="0" w:color="auto"/>
        <w:right w:val="none" w:sz="0" w:space="0" w:color="auto"/>
      </w:divBdr>
    </w:div>
    <w:div w:id="1007485428">
      <w:bodyDiv w:val="1"/>
      <w:marLeft w:val="0"/>
      <w:marRight w:val="0"/>
      <w:marTop w:val="0"/>
      <w:marBottom w:val="0"/>
      <w:divBdr>
        <w:top w:val="none" w:sz="0" w:space="0" w:color="auto"/>
        <w:left w:val="none" w:sz="0" w:space="0" w:color="auto"/>
        <w:bottom w:val="none" w:sz="0" w:space="0" w:color="auto"/>
        <w:right w:val="none" w:sz="0" w:space="0" w:color="auto"/>
      </w:divBdr>
    </w:div>
    <w:div w:id="1118337554">
      <w:bodyDiv w:val="1"/>
      <w:marLeft w:val="0"/>
      <w:marRight w:val="0"/>
      <w:marTop w:val="0"/>
      <w:marBottom w:val="0"/>
      <w:divBdr>
        <w:top w:val="none" w:sz="0" w:space="0" w:color="auto"/>
        <w:left w:val="none" w:sz="0" w:space="0" w:color="auto"/>
        <w:bottom w:val="none" w:sz="0" w:space="0" w:color="auto"/>
        <w:right w:val="none" w:sz="0" w:space="0" w:color="auto"/>
      </w:divBdr>
    </w:div>
    <w:div w:id="1392653361">
      <w:bodyDiv w:val="1"/>
      <w:marLeft w:val="0"/>
      <w:marRight w:val="0"/>
      <w:marTop w:val="0"/>
      <w:marBottom w:val="0"/>
      <w:divBdr>
        <w:top w:val="none" w:sz="0" w:space="0" w:color="auto"/>
        <w:left w:val="none" w:sz="0" w:space="0" w:color="auto"/>
        <w:bottom w:val="none" w:sz="0" w:space="0" w:color="auto"/>
        <w:right w:val="none" w:sz="0" w:space="0" w:color="auto"/>
      </w:divBdr>
    </w:div>
    <w:div w:id="1524440465">
      <w:bodyDiv w:val="1"/>
      <w:marLeft w:val="0"/>
      <w:marRight w:val="0"/>
      <w:marTop w:val="0"/>
      <w:marBottom w:val="0"/>
      <w:divBdr>
        <w:top w:val="none" w:sz="0" w:space="0" w:color="auto"/>
        <w:left w:val="none" w:sz="0" w:space="0" w:color="auto"/>
        <w:bottom w:val="none" w:sz="0" w:space="0" w:color="auto"/>
        <w:right w:val="none" w:sz="0" w:space="0" w:color="auto"/>
      </w:divBdr>
    </w:div>
    <w:div w:id="19081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aterdata.usgs.gov/vt/nwis"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dx.doi.org/10.3133/sir201450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riculture.vermont.gov/vael" TargetMode="External"/><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image" Target="media/image3.tmp"/><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vcgi.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1946-6663-465D-9D76-95F1A474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5141</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7</cp:revision>
  <cp:lastPrinted>2017-03-29T12:48:00Z</cp:lastPrinted>
  <dcterms:created xsi:type="dcterms:W3CDTF">2017-10-31T22:35:00Z</dcterms:created>
  <dcterms:modified xsi:type="dcterms:W3CDTF">2017-11-01T00:27:00Z</dcterms:modified>
</cp:coreProperties>
</file>