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5040"/>
        <w:gridCol w:w="2055"/>
        <w:gridCol w:w="15"/>
        <w:gridCol w:w="3330"/>
      </w:tblGrid>
      <w:tr w:rsidR="00C0366D" w:rsidRPr="000D3692" w:rsidTr="000A3D94">
        <w:trPr>
          <w:trHeight w:val="270"/>
        </w:trPr>
        <w:tc>
          <w:tcPr>
            <w:tcW w:w="76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0366D" w:rsidRPr="00C0366D" w:rsidRDefault="00C0366D" w:rsidP="003234E5">
            <w:pPr>
              <w:ind w:right="1080"/>
              <w:rPr>
                <w:b/>
                <w:bCs/>
                <w:sz w:val="18"/>
                <w:szCs w:val="18"/>
              </w:rPr>
            </w:pPr>
            <w:r w:rsidRPr="00C0366D">
              <w:rPr>
                <w:b/>
                <w:bCs/>
                <w:sz w:val="18"/>
                <w:szCs w:val="18"/>
              </w:rPr>
              <w:t>Project Name: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0366D" w:rsidRPr="00C0366D" w:rsidRDefault="00C0366D" w:rsidP="003234E5">
            <w:pPr>
              <w:ind w:right="1080"/>
              <w:rPr>
                <w:b/>
                <w:bCs/>
                <w:sz w:val="18"/>
                <w:szCs w:val="18"/>
              </w:rPr>
            </w:pPr>
            <w:r w:rsidRPr="00C0366D">
              <w:rPr>
                <w:b/>
                <w:bCs/>
                <w:sz w:val="18"/>
                <w:szCs w:val="18"/>
              </w:rPr>
              <w:t>Discharge Point: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C2570" w:rsidRPr="000D3692" w:rsidTr="000C164B">
        <w:trPr>
          <w:trHeight w:val="530"/>
        </w:trPr>
        <w:tc>
          <w:tcPr>
            <w:tcW w:w="109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570" w:rsidRPr="00411FCB" w:rsidRDefault="00F4761B" w:rsidP="000C164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Overbank Flood</w:t>
            </w:r>
            <w:r w:rsidR="00B2556F" w:rsidRPr="00411FCB">
              <w:rPr>
                <w:b/>
                <w:bCs/>
                <w:sz w:val="32"/>
                <w:szCs w:val="32"/>
              </w:rPr>
              <w:t xml:space="preserve"> Protection Standard Waiver Worksheet</w:t>
            </w:r>
          </w:p>
        </w:tc>
      </w:tr>
      <w:tr w:rsidR="00AC2570" w:rsidRPr="000D3692" w:rsidTr="0048279C">
        <w:trPr>
          <w:trHeight w:val="421"/>
        </w:trPr>
        <w:tc>
          <w:tcPr>
            <w:tcW w:w="1099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2570" w:rsidRPr="00AC2570" w:rsidRDefault="00AC2570" w:rsidP="00AC2570">
            <w:pPr>
              <w:jc w:val="center"/>
              <w:rPr>
                <w:sz w:val="20"/>
                <w:szCs w:val="20"/>
              </w:rPr>
            </w:pPr>
            <w:r w:rsidRPr="00AC2570">
              <w:rPr>
                <w:sz w:val="20"/>
                <w:szCs w:val="20"/>
              </w:rPr>
              <w:t xml:space="preserve">Fill out this worksheet for </w:t>
            </w:r>
            <w:r w:rsidRPr="00DC01A4">
              <w:rPr>
                <w:sz w:val="20"/>
                <w:szCs w:val="20"/>
                <w:u w:val="single"/>
              </w:rPr>
              <w:t>each</w:t>
            </w:r>
            <w:r w:rsidRPr="00AC2570">
              <w:rPr>
                <w:sz w:val="20"/>
                <w:szCs w:val="20"/>
              </w:rPr>
              <w:t xml:space="preserve"> discharge p</w:t>
            </w:r>
            <w:r w:rsidR="00B2556F">
              <w:rPr>
                <w:sz w:val="20"/>
                <w:szCs w:val="20"/>
              </w:rPr>
              <w:t>oint in which use of this waiver</w:t>
            </w:r>
            <w:r w:rsidRPr="00AC2570">
              <w:rPr>
                <w:sz w:val="20"/>
                <w:szCs w:val="20"/>
              </w:rPr>
              <w:t xml:space="preserve"> is sought.</w:t>
            </w:r>
          </w:p>
        </w:tc>
      </w:tr>
      <w:tr w:rsidR="0048279C" w:rsidRPr="000D3692" w:rsidTr="0048279C">
        <w:trPr>
          <w:trHeight w:val="180"/>
        </w:trPr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79C" w:rsidRPr="00EB58B4" w:rsidRDefault="0048279C" w:rsidP="00B732E4">
            <w:pPr>
              <w:rPr>
                <w:b/>
                <w:bCs/>
              </w:rPr>
            </w:pPr>
          </w:p>
        </w:tc>
      </w:tr>
      <w:tr w:rsidR="005B672F" w:rsidRPr="000D3692" w:rsidTr="0048279C">
        <w:trPr>
          <w:trHeight w:val="630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672F" w:rsidRPr="000D3692" w:rsidRDefault="00907B14" w:rsidP="00B732E4">
            <w:pPr>
              <w:rPr>
                <w:b/>
                <w:bCs/>
              </w:rPr>
            </w:pPr>
            <w:r>
              <w:rPr>
                <w:b/>
                <w:bCs/>
              </w:rPr>
              <w:t>Overbank Flood</w:t>
            </w:r>
            <w:r w:rsidR="005B672F" w:rsidRPr="00EB58B4">
              <w:rPr>
                <w:b/>
                <w:bCs/>
              </w:rPr>
              <w:t xml:space="preserve"> Protection Standard</w:t>
            </w:r>
            <w:r>
              <w:rPr>
                <w:b/>
                <w:bCs/>
              </w:rPr>
              <w:t xml:space="preserve"> (Q</w:t>
            </w:r>
            <w:r>
              <w:rPr>
                <w:b/>
                <w:bCs/>
                <w:vertAlign w:val="subscript"/>
              </w:rPr>
              <w:t>P10</w:t>
            </w:r>
            <w:r w:rsidR="0088091C">
              <w:rPr>
                <w:b/>
                <w:bCs/>
              </w:rPr>
              <w:t xml:space="preserve">) </w:t>
            </w:r>
            <w:r w:rsidR="005B672F" w:rsidRPr="00EB58B4">
              <w:rPr>
                <w:b/>
                <w:bCs/>
              </w:rPr>
              <w:t>Waiver</w:t>
            </w:r>
            <w:r w:rsidR="005B672F">
              <w:rPr>
                <w:b/>
                <w:bCs/>
              </w:rPr>
              <w:t xml:space="preserve"> </w:t>
            </w:r>
            <w:r w:rsidR="005B672F" w:rsidRPr="00B24E42">
              <w:rPr>
                <w:bCs/>
                <w:sz w:val="20"/>
                <w:szCs w:val="20"/>
              </w:rPr>
              <w:t>(</w:t>
            </w:r>
            <w:r w:rsidR="0099657C" w:rsidRPr="002B6EFF">
              <w:rPr>
                <w:bCs/>
                <w:i/>
                <w:color w:val="FF0000"/>
                <w:sz w:val="20"/>
                <w:szCs w:val="20"/>
              </w:rPr>
              <w:t>check</w:t>
            </w:r>
            <w:r w:rsidR="005B672F" w:rsidRPr="002B6EFF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5B672F" w:rsidRPr="002B6EFF">
              <w:rPr>
                <w:bCs/>
                <w:i/>
                <w:color w:val="FF0000"/>
                <w:sz w:val="20"/>
                <w:szCs w:val="20"/>
                <w:u w:val="single"/>
              </w:rPr>
              <w:t>only</w:t>
            </w:r>
            <w:r w:rsidR="005B672F" w:rsidRPr="002B6EFF">
              <w:rPr>
                <w:bCs/>
                <w:i/>
                <w:color w:val="FF0000"/>
                <w:sz w:val="20"/>
                <w:szCs w:val="20"/>
              </w:rPr>
              <w:t xml:space="preserve"> one</w:t>
            </w:r>
            <w:r w:rsidR="005B672F" w:rsidRPr="00B24E42">
              <w:rPr>
                <w:bCs/>
                <w:sz w:val="20"/>
                <w:szCs w:val="20"/>
              </w:rPr>
              <w:t>)</w:t>
            </w:r>
            <w:r w:rsidR="005B672F">
              <w:rPr>
                <w:b/>
                <w:bCs/>
              </w:rPr>
              <w:t>:</w:t>
            </w:r>
          </w:p>
        </w:tc>
      </w:tr>
      <w:tr w:rsidR="00C8373E" w:rsidRPr="000D3692" w:rsidTr="002B6EFF">
        <w:trPr>
          <w:trHeight w:val="394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8373E" w:rsidRPr="003C6A8E" w:rsidRDefault="00453303" w:rsidP="00044342">
            <w:pPr>
              <w:rPr>
                <w:sz w:val="24"/>
                <w:szCs w:val="24"/>
              </w:rPr>
            </w:pPr>
            <w:r w:rsidRPr="003C6A8E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73E" w:rsidRPr="003C6A8E">
              <w:rPr>
                <w:b/>
                <w:sz w:val="24"/>
                <w:szCs w:val="24"/>
              </w:rPr>
              <w:instrText xml:space="preserve"> FORMCHECKBOX </w:instrText>
            </w:r>
            <w:r w:rsidR="00096A44">
              <w:rPr>
                <w:b/>
                <w:sz w:val="24"/>
                <w:szCs w:val="24"/>
              </w:rPr>
            </w:r>
            <w:r w:rsidR="00096A44">
              <w:rPr>
                <w:b/>
                <w:sz w:val="24"/>
                <w:szCs w:val="24"/>
              </w:rPr>
              <w:fldChar w:fldCharType="separate"/>
            </w:r>
            <w:r w:rsidRPr="003C6A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4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8373E" w:rsidRPr="000D3692" w:rsidRDefault="00E1572C" w:rsidP="00044342">
            <w:r>
              <w:t>1</w:t>
            </w:r>
            <w:r w:rsidR="0099657C">
              <w:t>.</w:t>
            </w:r>
            <w:r w:rsidR="00CF11C7">
              <w:t xml:space="preserve">  The pre-routed, post-development </w:t>
            </w:r>
            <w:r w:rsidR="00CF11C7" w:rsidRPr="004D5E8B">
              <w:t xml:space="preserve">discharge for the 10-year, 24-hour storm is less than 2 cubic feet per second.  </w:t>
            </w:r>
          </w:p>
        </w:tc>
      </w:tr>
      <w:tr w:rsidR="00C8373E" w:rsidRPr="000D3692" w:rsidTr="003C3A67">
        <w:trPr>
          <w:trHeight w:val="519"/>
        </w:trPr>
        <w:tc>
          <w:tcPr>
            <w:tcW w:w="76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373E" w:rsidRPr="00C06BF4" w:rsidRDefault="00E1572C" w:rsidP="00044342">
            <w:pPr>
              <w:jc w:val="right"/>
            </w:pPr>
            <w:r>
              <w:rPr>
                <w:rFonts w:eastAsia="Times New Roman" w:cs="Arial"/>
              </w:rPr>
              <w:t>Enter the total pre-routed post-</w:t>
            </w:r>
            <w:r w:rsidR="00C8373E" w:rsidRPr="00C06BF4">
              <w:rPr>
                <w:rFonts w:eastAsia="Times New Roman" w:cs="Arial"/>
              </w:rPr>
              <w:t xml:space="preserve">development </w:t>
            </w:r>
            <w:r>
              <w:rPr>
                <w:rFonts w:eastAsia="Times New Roman" w:cs="Arial"/>
              </w:rPr>
              <w:t xml:space="preserve">stormwater </w:t>
            </w:r>
            <w:r w:rsidR="00C8373E" w:rsidRPr="00C06BF4">
              <w:rPr>
                <w:rFonts w:eastAsia="Times New Roman" w:cs="Arial"/>
              </w:rPr>
              <w:t>discharge rate</w:t>
            </w:r>
            <w:r w:rsidR="00C8373E">
              <w:rPr>
                <w:rFonts w:eastAsia="Times New Roman" w:cs="Arial"/>
              </w:rPr>
              <w:t xml:space="preserve"> (</w:t>
            </w:r>
            <w:proofErr w:type="spellStart"/>
            <w:r w:rsidR="00C8373E">
              <w:rPr>
                <w:rFonts w:eastAsia="Times New Roman" w:cs="Arial"/>
              </w:rPr>
              <w:t>cfs</w:t>
            </w:r>
            <w:proofErr w:type="spellEnd"/>
            <w:r w:rsidR="00C8373E">
              <w:rPr>
                <w:rFonts w:eastAsia="Times New Roman" w:cs="Arial"/>
              </w:rPr>
              <w:t>):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73E" w:rsidRDefault="00C8373E" w:rsidP="00044342"/>
        </w:tc>
      </w:tr>
      <w:tr w:rsidR="00C8373E" w:rsidRPr="000D3692" w:rsidTr="008A1FF4">
        <w:trPr>
          <w:trHeight w:val="250"/>
        </w:trPr>
        <w:tc>
          <w:tcPr>
            <w:tcW w:w="1099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F11C7" w:rsidRPr="008A1FF4" w:rsidRDefault="007D5C60" w:rsidP="00044342">
            <w:pPr>
              <w:ind w:left="180"/>
              <w:rPr>
                <w:i/>
                <w:sz w:val="20"/>
                <w:szCs w:val="20"/>
              </w:rPr>
            </w:pPr>
            <w:r w:rsidRPr="006C7B86">
              <w:rPr>
                <w:i/>
                <w:u w:val="single"/>
              </w:rPr>
              <w:t>Guidance</w:t>
            </w:r>
            <w:r w:rsidRPr="006C7B86">
              <w:rPr>
                <w:i/>
              </w:rPr>
              <w:t>: “Pre-routed post development discharge” means the runoff after development, including post-development conveyance, but without STPs.  When examining whether or not the site qualifies for this waiver, off-site runoff does not need to be considered, however the overall common plan of development shall be considered.  Please attach the runoff calculations/hydrologic modeling for the pre-routed, post-development during the 1</w:t>
            </w:r>
            <w:r w:rsidR="00096A44">
              <w:rPr>
                <w:i/>
              </w:rPr>
              <w:t>0</w:t>
            </w:r>
            <w:bookmarkStart w:id="0" w:name="_GoBack"/>
            <w:bookmarkEnd w:id="0"/>
            <w:r w:rsidRPr="006C7B86">
              <w:rPr>
                <w:i/>
              </w:rPr>
              <w:t>-year, 24-hour storm event.</w:t>
            </w:r>
          </w:p>
        </w:tc>
      </w:tr>
      <w:tr w:rsidR="009479E9" w:rsidRPr="000D3692" w:rsidTr="002B6EFF">
        <w:trPr>
          <w:trHeight w:val="549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79E9" w:rsidRDefault="009479E9" w:rsidP="00044342">
            <w:pPr>
              <w:ind w:left="252" w:hanging="270"/>
            </w:pPr>
          </w:p>
        </w:tc>
      </w:tr>
      <w:tr w:rsidR="00C8373E" w:rsidRPr="000D3692" w:rsidTr="002B6EFF">
        <w:trPr>
          <w:trHeight w:val="592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8373E" w:rsidRPr="003C6A8E" w:rsidRDefault="00453303" w:rsidP="000443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F1C95">
              <w:rPr>
                <w:b/>
                <w:sz w:val="24"/>
                <w:szCs w:val="24"/>
              </w:rPr>
              <w:instrText xml:space="preserve"> FORMCHECKBOX </w:instrText>
            </w:r>
            <w:r w:rsidR="00096A44">
              <w:rPr>
                <w:b/>
                <w:sz w:val="24"/>
                <w:szCs w:val="24"/>
              </w:rPr>
            </w:r>
            <w:r w:rsidR="00096A4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4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8373E" w:rsidRPr="000D3692" w:rsidRDefault="00280654" w:rsidP="00044342">
            <w:pPr>
              <w:ind w:left="252" w:hanging="270"/>
            </w:pPr>
            <w:r>
              <w:t>2</w:t>
            </w:r>
            <w:r w:rsidR="0099657C">
              <w:t>.</w:t>
            </w:r>
            <w:r w:rsidR="00C8373E">
              <w:t xml:space="preserve">  A site that </w:t>
            </w:r>
            <w:r w:rsidR="00ED222C">
              <w:t xml:space="preserve">has a direct discharge </w:t>
            </w:r>
            <w:r w:rsidR="00E95CE8">
              <w:t>to waters with a drainage area equal to or g</w:t>
            </w:r>
            <w:r w:rsidR="00ED222C">
              <w:t>reater than or equal to 10 square miles.</w:t>
            </w:r>
          </w:p>
        </w:tc>
      </w:tr>
      <w:tr w:rsidR="00C8373E" w:rsidRPr="000D3692" w:rsidTr="0099657C">
        <w:trPr>
          <w:trHeight w:val="483"/>
        </w:trPr>
        <w:tc>
          <w:tcPr>
            <w:tcW w:w="5598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8373E" w:rsidRPr="000A3D94" w:rsidRDefault="00C8373E" w:rsidP="00044342">
            <w:pPr>
              <w:ind w:left="252" w:hanging="270"/>
              <w:jc w:val="right"/>
            </w:pPr>
            <w:r>
              <w:t>Name of</w:t>
            </w:r>
            <w:r w:rsidRPr="000A3D94">
              <w:t xml:space="preserve"> </w:t>
            </w:r>
            <w:r>
              <w:t>Water</w:t>
            </w:r>
            <w:r w:rsidR="00ED222C">
              <w:t>s</w:t>
            </w:r>
            <w:r>
              <w:t xml:space="preserve"> at Discharge Point: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73E" w:rsidRDefault="00C8373E" w:rsidP="00044342">
            <w:pPr>
              <w:ind w:left="252" w:hanging="270"/>
            </w:pPr>
          </w:p>
        </w:tc>
      </w:tr>
      <w:tr w:rsidR="00C8373E" w:rsidRPr="000D3692" w:rsidTr="0099657C">
        <w:trPr>
          <w:trHeight w:val="510"/>
        </w:trPr>
        <w:tc>
          <w:tcPr>
            <w:tcW w:w="76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373E" w:rsidRDefault="00C8373E" w:rsidP="00044342">
            <w:pPr>
              <w:ind w:left="252" w:hanging="270"/>
              <w:jc w:val="right"/>
            </w:pPr>
            <w:r w:rsidRPr="000A3D94">
              <w:t xml:space="preserve">Drainage Area of </w:t>
            </w:r>
            <w:r>
              <w:t>Water</w:t>
            </w:r>
            <w:r w:rsidR="00ED222C">
              <w:t>s</w:t>
            </w:r>
            <w:r>
              <w:t xml:space="preserve"> at Discharge Point (square miles</w:t>
            </w:r>
            <w:r w:rsidRPr="000A3D94">
              <w:t>)</w:t>
            </w:r>
            <w:r w:rsidR="00B732E4">
              <w:t>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73E" w:rsidRDefault="00C8373E" w:rsidP="00044342">
            <w:pPr>
              <w:ind w:left="252" w:hanging="270"/>
            </w:pPr>
          </w:p>
        </w:tc>
      </w:tr>
      <w:tr w:rsidR="00C00B69" w:rsidRPr="000D3692" w:rsidTr="005B6718">
        <w:trPr>
          <w:trHeight w:val="807"/>
        </w:trPr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342" w:rsidRDefault="00044342" w:rsidP="00044342"/>
          <w:tbl>
            <w:tblPr>
              <w:tblStyle w:val="TableGrid"/>
              <w:tblW w:w="10890" w:type="dxa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8199"/>
              <w:gridCol w:w="2139"/>
            </w:tblGrid>
            <w:tr w:rsidR="00044342" w:rsidRPr="004B73E3" w:rsidTr="00C421A5">
              <w:trPr>
                <w:trHeight w:val="260"/>
              </w:trPr>
              <w:tc>
                <w:tcPr>
                  <w:tcW w:w="108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342" w:rsidRPr="004B73E3" w:rsidRDefault="00044342" w:rsidP="00044342">
                  <w:pPr>
                    <w:ind w:left="18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044342" w:rsidRPr="000D3692" w:rsidTr="00C421A5">
              <w:trPr>
                <w:trHeight w:val="790"/>
              </w:trPr>
              <w:tc>
                <w:tcPr>
                  <w:tcW w:w="55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044342" w:rsidRPr="003C6A8E" w:rsidRDefault="00044342" w:rsidP="0004434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096A44">
                    <w:rPr>
                      <w:b/>
                      <w:sz w:val="24"/>
                      <w:szCs w:val="24"/>
                    </w:rPr>
                  </w:r>
                  <w:r w:rsidR="00096A44">
                    <w:rPr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33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044342" w:rsidRPr="004D5E8B" w:rsidRDefault="00044342" w:rsidP="00044342">
                  <w:pPr>
                    <w:ind w:left="252" w:hanging="270"/>
                  </w:pPr>
                  <w:r>
                    <w:t>3.  A downstream analysis was</w:t>
                  </w:r>
                  <w:r w:rsidRPr="004D5E8B">
                    <w:t xml:space="preserve"> completed, pursuant to Section </w:t>
                  </w:r>
                  <w:r w:rsidRPr="004D5E8B">
                    <w:fldChar w:fldCharType="begin"/>
                  </w:r>
                  <w:r w:rsidRPr="004D5E8B">
                    <w:instrText xml:space="preserve"> REF _Ref412798297 \r \h </w:instrText>
                  </w:r>
                  <w:r w:rsidRPr="004D5E8B">
                    <w:fldChar w:fldCharType="separate"/>
                  </w:r>
                  <w:r>
                    <w:t>2.5</w:t>
                  </w:r>
                  <w:r w:rsidRPr="004D5E8B">
                    <w:fldChar w:fldCharType="end"/>
                  </w:r>
                  <w:r>
                    <w:t xml:space="preserve"> of the 2017 VSMM</w:t>
                  </w:r>
                  <w:r w:rsidRPr="004D5E8B">
                    <w:t>,</w:t>
                  </w:r>
                  <w:r>
                    <w:t xml:space="preserve"> that indicated</w:t>
                  </w:r>
                  <w:r w:rsidRPr="004D5E8B">
                    <w:t xml:space="preserve"> </w:t>
                  </w:r>
                  <w:r>
                    <w:t xml:space="preserve">extreme </w:t>
                  </w:r>
                  <w:r w:rsidRPr="004D5E8B">
                    <w:t>flood control is not necessary for the site</w:t>
                  </w:r>
                  <w:r>
                    <w:t>.</w:t>
                  </w:r>
                </w:p>
                <w:p w:rsidR="00044342" w:rsidRPr="000D3692" w:rsidRDefault="00044342" w:rsidP="00044342">
                  <w:pPr>
                    <w:ind w:left="252" w:hanging="270"/>
                  </w:pPr>
                </w:p>
              </w:tc>
            </w:tr>
            <w:tr w:rsidR="00044342" w:rsidTr="00C421A5">
              <w:trPr>
                <w:trHeight w:val="494"/>
              </w:trPr>
              <w:tc>
                <w:tcPr>
                  <w:tcW w:w="8751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044342" w:rsidRDefault="00044342" w:rsidP="00044342">
                  <w:pPr>
                    <w:ind w:left="252" w:hanging="270"/>
                    <w:jc w:val="right"/>
                  </w:pPr>
                  <w:r>
                    <w:t>Has adequate conveyance from the site to the discharge point been verified?</w:t>
                  </w:r>
                </w:p>
              </w:tc>
              <w:tc>
                <w:tcPr>
                  <w:tcW w:w="21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4342" w:rsidRDefault="00044342" w:rsidP="00044342">
                  <w:pPr>
                    <w:ind w:left="252" w:hanging="270"/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096A44">
                    <w:rPr>
                      <w:b/>
                      <w:sz w:val="24"/>
                      <w:szCs w:val="24"/>
                    </w:rPr>
                  </w:r>
                  <w:r w:rsidR="00096A44">
                    <w:rPr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b/>
                      <w:sz w:val="24"/>
                      <w:szCs w:val="24"/>
                    </w:rPr>
                    <w:t xml:space="preserve">  Yes         </w:t>
                  </w: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096A44">
                    <w:rPr>
                      <w:b/>
                      <w:sz w:val="24"/>
                      <w:szCs w:val="24"/>
                    </w:rPr>
                  </w:r>
                  <w:r w:rsidR="00096A44">
                    <w:rPr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b/>
                      <w:sz w:val="24"/>
                      <w:szCs w:val="24"/>
                    </w:rPr>
                    <w:t xml:space="preserve">  No</w:t>
                  </w:r>
                </w:p>
              </w:tc>
            </w:tr>
            <w:tr w:rsidR="00044342" w:rsidRPr="00B76BF3" w:rsidTr="00C421A5">
              <w:trPr>
                <w:trHeight w:val="494"/>
              </w:trPr>
              <w:tc>
                <w:tcPr>
                  <w:tcW w:w="875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044342" w:rsidRPr="00CA32B0" w:rsidRDefault="00044342" w:rsidP="00044342">
                  <w:pPr>
                    <w:ind w:left="252" w:hanging="270"/>
                    <w:jc w:val="right"/>
                  </w:pPr>
                  <w:r>
                    <w:t xml:space="preserve">Has </w:t>
                  </w:r>
                  <w:r w:rsidRPr="00561F51">
                    <w:t>sup</w:t>
                  </w:r>
                  <w:r>
                    <w:t>porting information (e.g. narrative description, calculations, modeling) for the completed downstream analysis been included with the application?</w:t>
                  </w:r>
                </w:p>
              </w:tc>
              <w:tc>
                <w:tcPr>
                  <w:tcW w:w="21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4342" w:rsidRPr="00B76BF3" w:rsidRDefault="00044342" w:rsidP="00044342">
                  <w:pPr>
                    <w:ind w:left="252" w:hanging="27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096A44">
                    <w:rPr>
                      <w:b/>
                      <w:sz w:val="24"/>
                      <w:szCs w:val="24"/>
                    </w:rPr>
                  </w:r>
                  <w:r w:rsidR="00096A44">
                    <w:rPr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b/>
                      <w:sz w:val="24"/>
                      <w:szCs w:val="24"/>
                    </w:rPr>
                    <w:t xml:space="preserve">  Yes         </w:t>
                  </w: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096A44">
                    <w:rPr>
                      <w:b/>
                      <w:sz w:val="24"/>
                      <w:szCs w:val="24"/>
                    </w:rPr>
                  </w:r>
                  <w:r w:rsidR="00096A44">
                    <w:rPr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b/>
                      <w:sz w:val="24"/>
                      <w:szCs w:val="24"/>
                    </w:rPr>
                    <w:t xml:space="preserve">  No</w:t>
                  </w:r>
                </w:p>
              </w:tc>
            </w:tr>
            <w:tr w:rsidR="00044342" w:rsidRPr="00473064" w:rsidTr="00C421A5">
              <w:trPr>
                <w:trHeight w:val="249"/>
              </w:trPr>
              <w:tc>
                <w:tcPr>
                  <w:tcW w:w="1089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44342" w:rsidRPr="00473064" w:rsidRDefault="00044342" w:rsidP="00044342">
                  <w:pPr>
                    <w:ind w:left="180"/>
                  </w:pPr>
                </w:p>
              </w:tc>
            </w:tr>
          </w:tbl>
          <w:p w:rsidR="00C00B69" w:rsidRPr="00044342" w:rsidRDefault="00C00B69" w:rsidP="00044342">
            <w:pPr>
              <w:rPr>
                <w:sz w:val="20"/>
                <w:szCs w:val="20"/>
              </w:rPr>
            </w:pPr>
          </w:p>
        </w:tc>
      </w:tr>
      <w:tr w:rsidR="002B6EFF" w:rsidRPr="000D3692" w:rsidTr="002B6EFF">
        <w:trPr>
          <w:trHeight w:val="198"/>
        </w:trPr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EFF" w:rsidRDefault="002B6EFF" w:rsidP="00044342">
            <w:pPr>
              <w:ind w:left="180"/>
              <w:rPr>
                <w:sz w:val="20"/>
                <w:szCs w:val="20"/>
              </w:rPr>
            </w:pPr>
          </w:p>
          <w:p w:rsidR="002D55AA" w:rsidRDefault="002D55AA" w:rsidP="00044342">
            <w:pPr>
              <w:ind w:left="180"/>
              <w:rPr>
                <w:sz w:val="20"/>
                <w:szCs w:val="20"/>
              </w:rPr>
            </w:pPr>
          </w:p>
          <w:p w:rsidR="002D55AA" w:rsidRDefault="002D55AA" w:rsidP="00044342">
            <w:pPr>
              <w:ind w:left="180"/>
              <w:rPr>
                <w:sz w:val="20"/>
                <w:szCs w:val="20"/>
              </w:rPr>
            </w:pPr>
          </w:p>
          <w:p w:rsidR="002D55AA" w:rsidRPr="002D55AA" w:rsidRDefault="002D55AA" w:rsidP="00044342">
            <w:pPr>
              <w:ind w:left="180"/>
              <w:rPr>
                <w:sz w:val="20"/>
                <w:szCs w:val="20"/>
              </w:rPr>
            </w:pPr>
          </w:p>
        </w:tc>
      </w:tr>
      <w:tr w:rsidR="00C00B69" w:rsidRPr="000D3692" w:rsidTr="008A1FF4">
        <w:trPr>
          <w:trHeight w:val="546"/>
        </w:trPr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BCC" w:rsidRDefault="00C26BCC" w:rsidP="00C26BCC">
            <w:pPr>
              <w:ind w:right="162"/>
              <w:rPr>
                <w:i/>
              </w:rPr>
            </w:pPr>
            <w:r w:rsidRPr="006C7B86">
              <w:rPr>
                <w:i/>
              </w:rPr>
              <w:t>For a project that has more than one discharge point and that discharges to different receiving waters, waiver eligibility shall be determined on a “per receiving water” basis.  Receiving waters are considered separate if the drainage area at their downstream point of confluence is greater than 10 square miles.</w:t>
            </w:r>
            <w:r>
              <w:rPr>
                <w:i/>
              </w:rPr>
              <w:t xml:space="preserve"> </w:t>
            </w:r>
          </w:p>
          <w:p w:rsidR="00C26BCC" w:rsidRDefault="00C26BCC" w:rsidP="00C26BCC">
            <w:pPr>
              <w:ind w:right="162"/>
              <w:rPr>
                <w:i/>
              </w:rPr>
            </w:pPr>
          </w:p>
          <w:p w:rsidR="00C26BCC" w:rsidRDefault="00C26BCC" w:rsidP="00C26BCC">
            <w:pPr>
              <w:ind w:right="162"/>
              <w:rPr>
                <w:i/>
              </w:rPr>
            </w:pPr>
            <w:r>
              <w:rPr>
                <w:i/>
              </w:rPr>
              <w:t xml:space="preserve">For example, if discharge point S/N 001 discharges directly to the Winooski River (drainage area of greater than 10 square miles), but discharge point S/N 002 discharges directly to a small tributary of the Winooski River, then S/N 001 could be waived from the Overbank Flood Protection Standard using Waiver 2, but S/N 002 could not.  </w:t>
            </w:r>
            <w:proofErr w:type="gramStart"/>
            <w:r>
              <w:rPr>
                <w:i/>
              </w:rPr>
              <w:t>However</w:t>
            </w:r>
            <w:proofErr w:type="gramEnd"/>
            <w:r>
              <w:rPr>
                <w:i/>
              </w:rPr>
              <w:t xml:space="preserve"> S/N 002 may still be eligible for Waivers 1 or 3.</w:t>
            </w:r>
          </w:p>
          <w:p w:rsidR="00C26BCC" w:rsidRDefault="00C26BCC" w:rsidP="006849EA">
            <w:pPr>
              <w:ind w:left="180" w:right="162"/>
              <w:rPr>
                <w:i/>
                <w:sz w:val="20"/>
                <w:szCs w:val="20"/>
              </w:rPr>
            </w:pPr>
          </w:p>
          <w:p w:rsidR="00C26BCC" w:rsidRPr="004B73E3" w:rsidRDefault="00C26BCC" w:rsidP="006849EA">
            <w:pPr>
              <w:ind w:left="180" w:right="162"/>
              <w:rPr>
                <w:i/>
                <w:sz w:val="20"/>
                <w:szCs w:val="20"/>
              </w:rPr>
            </w:pPr>
          </w:p>
        </w:tc>
      </w:tr>
    </w:tbl>
    <w:p w:rsidR="004257B8" w:rsidRDefault="004257B8" w:rsidP="006434E3">
      <w:pPr>
        <w:tabs>
          <w:tab w:val="left" w:pos="8352"/>
        </w:tabs>
      </w:pPr>
    </w:p>
    <w:p w:rsidR="005E44EF" w:rsidRPr="004257B8" w:rsidRDefault="004257B8" w:rsidP="004257B8">
      <w:pPr>
        <w:tabs>
          <w:tab w:val="left" w:pos="6600"/>
        </w:tabs>
      </w:pPr>
      <w:r>
        <w:tab/>
      </w:r>
    </w:p>
    <w:sectPr w:rsidR="005E44EF" w:rsidRPr="004257B8" w:rsidSect="00D71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3A8" w:rsidRDefault="00A923A8" w:rsidP="001014BB">
      <w:pPr>
        <w:spacing w:after="0" w:line="240" w:lineRule="auto"/>
      </w:pPr>
      <w:r>
        <w:separator/>
      </w:r>
    </w:p>
  </w:endnote>
  <w:endnote w:type="continuationSeparator" w:id="0">
    <w:p w:rsidR="00A923A8" w:rsidRDefault="00A923A8" w:rsidP="0010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B8" w:rsidRDefault="00425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A8" w:rsidRDefault="00A923A8">
    <w:pPr>
      <w:pStyle w:val="Footer"/>
    </w:pPr>
    <w:r w:rsidRPr="00C10AB8">
      <w:rPr>
        <w:i/>
        <w:sz w:val="17"/>
        <w:szCs w:val="17"/>
      </w:rPr>
      <w:t xml:space="preserve">For additional information please go to the </w:t>
    </w:r>
    <w:r w:rsidR="006434E3">
      <w:rPr>
        <w:i/>
        <w:sz w:val="17"/>
        <w:szCs w:val="17"/>
      </w:rPr>
      <w:t xml:space="preserve">2017 </w:t>
    </w:r>
    <w:r w:rsidRPr="006434E3">
      <w:rPr>
        <w:i/>
        <w:sz w:val="17"/>
        <w:szCs w:val="17"/>
      </w:rPr>
      <w:t>V</w:t>
    </w:r>
    <w:r w:rsidRPr="00C10AB8">
      <w:rPr>
        <w:i/>
        <w:sz w:val="17"/>
        <w:szCs w:val="17"/>
      </w:rPr>
      <w:t>ermont Stormwater Management Manual, Section</w:t>
    </w:r>
    <w:r w:rsidR="004257B8">
      <w:rPr>
        <w:i/>
        <w:sz w:val="17"/>
        <w:szCs w:val="17"/>
      </w:rPr>
      <w:t>s 2.2.6</w:t>
    </w:r>
    <w:r w:rsidR="00E718E1">
      <w:rPr>
        <w:i/>
        <w:sz w:val="17"/>
        <w:szCs w:val="17"/>
      </w:rPr>
      <w:t xml:space="preserve"> and 2.5.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B8" w:rsidRDefault="00425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3A8" w:rsidRDefault="00A923A8" w:rsidP="001014BB">
      <w:pPr>
        <w:spacing w:after="0" w:line="240" w:lineRule="auto"/>
      </w:pPr>
      <w:r>
        <w:separator/>
      </w:r>
    </w:p>
  </w:footnote>
  <w:footnote w:type="continuationSeparator" w:id="0">
    <w:p w:rsidR="00A923A8" w:rsidRDefault="00A923A8" w:rsidP="0010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B8" w:rsidRDefault="00425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B8" w:rsidRDefault="00425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B8" w:rsidRDefault="00425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A2B8E"/>
    <w:multiLevelType w:val="hybridMultilevel"/>
    <w:tmpl w:val="E5883708"/>
    <w:lvl w:ilvl="0" w:tplc="B6683E8E">
      <w:start w:val="1"/>
      <w:numFmt w:val="bullet"/>
      <w:pStyle w:val="ListBulleted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692"/>
    <w:rsid w:val="000176C0"/>
    <w:rsid w:val="00042A03"/>
    <w:rsid w:val="00044342"/>
    <w:rsid w:val="00086BA8"/>
    <w:rsid w:val="00096A44"/>
    <w:rsid w:val="000A3D94"/>
    <w:rsid w:val="000C164B"/>
    <w:rsid w:val="000D3692"/>
    <w:rsid w:val="000F291D"/>
    <w:rsid w:val="001014BB"/>
    <w:rsid w:val="00123CFA"/>
    <w:rsid w:val="00165D01"/>
    <w:rsid w:val="001C5613"/>
    <w:rsid w:val="00244575"/>
    <w:rsid w:val="00280654"/>
    <w:rsid w:val="00285336"/>
    <w:rsid w:val="002B6EFF"/>
    <w:rsid w:val="002D55AA"/>
    <w:rsid w:val="003234E5"/>
    <w:rsid w:val="00331DFE"/>
    <w:rsid w:val="003C3A67"/>
    <w:rsid w:val="003C645D"/>
    <w:rsid w:val="003C6A8E"/>
    <w:rsid w:val="003D4FE6"/>
    <w:rsid w:val="00411FCB"/>
    <w:rsid w:val="00412F3F"/>
    <w:rsid w:val="004257B8"/>
    <w:rsid w:val="00453303"/>
    <w:rsid w:val="004671EE"/>
    <w:rsid w:val="0048279C"/>
    <w:rsid w:val="004A7340"/>
    <w:rsid w:val="004B6749"/>
    <w:rsid w:val="004B73E3"/>
    <w:rsid w:val="00594283"/>
    <w:rsid w:val="005B6718"/>
    <w:rsid w:val="005B672F"/>
    <w:rsid w:val="005C0D36"/>
    <w:rsid w:val="005E38C0"/>
    <w:rsid w:val="005E44EF"/>
    <w:rsid w:val="006434E3"/>
    <w:rsid w:val="00644F75"/>
    <w:rsid w:val="00662972"/>
    <w:rsid w:val="006849EA"/>
    <w:rsid w:val="006A1DF9"/>
    <w:rsid w:val="006B2BEA"/>
    <w:rsid w:val="006E15C9"/>
    <w:rsid w:val="00782286"/>
    <w:rsid w:val="007D5C60"/>
    <w:rsid w:val="007F1C95"/>
    <w:rsid w:val="0084085F"/>
    <w:rsid w:val="0084669E"/>
    <w:rsid w:val="0088091C"/>
    <w:rsid w:val="0088344F"/>
    <w:rsid w:val="008931A8"/>
    <w:rsid w:val="00893EF3"/>
    <w:rsid w:val="008A1FF4"/>
    <w:rsid w:val="008E7FB3"/>
    <w:rsid w:val="00907274"/>
    <w:rsid w:val="00907B14"/>
    <w:rsid w:val="00942FA3"/>
    <w:rsid w:val="009479E9"/>
    <w:rsid w:val="0099657C"/>
    <w:rsid w:val="009A7C11"/>
    <w:rsid w:val="009E20C7"/>
    <w:rsid w:val="00A03AAD"/>
    <w:rsid w:val="00A6031B"/>
    <w:rsid w:val="00A923A8"/>
    <w:rsid w:val="00AC2570"/>
    <w:rsid w:val="00B24E42"/>
    <w:rsid w:val="00B2556F"/>
    <w:rsid w:val="00B40422"/>
    <w:rsid w:val="00B732E4"/>
    <w:rsid w:val="00BB5416"/>
    <w:rsid w:val="00BB59C2"/>
    <w:rsid w:val="00BC2BDE"/>
    <w:rsid w:val="00C00B69"/>
    <w:rsid w:val="00C0366D"/>
    <w:rsid w:val="00C06BF4"/>
    <w:rsid w:val="00C10AB8"/>
    <w:rsid w:val="00C26BCC"/>
    <w:rsid w:val="00C458A5"/>
    <w:rsid w:val="00C8373E"/>
    <w:rsid w:val="00CA3A99"/>
    <w:rsid w:val="00CC0F00"/>
    <w:rsid w:val="00CD4306"/>
    <w:rsid w:val="00CF11C7"/>
    <w:rsid w:val="00D24D34"/>
    <w:rsid w:val="00D3116D"/>
    <w:rsid w:val="00D7120C"/>
    <w:rsid w:val="00D83CEF"/>
    <w:rsid w:val="00DC01A4"/>
    <w:rsid w:val="00DC6D8D"/>
    <w:rsid w:val="00E1572C"/>
    <w:rsid w:val="00E6693C"/>
    <w:rsid w:val="00E718E1"/>
    <w:rsid w:val="00E95CE8"/>
    <w:rsid w:val="00EB58B4"/>
    <w:rsid w:val="00ED222C"/>
    <w:rsid w:val="00EF59E9"/>
    <w:rsid w:val="00F4761B"/>
    <w:rsid w:val="00F63867"/>
    <w:rsid w:val="00FB3DCF"/>
    <w:rsid w:val="00FF48AA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D684"/>
  <w15:docId w15:val="{48DD85DD-76A2-486A-854A-015E486E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4BB"/>
  </w:style>
  <w:style w:type="paragraph" w:styleId="Footer">
    <w:name w:val="footer"/>
    <w:basedOn w:val="Normal"/>
    <w:link w:val="FooterChar"/>
    <w:uiPriority w:val="99"/>
    <w:unhideWhenUsed/>
    <w:rsid w:val="0010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4BB"/>
  </w:style>
  <w:style w:type="paragraph" w:styleId="BalloonText">
    <w:name w:val="Balloon Text"/>
    <w:basedOn w:val="Normal"/>
    <w:link w:val="BalloonTextChar"/>
    <w:uiPriority w:val="99"/>
    <w:semiHidden/>
    <w:unhideWhenUsed/>
    <w:rsid w:val="0010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BB"/>
    <w:rPr>
      <w:rFonts w:ascii="Tahoma" w:hAnsi="Tahoma" w:cs="Tahoma"/>
      <w:sz w:val="16"/>
      <w:szCs w:val="16"/>
    </w:rPr>
  </w:style>
  <w:style w:type="paragraph" w:customStyle="1" w:styleId="ListBulleted">
    <w:name w:val="List_Bulleted"/>
    <w:basedOn w:val="Normal"/>
    <w:link w:val="ListBulletedChar"/>
    <w:rsid w:val="00CF11C7"/>
    <w:pPr>
      <w:numPr>
        <w:numId w:val="1"/>
      </w:numPr>
      <w:tabs>
        <w:tab w:val="left" w:pos="432"/>
      </w:tabs>
      <w:spacing w:before="80" w:after="16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ListBulletedChar">
    <w:name w:val="List_Bulleted Char"/>
    <w:link w:val="ListBulleted"/>
    <w:rsid w:val="00CF11C7"/>
    <w:rPr>
      <w:rFonts w:ascii="Palatino Linotype" w:eastAsia="Times New Roman" w:hAnsi="Palatino Linotyp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6CC6D-5A5A-4A20-8006-0E9BBC23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anrsetup</dc:creator>
  <cp:keywords/>
  <dc:description/>
  <cp:lastModifiedBy>Schelley, Emily</cp:lastModifiedBy>
  <cp:revision>15</cp:revision>
  <cp:lastPrinted>2011-12-22T14:06:00Z</cp:lastPrinted>
  <dcterms:created xsi:type="dcterms:W3CDTF">2017-01-10T15:50:00Z</dcterms:created>
  <dcterms:modified xsi:type="dcterms:W3CDTF">2017-08-02T19:14:00Z</dcterms:modified>
</cp:coreProperties>
</file>