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F235" w14:textId="77777777" w:rsidR="005E20C5" w:rsidRPr="009F5E32" w:rsidRDefault="005E20C5" w:rsidP="009545AA">
      <w:pPr>
        <w:tabs>
          <w:tab w:val="center" w:pos="4680"/>
        </w:tabs>
        <w:jc w:val="center"/>
        <w:outlineLvl w:val="0"/>
        <w:rPr>
          <w:rFonts w:cs="Arial"/>
          <w:szCs w:val="22"/>
        </w:rPr>
      </w:pPr>
      <w:r w:rsidRPr="009F5E32">
        <w:rPr>
          <w:rFonts w:cs="Arial"/>
          <w:szCs w:val="22"/>
        </w:rPr>
        <w:t>VERMONT AGENCY OF NATURAL RESOURCES</w:t>
      </w:r>
    </w:p>
    <w:p w14:paraId="1686B1B9" w14:textId="77777777" w:rsidR="005E20C5" w:rsidRPr="009F5E32" w:rsidRDefault="005E20C5" w:rsidP="009545AA">
      <w:pPr>
        <w:tabs>
          <w:tab w:val="center" w:pos="4680"/>
        </w:tabs>
        <w:jc w:val="center"/>
        <w:outlineLvl w:val="0"/>
        <w:rPr>
          <w:rFonts w:cs="Arial"/>
          <w:szCs w:val="22"/>
        </w:rPr>
      </w:pPr>
      <w:r w:rsidRPr="009F5E32">
        <w:rPr>
          <w:rFonts w:cs="Arial"/>
          <w:szCs w:val="22"/>
        </w:rPr>
        <w:t>Department of Environmental Conservation</w:t>
      </w:r>
    </w:p>
    <w:p w14:paraId="485CD136" w14:textId="2D044EF5" w:rsidR="005E20C5" w:rsidRPr="009F5E32" w:rsidRDefault="005E20C5" w:rsidP="009545AA">
      <w:pPr>
        <w:tabs>
          <w:tab w:val="center" w:pos="4680"/>
        </w:tabs>
        <w:jc w:val="center"/>
        <w:outlineLvl w:val="0"/>
        <w:rPr>
          <w:rFonts w:cs="Arial"/>
          <w:szCs w:val="22"/>
        </w:rPr>
      </w:pPr>
      <w:r w:rsidRPr="009F5E32">
        <w:rPr>
          <w:rFonts w:cs="Arial"/>
          <w:szCs w:val="22"/>
        </w:rPr>
        <w:t xml:space="preserve">Air </w:t>
      </w:r>
      <w:r w:rsidR="00B2577F" w:rsidRPr="009F5E32">
        <w:rPr>
          <w:rFonts w:cs="Arial"/>
          <w:szCs w:val="22"/>
        </w:rPr>
        <w:t>Quality &amp; Climate</w:t>
      </w:r>
      <w:r w:rsidRPr="009F5E32">
        <w:rPr>
          <w:rFonts w:cs="Arial"/>
          <w:szCs w:val="22"/>
        </w:rPr>
        <w:t xml:space="preserve"> Division</w:t>
      </w:r>
    </w:p>
    <w:p w14:paraId="2BD2D7A4" w14:textId="15317E80" w:rsidR="005E20C5" w:rsidRPr="009F5E32" w:rsidRDefault="005E20C5" w:rsidP="00265BE8">
      <w:pPr>
        <w:rPr>
          <w:rFonts w:cs="Arial"/>
          <w:sz w:val="18"/>
          <w:szCs w:val="18"/>
        </w:rPr>
      </w:pPr>
    </w:p>
    <w:p w14:paraId="52A76BF2" w14:textId="7C21484D" w:rsidR="005E20C5" w:rsidRPr="009F5E32" w:rsidRDefault="005E20C5" w:rsidP="009545AA">
      <w:pPr>
        <w:jc w:val="center"/>
        <w:outlineLvl w:val="0"/>
        <w:rPr>
          <w:rFonts w:cs="Arial"/>
          <w:b/>
          <w:bCs/>
          <w:szCs w:val="22"/>
        </w:rPr>
      </w:pPr>
      <w:r w:rsidRPr="009F5E32">
        <w:rPr>
          <w:rFonts w:cs="Arial"/>
          <w:b/>
          <w:bCs/>
          <w:szCs w:val="22"/>
        </w:rPr>
        <w:t>TECHNICAL ANALYSIS OF AN AIR CONTAMINANT SOURCE</w:t>
      </w:r>
    </w:p>
    <w:p w14:paraId="7BE4F3AF" w14:textId="6EC583E8" w:rsidR="005E20C5" w:rsidRPr="009F5E32" w:rsidRDefault="005E20C5" w:rsidP="009545AA">
      <w:pPr>
        <w:jc w:val="center"/>
        <w:outlineLvl w:val="0"/>
        <w:rPr>
          <w:rFonts w:cs="Arial"/>
          <w:szCs w:val="22"/>
        </w:rPr>
      </w:pPr>
      <w:r w:rsidRPr="009F5E32">
        <w:rPr>
          <w:rFonts w:cs="Arial"/>
          <w:b/>
          <w:bCs/>
          <w:szCs w:val="22"/>
        </w:rPr>
        <w:t xml:space="preserve">FOR A </w:t>
      </w:r>
      <w:r w:rsidR="00E52B10" w:rsidRPr="009F5E32">
        <w:rPr>
          <w:rFonts w:cs="Arial"/>
          <w:b/>
          <w:bCs/>
          <w:szCs w:val="22"/>
        </w:rPr>
        <w:t xml:space="preserve">TITLE V </w:t>
      </w:r>
      <w:r w:rsidRPr="009F5E32">
        <w:rPr>
          <w:rFonts w:cs="Arial"/>
          <w:b/>
          <w:bCs/>
          <w:szCs w:val="22"/>
        </w:rPr>
        <w:t>PERMIT TO CONSTRUCT AND OPERATE</w:t>
      </w:r>
    </w:p>
    <w:p w14:paraId="5B2B2D60" w14:textId="77777777" w:rsidR="00E52B10" w:rsidRPr="009F5E32" w:rsidRDefault="00E52B10" w:rsidP="00E52B10">
      <w:pPr>
        <w:jc w:val="left"/>
        <w:rPr>
          <w:rFonts w:cs="Arial"/>
          <w:sz w:val="18"/>
          <w:szCs w:val="18"/>
        </w:rPr>
      </w:pPr>
    </w:p>
    <w:p w14:paraId="24C1A0A4" w14:textId="175A53C0" w:rsidR="00AF14D2" w:rsidRPr="009F5E32" w:rsidRDefault="005E20C5" w:rsidP="00AF14D2">
      <w:pPr>
        <w:tabs>
          <w:tab w:val="center" w:pos="4680"/>
        </w:tabs>
        <w:jc w:val="center"/>
        <w:outlineLvl w:val="0"/>
        <w:rPr>
          <w:rFonts w:cs="Arial"/>
          <w:b/>
          <w:bCs/>
          <w:szCs w:val="22"/>
        </w:rPr>
      </w:pPr>
      <w:r w:rsidRPr="009F5E32">
        <w:rPr>
          <w:rFonts w:cs="Arial"/>
          <w:b/>
          <w:bCs/>
          <w:szCs w:val="22"/>
        </w:rPr>
        <w:t>#AOP-</w:t>
      </w:r>
      <w:r w:rsidR="00911583" w:rsidRPr="009F5E32">
        <w:rPr>
          <w:rFonts w:cs="Arial"/>
          <w:b/>
          <w:bCs/>
          <w:szCs w:val="22"/>
        </w:rPr>
        <w:t>17</w:t>
      </w:r>
      <w:r w:rsidRPr="009F5E32">
        <w:rPr>
          <w:rFonts w:cs="Arial"/>
          <w:b/>
          <w:bCs/>
          <w:szCs w:val="22"/>
        </w:rPr>
        <w:t>-</w:t>
      </w:r>
      <w:r w:rsidR="00911583" w:rsidRPr="009F5E32">
        <w:rPr>
          <w:rFonts w:cs="Arial"/>
          <w:b/>
          <w:bCs/>
          <w:szCs w:val="22"/>
        </w:rPr>
        <w:t xml:space="preserve">018 </w:t>
      </w:r>
      <w:r w:rsidR="00AF14D2" w:rsidRPr="009F5E32">
        <w:rPr>
          <w:rFonts w:cs="Arial"/>
          <w:b/>
          <w:bCs/>
          <w:szCs w:val="22"/>
        </w:rPr>
        <w:t>/ DEC PIN# SJ91-0001</w:t>
      </w:r>
    </w:p>
    <w:p w14:paraId="04BEE7B6" w14:textId="77714590" w:rsidR="00DF1995" w:rsidRPr="009F5E32" w:rsidRDefault="00DF1995" w:rsidP="00DF1995">
      <w:pPr>
        <w:tabs>
          <w:tab w:val="center" w:pos="4680"/>
        </w:tabs>
        <w:jc w:val="center"/>
        <w:outlineLvl w:val="0"/>
        <w:rPr>
          <w:rFonts w:cs="Arial"/>
          <w:b/>
          <w:bCs/>
          <w:szCs w:val="22"/>
          <w:highlight w:val="cyan"/>
        </w:rPr>
      </w:pPr>
      <w:r w:rsidRPr="00DB5EC9">
        <w:rPr>
          <w:rFonts w:cs="Arial"/>
          <w:b/>
          <w:bCs/>
          <w:szCs w:val="22"/>
        </w:rPr>
        <w:t>#AOP-1</w:t>
      </w:r>
      <w:r w:rsidR="00497FB5" w:rsidRPr="00DB5EC9">
        <w:rPr>
          <w:rFonts w:cs="Arial"/>
          <w:b/>
          <w:bCs/>
          <w:szCs w:val="22"/>
        </w:rPr>
        <w:t>8</w:t>
      </w:r>
      <w:r w:rsidRPr="00DB5EC9">
        <w:rPr>
          <w:rFonts w:cs="Arial"/>
          <w:b/>
          <w:bCs/>
          <w:szCs w:val="22"/>
        </w:rPr>
        <w:t>-</w:t>
      </w:r>
      <w:r w:rsidR="00BE601E" w:rsidRPr="00DB5EC9">
        <w:rPr>
          <w:rFonts w:cs="Arial"/>
          <w:b/>
          <w:bCs/>
          <w:szCs w:val="22"/>
        </w:rPr>
        <w:t>019</w:t>
      </w:r>
      <w:r w:rsidR="00911583" w:rsidRPr="00DB5EC9">
        <w:rPr>
          <w:rFonts w:cs="Arial"/>
          <w:b/>
          <w:bCs/>
          <w:szCs w:val="22"/>
        </w:rPr>
        <w:t xml:space="preserve"> </w:t>
      </w:r>
      <w:r w:rsidR="00AF14D2" w:rsidRPr="00DB5EC9">
        <w:rPr>
          <w:rFonts w:cs="Arial"/>
          <w:b/>
          <w:bCs/>
          <w:szCs w:val="22"/>
        </w:rPr>
        <w:t xml:space="preserve">/ DEC PIN# </w:t>
      </w:r>
      <w:r w:rsidR="00D03654" w:rsidRPr="00DB5EC9">
        <w:rPr>
          <w:rFonts w:cs="Arial"/>
          <w:b/>
          <w:bCs/>
          <w:szCs w:val="22"/>
        </w:rPr>
        <w:t>SJ91-0001</w:t>
      </w:r>
    </w:p>
    <w:p w14:paraId="44D8ED82" w14:textId="77777777" w:rsidR="005E20C5" w:rsidRPr="009F5E32" w:rsidRDefault="005E20C5" w:rsidP="00265BE8">
      <w:pPr>
        <w:rPr>
          <w:rFonts w:cs="Arial"/>
          <w:sz w:val="18"/>
          <w:szCs w:val="18"/>
          <w:highlight w:val="cyan"/>
        </w:rPr>
      </w:pPr>
    </w:p>
    <w:p w14:paraId="511C6047" w14:textId="438A17CF" w:rsidR="005E20C5" w:rsidRPr="00976B82" w:rsidRDefault="00976B82" w:rsidP="009545AA">
      <w:pPr>
        <w:tabs>
          <w:tab w:val="center" w:pos="4680"/>
        </w:tabs>
        <w:jc w:val="center"/>
        <w:outlineLvl w:val="0"/>
        <w:rPr>
          <w:rFonts w:cs="Arial"/>
          <w:szCs w:val="22"/>
        </w:rPr>
      </w:pPr>
      <w:r w:rsidRPr="00976B82">
        <w:rPr>
          <w:rFonts w:cs="Arial"/>
          <w:szCs w:val="22"/>
        </w:rPr>
        <w:t>August 3</w:t>
      </w:r>
      <w:r w:rsidR="00E7560B" w:rsidRPr="00976B82">
        <w:rPr>
          <w:rFonts w:cs="Arial"/>
          <w:szCs w:val="22"/>
        </w:rPr>
        <w:t>,</w:t>
      </w:r>
      <w:r w:rsidR="005E20C5" w:rsidRPr="00976B82">
        <w:rPr>
          <w:rFonts w:cs="Arial"/>
          <w:szCs w:val="22"/>
        </w:rPr>
        <w:t xml:space="preserve"> </w:t>
      </w:r>
      <w:r w:rsidR="00911583" w:rsidRPr="00976B82">
        <w:rPr>
          <w:rFonts w:cs="Arial"/>
          <w:szCs w:val="22"/>
        </w:rPr>
        <w:t>201</w:t>
      </w:r>
      <w:r w:rsidR="008A3EFC" w:rsidRPr="00976B82">
        <w:rPr>
          <w:rFonts w:cs="Arial"/>
          <w:szCs w:val="22"/>
        </w:rPr>
        <w:t>8</w:t>
      </w:r>
    </w:p>
    <w:p w14:paraId="48A66BA5" w14:textId="77777777" w:rsidR="005E20C5" w:rsidRPr="009F5E32" w:rsidRDefault="005E20C5" w:rsidP="00265BE8">
      <w:pPr>
        <w:rPr>
          <w:rFonts w:cs="Arial"/>
          <w:sz w:val="18"/>
          <w:szCs w:val="18"/>
        </w:rPr>
      </w:pPr>
    </w:p>
    <w:p w14:paraId="337C6957" w14:textId="77777777" w:rsidR="005E20C5" w:rsidRPr="009F5E32" w:rsidRDefault="005E20C5" w:rsidP="009545AA">
      <w:pPr>
        <w:tabs>
          <w:tab w:val="center" w:pos="4680"/>
        </w:tabs>
        <w:jc w:val="center"/>
        <w:outlineLvl w:val="0"/>
        <w:rPr>
          <w:rFonts w:cs="Arial"/>
          <w:szCs w:val="22"/>
        </w:rPr>
      </w:pPr>
      <w:r w:rsidRPr="009F5E32">
        <w:rPr>
          <w:rFonts w:cs="Arial"/>
          <w:szCs w:val="22"/>
        </w:rPr>
        <w:t>Prepared By: Tony Mathis</w:t>
      </w:r>
      <w:r w:rsidR="0066368E" w:rsidRPr="009F5E32">
        <w:rPr>
          <w:rFonts w:cs="Arial"/>
          <w:szCs w:val="22"/>
        </w:rPr>
        <w:t>,</w:t>
      </w:r>
      <w:r w:rsidRPr="009F5E32">
        <w:rPr>
          <w:rFonts w:cs="Arial"/>
          <w:szCs w:val="22"/>
        </w:rPr>
        <w:t xml:space="preserve"> Environmental Engineer</w:t>
      </w:r>
    </w:p>
    <w:p w14:paraId="46E204A0" w14:textId="77777777" w:rsidR="005E20C5" w:rsidRPr="009F5E32" w:rsidRDefault="005E20C5" w:rsidP="00265BE8">
      <w:pPr>
        <w:rPr>
          <w:rFonts w:cs="Arial"/>
          <w:sz w:val="18"/>
          <w:szCs w:val="18"/>
        </w:rPr>
      </w:pPr>
    </w:p>
    <w:p w14:paraId="5C01D62F" w14:textId="1FA8290F" w:rsidR="00AF14D2" w:rsidRPr="009F5E32" w:rsidRDefault="00367D4F" w:rsidP="00E83ED0">
      <w:pPr>
        <w:tabs>
          <w:tab w:val="left" w:pos="-1440"/>
        </w:tabs>
        <w:ind w:left="2880" w:hanging="2880"/>
        <w:rPr>
          <w:rFonts w:cs="Arial"/>
          <w:bCs/>
          <w:szCs w:val="22"/>
        </w:rPr>
      </w:pPr>
      <w:r w:rsidRPr="009F5E32">
        <w:rPr>
          <w:rFonts w:cs="Arial"/>
          <w:bCs/>
          <w:szCs w:val="22"/>
        </w:rPr>
        <w:t xml:space="preserve">SOURCE / </w:t>
      </w:r>
      <w:r w:rsidR="00AF14D2" w:rsidRPr="009F5E32">
        <w:rPr>
          <w:rFonts w:cs="Arial"/>
          <w:bCs/>
          <w:szCs w:val="22"/>
        </w:rPr>
        <w:t>F</w:t>
      </w:r>
      <w:r w:rsidRPr="009F5E32">
        <w:rPr>
          <w:rFonts w:cs="Arial"/>
          <w:bCs/>
          <w:szCs w:val="22"/>
        </w:rPr>
        <w:t>ACILITY</w:t>
      </w:r>
      <w:r w:rsidR="00AF14D2" w:rsidRPr="009F5E32">
        <w:rPr>
          <w:rFonts w:cs="Arial"/>
          <w:bCs/>
          <w:szCs w:val="22"/>
        </w:rPr>
        <w:t>:</w:t>
      </w:r>
      <w:r w:rsidR="00E83ED0" w:rsidRPr="009F5E32">
        <w:rPr>
          <w:rFonts w:cs="Arial"/>
          <w:bCs/>
          <w:szCs w:val="22"/>
        </w:rPr>
        <w:tab/>
      </w:r>
      <w:r w:rsidR="00AF14D2" w:rsidRPr="009F5E32">
        <w:rPr>
          <w:rFonts w:cs="Arial"/>
          <w:bCs/>
          <w:szCs w:val="22"/>
        </w:rPr>
        <w:t>Coventry Municipal Solid Waste Facility</w:t>
      </w:r>
      <w:r w:rsidR="004B0056" w:rsidRPr="009F5E32">
        <w:rPr>
          <w:rFonts w:cs="Arial"/>
          <w:bCs/>
          <w:szCs w:val="22"/>
        </w:rPr>
        <w:t xml:space="preserve"> (Facility) consisting</w:t>
      </w:r>
      <w:r w:rsidR="00AF14D2" w:rsidRPr="009F5E32">
        <w:rPr>
          <w:rFonts w:cs="Arial"/>
          <w:bCs/>
          <w:szCs w:val="22"/>
        </w:rPr>
        <w:t xml:space="preserve"> of </w:t>
      </w:r>
      <w:r w:rsidR="004B0056" w:rsidRPr="009F5E32">
        <w:rPr>
          <w:rFonts w:cs="Arial"/>
          <w:bCs/>
          <w:szCs w:val="22"/>
        </w:rPr>
        <w:t xml:space="preserve">the </w:t>
      </w:r>
      <w:r w:rsidR="00AF14D2" w:rsidRPr="009F5E32">
        <w:rPr>
          <w:rFonts w:cs="Arial"/>
          <w:bCs/>
          <w:szCs w:val="22"/>
        </w:rPr>
        <w:t xml:space="preserve">Coventry Landfill (Landfill Operation) and </w:t>
      </w:r>
      <w:r w:rsidR="004B0056" w:rsidRPr="009F5E32">
        <w:rPr>
          <w:rFonts w:cs="Arial"/>
          <w:bCs/>
          <w:szCs w:val="22"/>
        </w:rPr>
        <w:t xml:space="preserve">Coventry </w:t>
      </w:r>
      <w:r w:rsidR="00AF14D2" w:rsidRPr="009F5E32">
        <w:rPr>
          <w:rFonts w:cs="Arial"/>
          <w:bCs/>
          <w:szCs w:val="22"/>
        </w:rPr>
        <w:t>Landfill Gas to Energy Operation (LFGTE Operation)</w:t>
      </w:r>
    </w:p>
    <w:p w14:paraId="4D829F04" w14:textId="77777777" w:rsidR="00AF14D2" w:rsidRPr="009F5E32" w:rsidRDefault="00AF14D2" w:rsidP="00E83ED0">
      <w:pPr>
        <w:tabs>
          <w:tab w:val="left" w:pos="-1440"/>
        </w:tabs>
        <w:ind w:left="3240"/>
        <w:rPr>
          <w:rFonts w:cs="Arial"/>
          <w:bCs/>
          <w:szCs w:val="22"/>
        </w:rPr>
      </w:pPr>
      <w:r w:rsidRPr="009F5E32">
        <w:rPr>
          <w:rFonts w:cs="Arial"/>
          <w:bCs/>
          <w:szCs w:val="22"/>
        </w:rPr>
        <w:t>21 Landfill Lane</w:t>
      </w:r>
    </w:p>
    <w:p w14:paraId="1716441F" w14:textId="4C4004B8" w:rsidR="00F2097C" w:rsidRPr="009F5E32" w:rsidRDefault="00F2097C" w:rsidP="00E83ED0">
      <w:pPr>
        <w:tabs>
          <w:tab w:val="left" w:pos="-1440"/>
        </w:tabs>
        <w:ind w:left="3240"/>
        <w:rPr>
          <w:rFonts w:cs="Arial"/>
          <w:bCs/>
          <w:szCs w:val="22"/>
        </w:rPr>
      </w:pPr>
      <w:r w:rsidRPr="009F5E32">
        <w:rPr>
          <w:rFonts w:cs="Arial"/>
          <w:bCs/>
          <w:szCs w:val="22"/>
        </w:rPr>
        <w:t>Orleans County</w:t>
      </w:r>
    </w:p>
    <w:p w14:paraId="271B4368" w14:textId="77777777" w:rsidR="00AF14D2" w:rsidRPr="009F5E32" w:rsidRDefault="00AF14D2" w:rsidP="00E83ED0">
      <w:pPr>
        <w:tabs>
          <w:tab w:val="left" w:pos="-1440"/>
        </w:tabs>
        <w:ind w:left="3240"/>
        <w:rPr>
          <w:rFonts w:cs="Arial"/>
          <w:bCs/>
          <w:szCs w:val="22"/>
        </w:rPr>
      </w:pPr>
      <w:r w:rsidRPr="009F5E32">
        <w:rPr>
          <w:rFonts w:cs="Arial"/>
          <w:bCs/>
          <w:szCs w:val="22"/>
        </w:rPr>
        <w:t>Coventry, VT   05825</w:t>
      </w:r>
    </w:p>
    <w:p w14:paraId="27DC30E5" w14:textId="77777777" w:rsidR="00AF14D2" w:rsidRPr="009F5E32" w:rsidRDefault="00AF14D2" w:rsidP="001325AC">
      <w:pPr>
        <w:tabs>
          <w:tab w:val="left" w:pos="-1440"/>
        </w:tabs>
        <w:rPr>
          <w:rFonts w:cs="Arial"/>
          <w:sz w:val="18"/>
          <w:szCs w:val="18"/>
        </w:rPr>
      </w:pPr>
    </w:p>
    <w:p w14:paraId="5BF829FB" w14:textId="5A6F7127" w:rsidR="00E83ED0" w:rsidRPr="009F5E32" w:rsidRDefault="00E83ED0" w:rsidP="001325AC">
      <w:pPr>
        <w:tabs>
          <w:tab w:val="left" w:pos="-1440"/>
        </w:tabs>
        <w:rPr>
          <w:rFonts w:cs="Arial"/>
          <w:szCs w:val="22"/>
        </w:rPr>
      </w:pPr>
      <w:r w:rsidRPr="009F5E32">
        <w:rPr>
          <w:rFonts w:cs="Arial"/>
          <w:szCs w:val="22"/>
        </w:rPr>
        <w:t>LANDFILL OPERATION</w:t>
      </w:r>
    </w:p>
    <w:p w14:paraId="67D835AE" w14:textId="4E3EE0C0" w:rsidR="005E20C5" w:rsidRPr="009F5E32" w:rsidRDefault="005E20C5" w:rsidP="001325AC">
      <w:pPr>
        <w:tabs>
          <w:tab w:val="left" w:pos="-1440"/>
        </w:tabs>
        <w:rPr>
          <w:rFonts w:cs="Arial"/>
          <w:szCs w:val="22"/>
        </w:rPr>
      </w:pPr>
      <w:r w:rsidRPr="009F5E32">
        <w:rPr>
          <w:rFonts w:cs="Arial"/>
          <w:szCs w:val="22"/>
        </w:rPr>
        <w:t>OWNER</w:t>
      </w:r>
      <w:r w:rsidR="0066368E" w:rsidRPr="009F5E32">
        <w:rPr>
          <w:rFonts w:cs="Arial"/>
          <w:szCs w:val="22"/>
        </w:rPr>
        <w:t>/OPERATOR</w:t>
      </w:r>
      <w:r w:rsidRPr="009F5E32">
        <w:rPr>
          <w:rFonts w:cs="Arial"/>
          <w:szCs w:val="22"/>
        </w:rPr>
        <w:t>:</w:t>
      </w:r>
      <w:r w:rsidRPr="009F5E32">
        <w:rPr>
          <w:rFonts w:cs="Arial"/>
          <w:szCs w:val="22"/>
        </w:rPr>
        <w:tab/>
      </w:r>
      <w:r w:rsidR="0066368E" w:rsidRPr="009F5E32">
        <w:rPr>
          <w:rFonts w:cs="Arial"/>
          <w:szCs w:val="22"/>
        </w:rPr>
        <w:t>New England Waste Services of Vermont, Inc.</w:t>
      </w:r>
      <w:r w:rsidR="007A14EC" w:rsidRPr="009F5E32">
        <w:rPr>
          <w:rFonts w:cs="Arial"/>
          <w:szCs w:val="22"/>
        </w:rPr>
        <w:t xml:space="preserve"> (NEWSVT)</w:t>
      </w:r>
    </w:p>
    <w:p w14:paraId="496EACD8" w14:textId="77777777" w:rsidR="009A663C" w:rsidRPr="009F5E32" w:rsidRDefault="009A663C" w:rsidP="00E83ED0">
      <w:pPr>
        <w:ind w:left="3240"/>
        <w:rPr>
          <w:rFonts w:cs="Arial"/>
          <w:bCs/>
          <w:szCs w:val="22"/>
        </w:rPr>
      </w:pPr>
      <w:r w:rsidRPr="009F5E32">
        <w:rPr>
          <w:rFonts w:cs="Arial"/>
          <w:bCs/>
          <w:szCs w:val="22"/>
        </w:rPr>
        <w:t>25 Greens Hill Lane</w:t>
      </w:r>
    </w:p>
    <w:p w14:paraId="35E9A972" w14:textId="77777777" w:rsidR="009A663C" w:rsidRPr="009F5E32" w:rsidRDefault="009A663C" w:rsidP="00E83ED0">
      <w:pPr>
        <w:ind w:left="3240"/>
        <w:rPr>
          <w:rFonts w:cs="Arial"/>
          <w:bCs/>
          <w:szCs w:val="22"/>
        </w:rPr>
      </w:pPr>
      <w:r w:rsidRPr="009F5E32">
        <w:rPr>
          <w:rFonts w:cs="Arial"/>
          <w:bCs/>
          <w:szCs w:val="22"/>
        </w:rPr>
        <w:t>Rutland, VT   05701</w:t>
      </w:r>
    </w:p>
    <w:p w14:paraId="34AB5E09" w14:textId="77777777" w:rsidR="00367D4F" w:rsidRPr="009F5E32" w:rsidRDefault="00367D4F" w:rsidP="00367D4F">
      <w:pPr>
        <w:rPr>
          <w:rFonts w:cs="Arial"/>
          <w:bCs/>
          <w:sz w:val="18"/>
          <w:szCs w:val="18"/>
        </w:rPr>
      </w:pPr>
    </w:p>
    <w:p w14:paraId="45512EA3" w14:textId="32EA2959" w:rsidR="00367D4F" w:rsidRPr="009F5E32" w:rsidRDefault="00367D4F" w:rsidP="00367D4F">
      <w:pPr>
        <w:rPr>
          <w:rFonts w:cs="Arial"/>
          <w:bCs/>
          <w:szCs w:val="22"/>
        </w:rPr>
      </w:pPr>
      <w:r w:rsidRPr="009F5E32">
        <w:rPr>
          <w:rFonts w:cs="Arial"/>
          <w:bCs/>
          <w:szCs w:val="22"/>
        </w:rPr>
        <w:t>CONTACT:</w:t>
      </w:r>
      <w:r w:rsidRPr="009F5E32">
        <w:rPr>
          <w:rFonts w:cs="Arial"/>
          <w:bCs/>
          <w:szCs w:val="22"/>
        </w:rPr>
        <w:tab/>
      </w:r>
      <w:r w:rsidRPr="009F5E32">
        <w:rPr>
          <w:rFonts w:cs="Arial"/>
          <w:bCs/>
          <w:szCs w:val="22"/>
        </w:rPr>
        <w:tab/>
      </w:r>
      <w:r w:rsidRPr="009F5E32">
        <w:rPr>
          <w:rFonts w:cs="Arial"/>
          <w:bCs/>
          <w:szCs w:val="22"/>
        </w:rPr>
        <w:tab/>
        <w:t>Mr. John Gay, E.I.</w:t>
      </w:r>
    </w:p>
    <w:p w14:paraId="5676F975" w14:textId="77777777" w:rsidR="00367D4F" w:rsidRPr="009F5E32" w:rsidRDefault="00367D4F" w:rsidP="00E83ED0">
      <w:pPr>
        <w:ind w:left="3240"/>
        <w:rPr>
          <w:rFonts w:cs="Arial"/>
          <w:bCs/>
          <w:szCs w:val="22"/>
        </w:rPr>
      </w:pPr>
      <w:r w:rsidRPr="009F5E32">
        <w:rPr>
          <w:rFonts w:cs="Arial"/>
          <w:bCs/>
          <w:szCs w:val="22"/>
        </w:rPr>
        <w:t>New England Waste Services of Vermont, Inc.</w:t>
      </w:r>
    </w:p>
    <w:p w14:paraId="477022FE" w14:textId="77777777" w:rsidR="00367D4F" w:rsidRPr="009F5E32" w:rsidRDefault="00367D4F" w:rsidP="00E83ED0">
      <w:pPr>
        <w:ind w:left="3240"/>
        <w:rPr>
          <w:rFonts w:cs="Arial"/>
          <w:bCs/>
          <w:szCs w:val="22"/>
        </w:rPr>
      </w:pPr>
      <w:r w:rsidRPr="009F5E32">
        <w:rPr>
          <w:rFonts w:cs="Arial"/>
          <w:bCs/>
          <w:szCs w:val="22"/>
        </w:rPr>
        <w:t>25 Greens Hill Lane</w:t>
      </w:r>
    </w:p>
    <w:p w14:paraId="33FB4876" w14:textId="77777777" w:rsidR="00367D4F" w:rsidRPr="009F5E32" w:rsidRDefault="00367D4F" w:rsidP="00E83ED0">
      <w:pPr>
        <w:ind w:left="3240"/>
        <w:rPr>
          <w:rFonts w:cs="Arial"/>
          <w:bCs/>
          <w:szCs w:val="22"/>
        </w:rPr>
      </w:pPr>
      <w:r w:rsidRPr="009F5E32">
        <w:rPr>
          <w:rFonts w:cs="Arial"/>
          <w:bCs/>
          <w:szCs w:val="22"/>
        </w:rPr>
        <w:t>Rutland, VT   05701</w:t>
      </w:r>
    </w:p>
    <w:p w14:paraId="186E1325" w14:textId="77777777" w:rsidR="00367D4F" w:rsidRPr="009F5E32" w:rsidRDefault="00367D4F" w:rsidP="00E83ED0">
      <w:pPr>
        <w:ind w:left="3240"/>
        <w:rPr>
          <w:rFonts w:cs="Arial"/>
          <w:bCs/>
          <w:szCs w:val="22"/>
        </w:rPr>
      </w:pPr>
      <w:r w:rsidRPr="009F5E32">
        <w:rPr>
          <w:rFonts w:cs="Arial"/>
          <w:bCs/>
          <w:szCs w:val="22"/>
        </w:rPr>
        <w:t>Tel: (802) - 223-7221</w:t>
      </w:r>
    </w:p>
    <w:p w14:paraId="4EDACC4D" w14:textId="77777777" w:rsidR="0018070B" w:rsidRPr="009F5E32" w:rsidRDefault="0018070B" w:rsidP="0018070B">
      <w:pPr>
        <w:rPr>
          <w:rFonts w:cs="Arial"/>
          <w:sz w:val="18"/>
          <w:szCs w:val="18"/>
        </w:rPr>
      </w:pPr>
    </w:p>
    <w:p w14:paraId="483E8EF2" w14:textId="1E82C5AE" w:rsidR="00A15405" w:rsidRPr="009F5E32" w:rsidRDefault="00E83ED0" w:rsidP="0018070B">
      <w:pPr>
        <w:rPr>
          <w:rFonts w:cs="Arial"/>
          <w:szCs w:val="22"/>
        </w:rPr>
      </w:pPr>
      <w:r w:rsidRPr="009F5E32">
        <w:rPr>
          <w:rFonts w:cs="Arial"/>
          <w:szCs w:val="22"/>
        </w:rPr>
        <w:t>LFGTE OPERATION</w:t>
      </w:r>
    </w:p>
    <w:p w14:paraId="2E5B1AFA" w14:textId="5C40FB65" w:rsidR="0018070B" w:rsidRPr="009F5E32" w:rsidRDefault="0018070B" w:rsidP="0018070B">
      <w:pPr>
        <w:rPr>
          <w:rFonts w:cs="Arial"/>
          <w:bCs/>
          <w:szCs w:val="22"/>
        </w:rPr>
      </w:pPr>
      <w:r w:rsidRPr="009F5E32">
        <w:rPr>
          <w:rFonts w:cs="Arial"/>
          <w:szCs w:val="22"/>
        </w:rPr>
        <w:t>OWNER/OPERATOR:</w:t>
      </w:r>
      <w:r w:rsidRPr="009F5E32">
        <w:rPr>
          <w:rFonts w:cs="Arial"/>
          <w:szCs w:val="22"/>
        </w:rPr>
        <w:tab/>
      </w:r>
      <w:r w:rsidRPr="009F5E32">
        <w:rPr>
          <w:rFonts w:cs="Arial"/>
          <w:bCs/>
          <w:szCs w:val="22"/>
        </w:rPr>
        <w:t>Coventry Clean Energy Corporation</w:t>
      </w:r>
      <w:r w:rsidR="007A14EC" w:rsidRPr="009F5E32">
        <w:rPr>
          <w:rFonts w:cs="Arial"/>
          <w:bCs/>
          <w:szCs w:val="22"/>
        </w:rPr>
        <w:t xml:space="preserve"> (CCEC)</w:t>
      </w:r>
    </w:p>
    <w:p w14:paraId="7826A86E" w14:textId="77777777" w:rsidR="0018070B" w:rsidRPr="009F5E32" w:rsidRDefault="0018070B" w:rsidP="00E83ED0">
      <w:pPr>
        <w:ind w:left="3240"/>
        <w:rPr>
          <w:rFonts w:cs="Arial"/>
          <w:bCs/>
          <w:szCs w:val="22"/>
        </w:rPr>
      </w:pPr>
      <w:r w:rsidRPr="009F5E32">
        <w:rPr>
          <w:rFonts w:cs="Arial"/>
          <w:bCs/>
          <w:szCs w:val="22"/>
        </w:rPr>
        <w:t>40 Church Street</w:t>
      </w:r>
    </w:p>
    <w:p w14:paraId="7E188C54" w14:textId="77777777" w:rsidR="0018070B" w:rsidRPr="009F5E32" w:rsidRDefault="0018070B" w:rsidP="00E83ED0">
      <w:pPr>
        <w:ind w:left="3240"/>
        <w:rPr>
          <w:rFonts w:cs="Arial"/>
          <w:bCs/>
          <w:szCs w:val="22"/>
        </w:rPr>
      </w:pPr>
      <w:r w:rsidRPr="009F5E32">
        <w:rPr>
          <w:rFonts w:cs="Arial"/>
          <w:bCs/>
          <w:szCs w:val="22"/>
        </w:rPr>
        <w:t xml:space="preserve">East Montpelier, VT   05651 </w:t>
      </w:r>
    </w:p>
    <w:p w14:paraId="05A6C7D2" w14:textId="05306525" w:rsidR="008D24BA" w:rsidRPr="009F5E32" w:rsidRDefault="008D24BA" w:rsidP="00DE63A6">
      <w:pPr>
        <w:ind w:left="0" w:firstLine="0"/>
        <w:outlineLvl w:val="0"/>
        <w:rPr>
          <w:rFonts w:cs="Arial"/>
          <w:sz w:val="18"/>
          <w:szCs w:val="18"/>
        </w:rPr>
      </w:pPr>
    </w:p>
    <w:p w14:paraId="6A4C7869" w14:textId="43F93725" w:rsidR="008D24BA" w:rsidRPr="009F5E32" w:rsidRDefault="00125EF0" w:rsidP="00125EF0">
      <w:pPr>
        <w:ind w:left="0" w:firstLine="0"/>
        <w:outlineLvl w:val="0"/>
        <w:rPr>
          <w:rFonts w:cs="Arial"/>
          <w:szCs w:val="22"/>
        </w:rPr>
      </w:pPr>
      <w:r w:rsidRPr="009F5E32">
        <w:rPr>
          <w:rFonts w:cs="Arial"/>
          <w:szCs w:val="22"/>
        </w:rPr>
        <w:t>CONTACT:</w:t>
      </w:r>
      <w:r w:rsidRPr="009F5E32">
        <w:rPr>
          <w:rFonts w:cs="Arial"/>
          <w:szCs w:val="22"/>
        </w:rPr>
        <w:tab/>
      </w:r>
      <w:r w:rsidRPr="009F5E32">
        <w:rPr>
          <w:rFonts w:cs="Arial"/>
          <w:szCs w:val="22"/>
        </w:rPr>
        <w:tab/>
      </w:r>
      <w:r w:rsidRPr="009F5E32">
        <w:rPr>
          <w:rFonts w:cs="Arial"/>
          <w:szCs w:val="22"/>
        </w:rPr>
        <w:tab/>
      </w:r>
      <w:r w:rsidR="00251F55" w:rsidRPr="009F5E32">
        <w:rPr>
          <w:rFonts w:cs="Arial"/>
          <w:szCs w:val="22"/>
        </w:rPr>
        <w:t>Mr. Dan Weston</w:t>
      </w:r>
    </w:p>
    <w:p w14:paraId="6D2ADA37" w14:textId="77777777" w:rsidR="00251F55" w:rsidRPr="009F5E32" w:rsidRDefault="00251F55" w:rsidP="00E83ED0">
      <w:pPr>
        <w:ind w:left="2160" w:firstLine="720"/>
        <w:outlineLvl w:val="0"/>
        <w:rPr>
          <w:rFonts w:cs="Arial"/>
          <w:bCs/>
          <w:szCs w:val="22"/>
        </w:rPr>
      </w:pPr>
      <w:r w:rsidRPr="009F5E32">
        <w:rPr>
          <w:rFonts w:cs="Arial"/>
          <w:bCs/>
          <w:szCs w:val="22"/>
        </w:rPr>
        <w:t>Coventry Clean Energy Corporation</w:t>
      </w:r>
    </w:p>
    <w:p w14:paraId="20026BB1" w14:textId="77777777" w:rsidR="00251F55" w:rsidRPr="009F5E32" w:rsidRDefault="00251F55" w:rsidP="00E83ED0">
      <w:pPr>
        <w:ind w:left="2160" w:firstLine="720"/>
        <w:outlineLvl w:val="0"/>
        <w:rPr>
          <w:rFonts w:cs="Arial"/>
          <w:bCs/>
          <w:szCs w:val="22"/>
        </w:rPr>
      </w:pPr>
      <w:r w:rsidRPr="009F5E32">
        <w:rPr>
          <w:rFonts w:cs="Arial"/>
          <w:bCs/>
          <w:szCs w:val="22"/>
        </w:rPr>
        <w:t>40 Church Street</w:t>
      </w:r>
    </w:p>
    <w:p w14:paraId="17EA22F8" w14:textId="77777777" w:rsidR="00251F55" w:rsidRPr="009F5E32" w:rsidRDefault="00251F55" w:rsidP="00E83ED0">
      <w:pPr>
        <w:ind w:left="2160" w:firstLine="720"/>
        <w:outlineLvl w:val="0"/>
        <w:rPr>
          <w:rFonts w:cs="Arial"/>
          <w:bCs/>
          <w:szCs w:val="22"/>
        </w:rPr>
      </w:pPr>
      <w:r w:rsidRPr="009F5E32">
        <w:rPr>
          <w:rFonts w:cs="Arial"/>
          <w:bCs/>
          <w:szCs w:val="22"/>
        </w:rPr>
        <w:t xml:space="preserve">East Montpelier, VT   05651 </w:t>
      </w:r>
    </w:p>
    <w:p w14:paraId="58DCA2D5" w14:textId="61629408" w:rsidR="00D16CE6" w:rsidRPr="009F5E32" w:rsidRDefault="00D16CE6" w:rsidP="00E83ED0">
      <w:pPr>
        <w:ind w:left="3240"/>
        <w:outlineLvl w:val="0"/>
        <w:rPr>
          <w:rFonts w:cs="Arial"/>
          <w:szCs w:val="22"/>
        </w:rPr>
      </w:pPr>
      <w:r w:rsidRPr="009F5E32">
        <w:rPr>
          <w:rFonts w:cs="Arial"/>
          <w:szCs w:val="22"/>
        </w:rPr>
        <w:t xml:space="preserve">Tel: (802) - </w:t>
      </w:r>
      <w:r w:rsidR="00251F55" w:rsidRPr="009F5E32">
        <w:rPr>
          <w:rFonts w:cs="Arial"/>
          <w:szCs w:val="22"/>
        </w:rPr>
        <w:t>224</w:t>
      </w:r>
      <w:r w:rsidRPr="009F5E32">
        <w:rPr>
          <w:rFonts w:cs="Arial"/>
          <w:szCs w:val="22"/>
        </w:rPr>
        <w:t>-</w:t>
      </w:r>
      <w:r w:rsidR="00251F55" w:rsidRPr="009F5E32">
        <w:rPr>
          <w:rFonts w:cs="Arial"/>
          <w:szCs w:val="22"/>
        </w:rPr>
        <w:t>2334</w:t>
      </w:r>
    </w:p>
    <w:p w14:paraId="02D5E0CC" w14:textId="674539EA" w:rsidR="00E83ED0" w:rsidRDefault="00E83ED0" w:rsidP="00A15405">
      <w:pPr>
        <w:tabs>
          <w:tab w:val="left" w:pos="-1440"/>
        </w:tabs>
        <w:ind w:left="3600" w:hanging="3600"/>
        <w:rPr>
          <w:rFonts w:cs="Arial"/>
          <w:sz w:val="18"/>
          <w:szCs w:val="18"/>
        </w:rPr>
      </w:pPr>
    </w:p>
    <w:p w14:paraId="65CBB6C6" w14:textId="532FB1EE" w:rsidR="00976B82" w:rsidRDefault="00976B82" w:rsidP="00A15405">
      <w:pPr>
        <w:tabs>
          <w:tab w:val="left" w:pos="-1440"/>
        </w:tabs>
        <w:ind w:left="3600" w:hanging="3600"/>
        <w:rPr>
          <w:rFonts w:cs="Arial"/>
          <w:sz w:val="18"/>
          <w:szCs w:val="18"/>
        </w:rPr>
      </w:pPr>
    </w:p>
    <w:p w14:paraId="67C9D5CB" w14:textId="77777777" w:rsidR="00976B82" w:rsidRPr="009F5E32" w:rsidRDefault="00976B82" w:rsidP="00A15405">
      <w:pPr>
        <w:tabs>
          <w:tab w:val="left" w:pos="-1440"/>
        </w:tabs>
        <w:ind w:left="3600" w:hanging="3600"/>
        <w:rPr>
          <w:rFonts w:cs="Arial"/>
          <w:sz w:val="18"/>
          <w:szCs w:val="18"/>
        </w:rPr>
      </w:pPr>
    </w:p>
    <w:p w14:paraId="29321ED7" w14:textId="17F27D13" w:rsidR="005F1323" w:rsidRPr="009F5E32" w:rsidRDefault="005E20C5" w:rsidP="00E7560B">
      <w:pPr>
        <w:ind w:left="0" w:firstLine="0"/>
      </w:pPr>
      <w:r w:rsidRPr="009F5E32">
        <w:rPr>
          <w:i/>
          <w:sz w:val="18"/>
          <w:szCs w:val="18"/>
        </w:rPr>
        <w:t xml:space="preserve">This Technical Support Document by the Agency of Natural Resources, Department of Environmental Conservation, Air </w:t>
      </w:r>
      <w:r w:rsidR="00B2577F" w:rsidRPr="009F5E32">
        <w:rPr>
          <w:i/>
          <w:sz w:val="18"/>
          <w:szCs w:val="18"/>
        </w:rPr>
        <w:t>Quality &amp; Climate</w:t>
      </w:r>
      <w:r w:rsidRPr="009F5E32">
        <w:rPr>
          <w:i/>
          <w:sz w:val="18"/>
          <w:szCs w:val="18"/>
        </w:rPr>
        <w:t xml:space="preserve"> Division (hereinafter “Agency”) is intended to provide additional technical information, discussion and clarification in support of the Permit.  It is not intended to provide a comprehensive review of the Facility or the permit process or to duplicate the information contained in the Permit or elsewhere</w:t>
      </w:r>
      <w:r w:rsidRPr="009F5E32">
        <w:rPr>
          <w:i/>
        </w:rPr>
        <w:t xml:space="preserve">. </w:t>
      </w:r>
      <w:r w:rsidR="005F1323" w:rsidRPr="009F5E32">
        <w:br w:type="page"/>
      </w:r>
    </w:p>
    <w:p w14:paraId="7B153EFC" w14:textId="77777777" w:rsidR="00E83ED0" w:rsidRPr="009F5E32" w:rsidRDefault="00E83ED0" w:rsidP="00786015">
      <w:pPr>
        <w:ind w:left="0" w:firstLine="0"/>
      </w:pPr>
    </w:p>
    <w:p w14:paraId="468C6AD4" w14:textId="77777777" w:rsidR="005E20C5" w:rsidRPr="009F5E32" w:rsidRDefault="00334C14" w:rsidP="00786015">
      <w:pPr>
        <w:ind w:left="0" w:firstLine="0"/>
        <w:rPr>
          <w:b/>
        </w:rPr>
      </w:pPr>
      <w:r w:rsidRPr="009F5E32">
        <w:rPr>
          <w:b/>
        </w:rPr>
        <w:t>1.0</w:t>
      </w:r>
      <w:r w:rsidRPr="009F5E32">
        <w:rPr>
          <w:b/>
        </w:rPr>
        <w:tab/>
        <w:t>INTRODUCTION</w:t>
      </w:r>
    </w:p>
    <w:p w14:paraId="13EB1AA3" w14:textId="77777777" w:rsidR="005E20C5" w:rsidRPr="009F5E32" w:rsidRDefault="005E20C5" w:rsidP="009F5824"/>
    <w:p w14:paraId="4CC44F5C" w14:textId="26BAB51C" w:rsidR="00E52654" w:rsidRPr="009F5E32" w:rsidRDefault="005F1323" w:rsidP="00E52654">
      <w:pPr>
        <w:ind w:left="720" w:firstLine="0"/>
        <w:rPr>
          <w:bCs/>
        </w:rPr>
      </w:pPr>
      <w:r w:rsidRPr="009F5E32">
        <w:t xml:space="preserve">New England Waste Services of Vermont, Inc. (also referred to herein as "NEWSVT”) owns and operates a municipal solid waste (MSW) landfill (Landfill Operation) on Landfill Lane in the town of Coventry, Vermont.  </w:t>
      </w:r>
      <w:r w:rsidRPr="009F5E32">
        <w:rPr>
          <w:bCs/>
        </w:rPr>
        <w:t xml:space="preserve">Coventry Clean Energy Corporation </w:t>
      </w:r>
      <w:r w:rsidRPr="009F5E32">
        <w:t>(also referred to herein “CCEC”)</w:t>
      </w:r>
      <w:r w:rsidRPr="009F5E32">
        <w:rPr>
          <w:bCs/>
        </w:rPr>
        <w:t xml:space="preserve"> owns and operates a landfill gas to energy facility (LFGTE Operation) that is located on property leased from NEWSVT at the unlined area of the Landfill Operation.  The LFGTE Operation combusts landfill gas (LFG) from the Landfill Operation in internal combustion engines, and uses these LFG-fired engines to power electrical generators, generating electrical power for sale on the regional electric grid</w:t>
      </w:r>
      <w:r w:rsidR="00E52654" w:rsidRPr="009F5E32">
        <w:rPr>
          <w:bCs/>
        </w:rPr>
        <w:t xml:space="preserve">  </w:t>
      </w:r>
    </w:p>
    <w:p w14:paraId="22256D31" w14:textId="77777777" w:rsidR="00E52654" w:rsidRPr="009F5E32" w:rsidRDefault="00E52654" w:rsidP="00DC4946">
      <w:pPr>
        <w:ind w:left="0" w:firstLine="0"/>
      </w:pPr>
    </w:p>
    <w:p w14:paraId="10DAB271" w14:textId="1733B013" w:rsidR="00E52654" w:rsidRPr="009F5E32" w:rsidRDefault="0059581A" w:rsidP="00E52654">
      <w:pPr>
        <w:ind w:left="720" w:firstLine="0"/>
      </w:pPr>
      <w:r w:rsidRPr="009F5E32">
        <w:t xml:space="preserve">The Landfill Operation and the LFGTE Operation </w:t>
      </w:r>
      <w:proofErr w:type="gramStart"/>
      <w:r w:rsidRPr="009F5E32">
        <w:t>are considered to be</w:t>
      </w:r>
      <w:proofErr w:type="gramEnd"/>
      <w:r w:rsidRPr="009F5E32">
        <w:t xml:space="preserve"> a single source of air </w:t>
      </w:r>
      <w:r w:rsidR="00E7560B" w:rsidRPr="009F5E32">
        <w:t>emissions and</w:t>
      </w:r>
      <w:r w:rsidRPr="009F5E32">
        <w:t xml:space="preserve"> are collectively referred to herein as "Facility".</w:t>
      </w:r>
      <w:r w:rsidR="00E52654" w:rsidRPr="009F5E32">
        <w:t xml:space="preserve">  The Landfill Operation is comprised of the original unlined landfill, also referred to as Areas A &amp; B, that operated from approximately 1970 until 1992 when it was closed and capped.  In 1993 a new, lined landfill began operations near the original landfill and consists of Phases I, II, III and IV.  Phase III reached its capacity and Phase IV began acceptance of waste in 2006.  A Phase V expansion and its associated gas volumes are accounted for in this permit </w:t>
      </w:r>
      <w:r w:rsidR="00B748EC" w:rsidRPr="009F5E32">
        <w:t>herein,</w:t>
      </w:r>
      <w:r w:rsidR="00E52654" w:rsidRPr="009F5E32">
        <w:t xml:space="preserve"> but the expansion has not yet been approved by the Waste Management Division.  The </w:t>
      </w:r>
      <w:r w:rsidR="00E52654" w:rsidRPr="009F5E32">
        <w:rPr>
          <w:bCs/>
        </w:rPr>
        <w:t>LFGTE</w:t>
      </w:r>
      <w:r w:rsidR="00E52654" w:rsidRPr="009F5E32" w:rsidDel="00603CC9">
        <w:t xml:space="preserve"> </w:t>
      </w:r>
      <w:r w:rsidR="00E52654" w:rsidRPr="009F5E32">
        <w:t>Operation was constructed in 2005, with the installation of three (3) CAT G3520C LE LFG fired internal combustion engines (CAT G3520C engine</w:t>
      </w:r>
      <w:r w:rsidR="002D0237" w:rsidRPr="009F5E32">
        <w:t>s</w:t>
      </w:r>
      <w:r w:rsidR="00E52654" w:rsidRPr="009F5E32">
        <w:t xml:space="preserve">) that begin operating on July 12, 2005.  A fourth CAT G3520C engine was installed and began operating of January 12, 2007, and a fifth CAT G3520C engine was installed and begin operating on June 22, 2009.  </w:t>
      </w:r>
    </w:p>
    <w:p w14:paraId="30FC5106" w14:textId="77777777" w:rsidR="00E52654" w:rsidRPr="009F5E32" w:rsidRDefault="00E52654" w:rsidP="00DC4946">
      <w:pPr>
        <w:ind w:left="0" w:firstLine="0"/>
      </w:pPr>
    </w:p>
    <w:p w14:paraId="69FD6CF0" w14:textId="77777777" w:rsidR="008A0431" w:rsidRPr="009F5E32" w:rsidRDefault="00E52654" w:rsidP="008A0431">
      <w:pPr>
        <w:ind w:left="720" w:firstLine="0"/>
      </w:pPr>
      <w:r w:rsidRPr="009F5E32">
        <w:t xml:space="preserve">NEWSVT </w:t>
      </w:r>
      <w:r w:rsidR="008A0431" w:rsidRPr="009F5E32">
        <w:t xml:space="preserve">is required to actively collect LFG generated by waste decomposition at the Landfill Operation and route the LFG to a combustion device to thoroughly destroy the non-methane organic compounds (NMOCs) contained in the LFG.  The LFG collection system consists of a series of LFG collection points including vertical wells drilled into refuse-containing areas of the Landfill Operation as well as horizontal collection trenches and leachate cleanout piping, all connected by piping to a vacuum blower that maintains a negative pressure in the lines to extract LFG from the Landfill Operation.  </w:t>
      </w:r>
    </w:p>
    <w:p w14:paraId="68856F61" w14:textId="1AC3F0E6" w:rsidR="00DC4946" w:rsidRPr="009F5E32" w:rsidRDefault="00DC4946" w:rsidP="008A0431">
      <w:pPr>
        <w:ind w:left="0" w:firstLine="0"/>
      </w:pPr>
    </w:p>
    <w:p w14:paraId="638DF95E" w14:textId="5D498F3E" w:rsidR="00DC4946" w:rsidRPr="009F5E32" w:rsidRDefault="00DC4946" w:rsidP="00DC4946">
      <w:pPr>
        <w:ind w:left="720" w:firstLine="0"/>
      </w:pPr>
      <w:r w:rsidRPr="009F5E32">
        <w:t xml:space="preserve">Collected LFG is either combusted in a flare or flares owned and operated by </w:t>
      </w:r>
      <w:r w:rsidR="00BE601E" w:rsidRPr="009F5E32">
        <w:t>NEWSVT or</w:t>
      </w:r>
      <w:r w:rsidRPr="009F5E32">
        <w:t xml:space="preserve"> sold to CCEC.  CCEC treats the LFG with a dewatering, chilling, and filtration treatment system to remove impurities in the LFG before using the treated LFG as gaseous fuel in the five (5) CAT G3520C engines at the </w:t>
      </w:r>
      <w:r w:rsidRPr="009F5E32">
        <w:rPr>
          <w:bCs/>
        </w:rPr>
        <w:t>LFGTE</w:t>
      </w:r>
      <w:r w:rsidRPr="009F5E32">
        <w:t xml:space="preserve"> Operation.  The five (5) CAT G3520C engines at the </w:t>
      </w:r>
      <w:r w:rsidRPr="009F5E32">
        <w:rPr>
          <w:bCs/>
        </w:rPr>
        <w:t>LFGTE</w:t>
      </w:r>
      <w:r w:rsidRPr="009F5E32">
        <w:t xml:space="preserve"> Operation are rated to generate a maximum of 8.0 megawatts (MW) of electrical power.  </w:t>
      </w:r>
    </w:p>
    <w:p w14:paraId="5687E0D0" w14:textId="77777777" w:rsidR="00334C14" w:rsidRPr="009F5E32" w:rsidRDefault="00334C14" w:rsidP="00334C14">
      <w:pPr>
        <w:ind w:left="0" w:firstLine="0"/>
      </w:pPr>
    </w:p>
    <w:p w14:paraId="11339422" w14:textId="08949E42" w:rsidR="00653E5E" w:rsidRPr="009F5E32" w:rsidRDefault="008A0431" w:rsidP="008A0431">
      <w:pPr>
        <w:ind w:left="720" w:firstLine="0"/>
      </w:pPr>
      <w:r w:rsidRPr="009F5E32">
        <w:t xml:space="preserve">NEWSVT has proposed to the Solid Waste division </w:t>
      </w:r>
      <w:r w:rsidR="00F34296" w:rsidRPr="009F5E32">
        <w:t xml:space="preserve">to construct a Phase VI expansion to the Landfill Operation, which will increase landfill capacity by approximately 13,068,000 cubic </w:t>
      </w:r>
      <w:r w:rsidR="00BE601E" w:rsidRPr="009F5E32">
        <w:t>yards and</w:t>
      </w:r>
      <w:r w:rsidR="00F34296" w:rsidRPr="009F5E32">
        <w:t xml:space="preserve"> increase the surface area of the Landfill Operation by 51.2 acres.  NEWSVT has also submitted an</w:t>
      </w:r>
      <w:r w:rsidRPr="009F5E32">
        <w:t xml:space="preserve"> Air Permit application</w:t>
      </w:r>
      <w:r w:rsidR="00F34296" w:rsidRPr="009F5E32">
        <w:t xml:space="preserve"> to address this expansion of the Landfill Operation.  </w:t>
      </w:r>
      <w:bookmarkStart w:id="0" w:name="_Hlk492890901"/>
      <w:r w:rsidR="00F34296" w:rsidRPr="009F5E32">
        <w:t xml:space="preserve">NEWSVT does not anticipate that there will </w:t>
      </w:r>
      <w:r w:rsidR="004B56A4">
        <w:t xml:space="preserve">be </w:t>
      </w:r>
      <w:r w:rsidR="00F34296" w:rsidRPr="009F5E32">
        <w:t>an</w:t>
      </w:r>
      <w:r w:rsidRPr="009F5E32">
        <w:t xml:space="preserve"> increase in LFG generation associated with the proposed </w:t>
      </w:r>
      <w:r w:rsidR="00F34296" w:rsidRPr="009F5E32">
        <w:t>Phase VI</w:t>
      </w:r>
      <w:r w:rsidRPr="009F5E32">
        <w:t xml:space="preserve"> expansion at the Landfill Operation.  </w:t>
      </w:r>
      <w:r w:rsidR="00305ECE" w:rsidRPr="009F5E32">
        <w:t xml:space="preserve">The composition of the waste received by the Landfill Operation likely will change in the immediate future, as Act 148 is phased in.  Act 148 bans disposal of recyclables (metal, </w:t>
      </w:r>
      <w:r w:rsidR="00305ECE" w:rsidRPr="009F5E32">
        <w:lastRenderedPageBreak/>
        <w:t xml:space="preserve">glass, plastics #1 &amp; #2, and paper/cardboard) by </w:t>
      </w:r>
      <w:r w:rsidR="00305ECE" w:rsidRPr="009F5E32">
        <w:rPr>
          <w:bCs/>
        </w:rPr>
        <w:t>July 1, 2015</w:t>
      </w:r>
      <w:r w:rsidR="00305ECE" w:rsidRPr="009F5E32">
        <w:t xml:space="preserve">; leaf and yard debris and clean wood by </w:t>
      </w:r>
      <w:r w:rsidR="00305ECE" w:rsidRPr="009F5E32">
        <w:rPr>
          <w:bCs/>
        </w:rPr>
        <w:t>July 1, 2016</w:t>
      </w:r>
      <w:r w:rsidR="00305ECE" w:rsidRPr="009F5E32">
        <w:t xml:space="preserve">; and food scraps by </w:t>
      </w:r>
      <w:r w:rsidR="00305ECE" w:rsidRPr="009F5E32">
        <w:rPr>
          <w:bCs/>
        </w:rPr>
        <w:t>July 1, 2020</w:t>
      </w:r>
      <w:r w:rsidR="00305ECE" w:rsidRPr="009F5E32">
        <w:t xml:space="preserve">.  The decreasing amounts of decomposable material in the waste </w:t>
      </w:r>
      <w:r w:rsidR="00F34296" w:rsidRPr="009F5E32">
        <w:t>are anticipated to result</w:t>
      </w:r>
      <w:r w:rsidR="00305ECE" w:rsidRPr="009F5E32">
        <w:t xml:space="preserve"> in lower rates of LFG generation. </w:t>
      </w:r>
      <w:bookmarkEnd w:id="0"/>
      <w:r w:rsidR="00305ECE" w:rsidRPr="009F5E32">
        <w:t xml:space="preserve"> </w:t>
      </w:r>
    </w:p>
    <w:p w14:paraId="52C03A8F" w14:textId="77777777" w:rsidR="00653E5E" w:rsidRPr="009F5E32" w:rsidRDefault="00653E5E" w:rsidP="00653E5E">
      <w:pPr>
        <w:ind w:left="0" w:firstLine="0"/>
      </w:pPr>
    </w:p>
    <w:p w14:paraId="4A7AC886" w14:textId="77777777" w:rsidR="00C077C3" w:rsidRPr="009F5E32" w:rsidRDefault="008A0431" w:rsidP="008A0431">
      <w:pPr>
        <w:ind w:left="720" w:firstLine="0"/>
      </w:pPr>
      <w:r w:rsidRPr="009F5E32">
        <w:t xml:space="preserve">NEWSVT has </w:t>
      </w:r>
      <w:r w:rsidR="00653E5E" w:rsidRPr="009F5E32">
        <w:t xml:space="preserve">estimated </w:t>
      </w:r>
      <w:r w:rsidR="00543B29" w:rsidRPr="009F5E32">
        <w:t xml:space="preserve">LFG generation and associated air </w:t>
      </w:r>
      <w:r w:rsidRPr="009F5E32">
        <w:t xml:space="preserve">emissions </w:t>
      </w:r>
      <w:r w:rsidR="008B5D42" w:rsidRPr="009F5E32">
        <w:t>from the Landfill Operation</w:t>
      </w:r>
      <w:r w:rsidR="00E15607" w:rsidRPr="009F5E32">
        <w:t xml:space="preserve"> with the inclusion of </w:t>
      </w:r>
      <w:r w:rsidR="00653E5E" w:rsidRPr="009F5E32">
        <w:t xml:space="preserve">the </w:t>
      </w:r>
      <w:r w:rsidR="00E15607" w:rsidRPr="009F5E32">
        <w:t xml:space="preserve">anticipated changes in LFG generation </w:t>
      </w:r>
      <w:r w:rsidR="00543B29" w:rsidRPr="009F5E32">
        <w:t>from</w:t>
      </w:r>
      <w:r w:rsidR="00E15607" w:rsidRPr="009F5E32">
        <w:t xml:space="preserve"> the Phase VI expansion</w:t>
      </w:r>
      <w:r w:rsidR="00543B29" w:rsidRPr="009F5E32">
        <w:t xml:space="preserve"> and changes in the composition of the refuse in the landfill</w:t>
      </w:r>
      <w:r w:rsidR="00E15607" w:rsidRPr="009F5E32">
        <w:t>,</w:t>
      </w:r>
      <w:r w:rsidR="008B5D42" w:rsidRPr="009F5E32">
        <w:t xml:space="preserve"> </w:t>
      </w:r>
      <w:r w:rsidR="00653E5E" w:rsidRPr="009F5E32">
        <w:t>to be</w:t>
      </w:r>
      <w:r w:rsidRPr="009F5E32">
        <w:t xml:space="preserve"> the generation of </w:t>
      </w:r>
      <w:r w:rsidR="00E15607" w:rsidRPr="009F5E32">
        <w:t>5,436 standard cubic feet per minute (scfm) of LFG, and the capture of 5,000 scfm of LFG.   Emissions estimates for the previous permits for the Facility (</w:t>
      </w:r>
      <w:r w:rsidR="00E15607" w:rsidRPr="009F5E32">
        <w:rPr>
          <w:vertAlign w:val="superscript"/>
        </w:rPr>
        <w:t>#</w:t>
      </w:r>
      <w:r w:rsidR="00E15607" w:rsidRPr="009F5E32">
        <w:t xml:space="preserve">AOP-14-034 and </w:t>
      </w:r>
      <w:r w:rsidR="00E15607" w:rsidRPr="009F5E32">
        <w:rPr>
          <w:vertAlign w:val="superscript"/>
        </w:rPr>
        <w:t>#</w:t>
      </w:r>
      <w:r w:rsidR="00E15607" w:rsidRPr="009F5E32">
        <w:t>AOP-15-032)</w:t>
      </w:r>
      <w:r w:rsidR="00653E5E" w:rsidRPr="009F5E32">
        <w:t xml:space="preserve"> were based on the generation of </w:t>
      </w:r>
      <w:r w:rsidRPr="009F5E32">
        <w:t>5,545 standard cubic feet per minute (scfm) of LFG</w:t>
      </w:r>
      <w:r w:rsidR="00305ECE" w:rsidRPr="009F5E32">
        <w:t xml:space="preserve">, and the capture of 5,000 scfm of LFG.  </w:t>
      </w:r>
    </w:p>
    <w:p w14:paraId="72CE570C" w14:textId="77777777" w:rsidR="00C077C3" w:rsidRPr="009F5E32" w:rsidRDefault="00C077C3" w:rsidP="00C077C3">
      <w:pPr>
        <w:ind w:left="0" w:firstLine="0"/>
      </w:pPr>
    </w:p>
    <w:p w14:paraId="4C9EC7F2" w14:textId="595BA918" w:rsidR="008A0431" w:rsidRPr="009F5E32" w:rsidRDefault="00653E5E" w:rsidP="008A0431">
      <w:pPr>
        <w:ind w:left="720" w:firstLine="0"/>
      </w:pPr>
      <w:r w:rsidRPr="009F5E32">
        <w:t xml:space="preserve">The Agency has determined, at this time, that the use of the emissions estimates and allowable emissions contained in </w:t>
      </w:r>
      <w:r w:rsidRPr="009F5E32">
        <w:rPr>
          <w:vertAlign w:val="superscript"/>
        </w:rPr>
        <w:t>#</w:t>
      </w:r>
      <w:r w:rsidRPr="009F5E32">
        <w:t xml:space="preserve">AOP-14-034 and </w:t>
      </w:r>
      <w:r w:rsidRPr="009F5E32">
        <w:rPr>
          <w:vertAlign w:val="superscript"/>
        </w:rPr>
        <w:t>#</w:t>
      </w:r>
      <w:r w:rsidRPr="009F5E32">
        <w:t xml:space="preserve">AOP-15-032 will appropriately represent the emissions from the Facility after the construction of the Phase VI expansion.  The Agency will review these emission estimates in subsequent permit </w:t>
      </w:r>
      <w:r w:rsidR="008C43EB" w:rsidRPr="009F5E32">
        <w:t>renewals and</w:t>
      </w:r>
      <w:r w:rsidRPr="009F5E32">
        <w:t xml:space="preserve"> compare these estimates to reported Facility emissions to evaluate if revisions to the emissions estimates are appropriate.  </w:t>
      </w:r>
    </w:p>
    <w:p w14:paraId="02697DD0" w14:textId="354378BA" w:rsidR="008A0431" w:rsidRPr="009F5E32" w:rsidRDefault="008A0431" w:rsidP="008A0431">
      <w:pPr>
        <w:ind w:left="0" w:firstLine="0"/>
      </w:pPr>
    </w:p>
    <w:p w14:paraId="374728F5" w14:textId="540BAA96" w:rsidR="008A0431" w:rsidRPr="009F5E32" w:rsidRDefault="008A0431" w:rsidP="008A0431">
      <w:pPr>
        <w:ind w:left="720" w:firstLine="0"/>
      </w:pPr>
      <w:r w:rsidRPr="009F5E32">
        <w:t xml:space="preserve">CCEC has </w:t>
      </w:r>
      <w:r w:rsidR="00056CAD" w:rsidRPr="009F5E32">
        <w:t xml:space="preserve">not </w:t>
      </w:r>
      <w:r w:rsidRPr="009F5E32">
        <w:t xml:space="preserve">proposed </w:t>
      </w:r>
      <w:r w:rsidR="00056CAD" w:rsidRPr="009F5E32">
        <w:t>any changes to the operation of</w:t>
      </w:r>
      <w:r w:rsidRPr="009F5E32">
        <w:t xml:space="preserve"> the CAT 3520C engines</w:t>
      </w:r>
      <w:r w:rsidR="00056CAD" w:rsidRPr="009F5E32">
        <w:t xml:space="preserve">.  </w:t>
      </w:r>
      <w:r w:rsidR="008B222C" w:rsidRPr="009F5E32">
        <w:t>A siloxane removal system (SRS) was installed by CCEC in late 2016 a</w:t>
      </w:r>
      <w:r w:rsidR="00056CAD" w:rsidRPr="009F5E32">
        <w:t>s part of the LFGTE Operation</w:t>
      </w:r>
      <w:r w:rsidR="008B222C" w:rsidRPr="009F5E32">
        <w:t xml:space="preserve">.  </w:t>
      </w:r>
      <w:r w:rsidR="00BE601E" w:rsidRPr="00BE601E">
        <w:t>The SRS commenced operation in 2017</w:t>
      </w:r>
      <w:r w:rsidR="00BE601E">
        <w:t xml:space="preserve"> and is</w:t>
      </w:r>
      <w:r w:rsidR="008B222C" w:rsidRPr="009F5E32">
        <w:t xml:space="preserve"> intended </w:t>
      </w:r>
      <w:r w:rsidRPr="009F5E32">
        <w:t>to remove siloxanes</w:t>
      </w:r>
      <w:r w:rsidR="00056CAD" w:rsidRPr="009F5E32">
        <w:t xml:space="preserve"> contained in </w:t>
      </w:r>
      <w:r w:rsidRPr="009F5E32">
        <w:t>LFG</w:t>
      </w:r>
      <w:r w:rsidR="008B222C" w:rsidRPr="009F5E32">
        <w:t xml:space="preserve"> that has </w:t>
      </w:r>
      <w:r w:rsidR="00A52796" w:rsidRPr="009F5E32">
        <w:t xml:space="preserve">already </w:t>
      </w:r>
      <w:r w:rsidR="008B222C" w:rsidRPr="009F5E32">
        <w:t xml:space="preserve">been treated by dewatering, filtration and compression.  Removal of siloxanes in LFG </w:t>
      </w:r>
      <w:r w:rsidR="00BE601E">
        <w:t>combusted as</w:t>
      </w:r>
      <w:r w:rsidR="008B222C" w:rsidRPr="009F5E32">
        <w:t xml:space="preserve"> fuel</w:t>
      </w:r>
      <w:r w:rsidR="00BE601E">
        <w:t xml:space="preserve"> in</w:t>
      </w:r>
      <w:r w:rsidR="008B222C" w:rsidRPr="009F5E32">
        <w:t xml:space="preserve"> the CAT 3520C engines will minimize</w:t>
      </w:r>
      <w:r w:rsidRPr="009F5E32">
        <w:t xml:space="preserve"> the formation of siliceous deposits in the CAT G3520C engines.  Reducing combustion chamber deposits and</w:t>
      </w:r>
      <w:r w:rsidR="00056CAD" w:rsidRPr="009F5E32">
        <w:t xml:space="preserve"> accelerated</w:t>
      </w:r>
      <w:r w:rsidRPr="009F5E32">
        <w:t xml:space="preserve"> wear in the engines</w:t>
      </w:r>
      <w:r w:rsidR="00BE601E">
        <w:t xml:space="preserve"> from these deposits</w:t>
      </w:r>
      <w:r w:rsidRPr="009F5E32">
        <w:t xml:space="preserve"> is anticipated to reduce engine maintenance costs.  </w:t>
      </w:r>
    </w:p>
    <w:p w14:paraId="1A756D8F" w14:textId="77777777" w:rsidR="008A0431" w:rsidRPr="009F5E32" w:rsidRDefault="008A0431" w:rsidP="00334C14">
      <w:pPr>
        <w:ind w:left="0" w:firstLine="0"/>
      </w:pPr>
    </w:p>
    <w:p w14:paraId="2E768991" w14:textId="6ADB2925" w:rsidR="00A73A43" w:rsidRPr="009F5E32" w:rsidRDefault="005E20C5" w:rsidP="00BD144F">
      <w:pPr>
        <w:ind w:left="720" w:firstLine="0"/>
      </w:pPr>
      <w:r w:rsidRPr="009F5E32">
        <w:t>This review</w:t>
      </w:r>
      <w:r w:rsidR="00A73A43" w:rsidRPr="009F5E32">
        <w:t xml:space="preserve"> of </w:t>
      </w:r>
      <w:r w:rsidR="002D0237" w:rsidRPr="009F5E32">
        <w:t xml:space="preserve">the </w:t>
      </w:r>
      <w:r w:rsidR="00A73A43" w:rsidRPr="009F5E32">
        <w:t xml:space="preserve">Facility </w:t>
      </w:r>
      <w:r w:rsidR="002D0237" w:rsidRPr="009F5E32">
        <w:t xml:space="preserve">and its associated air </w:t>
      </w:r>
      <w:r w:rsidR="00A73A43" w:rsidRPr="009F5E32">
        <w:t>emissions</w:t>
      </w:r>
      <w:r w:rsidRPr="009F5E32">
        <w:t xml:space="preserve"> includes the </w:t>
      </w:r>
      <w:r w:rsidR="00A73A43" w:rsidRPr="009F5E32">
        <w:t xml:space="preserve">following:  </w:t>
      </w:r>
    </w:p>
    <w:p w14:paraId="4BCE066C" w14:textId="77777777" w:rsidR="00A73A43" w:rsidRPr="009F5E32" w:rsidRDefault="00A73A43" w:rsidP="00A73A43">
      <w:pPr>
        <w:ind w:left="0" w:firstLine="0"/>
      </w:pPr>
    </w:p>
    <w:p w14:paraId="39D92DA2" w14:textId="4DFA0F77" w:rsidR="00A73A43" w:rsidRPr="009F5E32" w:rsidRDefault="00A73A43" w:rsidP="00BD144F">
      <w:pPr>
        <w:ind w:left="720" w:firstLine="0"/>
      </w:pPr>
      <w:r w:rsidRPr="009F5E32">
        <w:rPr>
          <w:u w:val="single"/>
          <w:vertAlign w:val="superscript"/>
        </w:rPr>
        <w:t>#</w:t>
      </w:r>
      <w:r w:rsidRPr="009F5E32">
        <w:rPr>
          <w:u w:val="single"/>
        </w:rPr>
        <w:t>AOP-</w:t>
      </w:r>
      <w:r w:rsidR="00056CAD" w:rsidRPr="009F5E32">
        <w:rPr>
          <w:u w:val="single"/>
        </w:rPr>
        <w:t>17</w:t>
      </w:r>
      <w:r w:rsidRPr="009F5E32">
        <w:rPr>
          <w:u w:val="single"/>
        </w:rPr>
        <w:t>-</w:t>
      </w:r>
      <w:r w:rsidR="00056CAD" w:rsidRPr="009F5E32">
        <w:rPr>
          <w:u w:val="single"/>
        </w:rPr>
        <w:t>018</w:t>
      </w:r>
      <w:r w:rsidRPr="009F5E32">
        <w:rPr>
          <w:u w:val="single"/>
        </w:rPr>
        <w:t>:</w:t>
      </w:r>
      <w:r w:rsidRPr="009F5E32">
        <w:t xml:space="preserve">  Permit to Operate renewal and the Permit to Construct for modification of the </w:t>
      </w:r>
      <w:r w:rsidR="00C077C3" w:rsidRPr="009F5E32">
        <w:t>Phase VI</w:t>
      </w:r>
      <w:r w:rsidRPr="009F5E32">
        <w:t xml:space="preserve"> Landfill Operation to </w:t>
      </w:r>
      <w:r w:rsidR="002D0237" w:rsidRPr="009F5E32">
        <w:t xml:space="preserve">include </w:t>
      </w:r>
      <w:r w:rsidRPr="009F5E32">
        <w:t xml:space="preserve">the </w:t>
      </w:r>
      <w:r w:rsidR="00A52796" w:rsidRPr="009F5E32">
        <w:t xml:space="preserve">Phase VI construction, creating approximately </w:t>
      </w:r>
      <w:r w:rsidR="00C9551D">
        <w:t>7,348,659</w:t>
      </w:r>
      <w:r w:rsidR="00A52796" w:rsidRPr="009F5E32">
        <w:t xml:space="preserve"> Megagrams (Mg) of additional capacity and increasing the surface area of the landfill by approximately 51.2 acres.  This increase in the size of the Landfill operation is not anticipated to </w:t>
      </w:r>
      <w:r w:rsidR="00214B79" w:rsidRPr="009F5E32">
        <w:t>result in any change to</w:t>
      </w:r>
      <w:r w:rsidR="00A52796" w:rsidRPr="009F5E32">
        <w:t xml:space="preserve"> the previous </w:t>
      </w:r>
      <w:r w:rsidR="00214B79" w:rsidRPr="009F5E32">
        <w:t xml:space="preserve">permitted </w:t>
      </w:r>
      <w:r w:rsidR="003F4868">
        <w:t>rate</w:t>
      </w:r>
      <w:r w:rsidR="000017D4">
        <w:t xml:space="preserve"> </w:t>
      </w:r>
      <w:r w:rsidR="00214B79" w:rsidRPr="009F5E32">
        <w:t>of LFG emissions, which are</w:t>
      </w:r>
      <w:r w:rsidR="00E46D62" w:rsidRPr="009F5E32">
        <w:t xml:space="preserve"> estimated to be</w:t>
      </w:r>
      <w:r w:rsidR="00214B79" w:rsidRPr="009F5E32">
        <w:t xml:space="preserve"> the</w:t>
      </w:r>
      <w:r w:rsidR="00A52796" w:rsidRPr="009F5E32">
        <w:t xml:space="preserve"> </w:t>
      </w:r>
      <w:r w:rsidRPr="009F5E32">
        <w:t xml:space="preserve">generation of 5,545 standard cubic feet per minute (scfm) of LFG, and the capture of 5,000 scfm of LFG.  </w:t>
      </w:r>
    </w:p>
    <w:p w14:paraId="538BAD6C" w14:textId="77777777" w:rsidR="00A73A43" w:rsidRPr="009F5E32" w:rsidRDefault="00A73A43" w:rsidP="00A73A43">
      <w:pPr>
        <w:ind w:left="0" w:firstLine="0"/>
      </w:pPr>
    </w:p>
    <w:p w14:paraId="35C863E7" w14:textId="4FC9AAEB" w:rsidR="003047BB" w:rsidRPr="009F5E32" w:rsidRDefault="00A73A43" w:rsidP="00BD144F">
      <w:pPr>
        <w:ind w:left="720" w:firstLine="0"/>
      </w:pPr>
      <w:r w:rsidRPr="009F5E32">
        <w:rPr>
          <w:u w:val="single"/>
          <w:vertAlign w:val="superscript"/>
        </w:rPr>
        <w:t>#</w:t>
      </w:r>
      <w:r w:rsidRPr="009F5E32">
        <w:rPr>
          <w:u w:val="single"/>
        </w:rPr>
        <w:t>AOP-</w:t>
      </w:r>
      <w:r w:rsidR="00056CAD" w:rsidRPr="009F5E32">
        <w:rPr>
          <w:u w:val="single"/>
        </w:rPr>
        <w:t>1</w:t>
      </w:r>
      <w:r w:rsidR="00497FB5" w:rsidRPr="009F5E32">
        <w:rPr>
          <w:u w:val="single"/>
        </w:rPr>
        <w:t>8</w:t>
      </w:r>
      <w:r w:rsidRPr="009F5E32">
        <w:rPr>
          <w:u w:val="single"/>
        </w:rPr>
        <w:t>-</w:t>
      </w:r>
      <w:r w:rsidR="00B06A19">
        <w:rPr>
          <w:u w:val="single"/>
        </w:rPr>
        <w:t>019</w:t>
      </w:r>
      <w:r w:rsidRPr="009F5E32">
        <w:rPr>
          <w:u w:val="single"/>
        </w:rPr>
        <w:t>:</w:t>
      </w:r>
      <w:r w:rsidRPr="009F5E32">
        <w:t xml:space="preserve">  </w:t>
      </w:r>
      <w:r w:rsidR="005E20C5" w:rsidRPr="009F5E32">
        <w:t>Permit to Operate</w:t>
      </w:r>
      <w:r w:rsidR="00C077C3" w:rsidRPr="009F5E32">
        <w:t xml:space="preserve"> renewal for the continued operation</w:t>
      </w:r>
      <w:r w:rsidR="005E20C5" w:rsidRPr="009F5E32">
        <w:t xml:space="preserve"> </w:t>
      </w:r>
      <w:r w:rsidR="00C077C3" w:rsidRPr="009F5E32">
        <w:t>of</w:t>
      </w:r>
      <w:r w:rsidR="000261F5" w:rsidRPr="009F5E32">
        <w:rPr>
          <w:rFonts w:cs="Arial"/>
          <w:szCs w:val="22"/>
        </w:rPr>
        <w:t xml:space="preserve"> the five </w:t>
      </w:r>
      <w:r w:rsidR="000261F5" w:rsidRPr="009F5E32">
        <w:t xml:space="preserve">(5) </w:t>
      </w:r>
      <w:r w:rsidR="00D16D3C" w:rsidRPr="009F5E32">
        <w:t xml:space="preserve">CAT </w:t>
      </w:r>
      <w:r w:rsidR="000261F5" w:rsidRPr="009F5E32">
        <w:t xml:space="preserve">G3520C </w:t>
      </w:r>
      <w:r w:rsidR="00DA4953" w:rsidRPr="009F5E32">
        <w:t>LFG-</w:t>
      </w:r>
      <w:r w:rsidR="000261F5" w:rsidRPr="009F5E32">
        <w:t>fired internal combustion engine generators at the</w:t>
      </w:r>
      <w:r w:rsidR="000261F5" w:rsidRPr="009F5E32">
        <w:rPr>
          <w:rFonts w:cs="Arial"/>
          <w:szCs w:val="22"/>
        </w:rPr>
        <w:t xml:space="preserve"> </w:t>
      </w:r>
      <w:r w:rsidR="008B5D42" w:rsidRPr="009F5E32">
        <w:t>LFGTE Operation</w:t>
      </w:r>
      <w:r w:rsidRPr="009F5E32">
        <w:t xml:space="preserve">, and for the </w:t>
      </w:r>
      <w:r w:rsidR="00C077C3" w:rsidRPr="009F5E32">
        <w:t>continued operation o</w:t>
      </w:r>
      <w:r w:rsidRPr="009F5E32">
        <w:t>f an enclosed ground flare associated with the SRS</w:t>
      </w:r>
      <w:r w:rsidR="000261F5" w:rsidRPr="009F5E32">
        <w:t xml:space="preserve">.  </w:t>
      </w:r>
    </w:p>
    <w:p w14:paraId="63AD74AD" w14:textId="34F69914" w:rsidR="003047BB" w:rsidRDefault="003047BB" w:rsidP="003047BB">
      <w:pPr>
        <w:ind w:left="0" w:firstLine="0"/>
      </w:pPr>
    </w:p>
    <w:p w14:paraId="735B5560" w14:textId="11E73E29" w:rsidR="00E7560B" w:rsidRDefault="00E7560B">
      <w:pPr>
        <w:widowControl/>
        <w:autoSpaceDE/>
        <w:autoSpaceDN/>
        <w:adjustRightInd/>
        <w:ind w:left="0" w:firstLine="0"/>
        <w:jc w:val="left"/>
      </w:pPr>
      <w:r>
        <w:br w:type="page"/>
      </w:r>
    </w:p>
    <w:p w14:paraId="36F5E39F" w14:textId="77777777" w:rsidR="00923712" w:rsidRPr="009F5E32" w:rsidRDefault="00923712" w:rsidP="000D1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 w:val="20"/>
        </w:rPr>
      </w:pPr>
    </w:p>
    <w:tbl>
      <w:tblPr>
        <w:tblW w:w="8640" w:type="dxa"/>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15"/>
        <w:gridCol w:w="3525"/>
      </w:tblGrid>
      <w:tr w:rsidR="005E20C5" w:rsidRPr="009F5E32" w14:paraId="3D5E3F3B" w14:textId="77777777" w:rsidTr="00A80199">
        <w:trPr>
          <w:cantSplit/>
          <w:tblHeader/>
        </w:trPr>
        <w:tc>
          <w:tcPr>
            <w:tcW w:w="8640" w:type="dxa"/>
            <w:gridSpan w:val="2"/>
            <w:tcBorders>
              <w:top w:val="double" w:sz="4" w:space="0" w:color="000000"/>
              <w:left w:val="double" w:sz="4" w:space="0" w:color="000000"/>
              <w:bottom w:val="single" w:sz="8" w:space="0" w:color="000000"/>
              <w:right w:val="double" w:sz="4" w:space="0" w:color="000000"/>
            </w:tcBorders>
            <w:shd w:val="clear" w:color="auto" w:fill="F2F2F2" w:themeFill="background1" w:themeFillShade="F2"/>
            <w:tcMar>
              <w:top w:w="29" w:type="dxa"/>
              <w:left w:w="29" w:type="dxa"/>
              <w:bottom w:w="29" w:type="dxa"/>
              <w:right w:w="29" w:type="dxa"/>
            </w:tcMar>
            <w:vAlign w:val="center"/>
          </w:tcPr>
          <w:p w14:paraId="2D8AB569" w14:textId="77777777" w:rsidR="005E20C5" w:rsidRPr="009F5E32" w:rsidRDefault="005E20C5" w:rsidP="00D64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b/>
                <w:bCs/>
                <w:sz w:val="20"/>
              </w:rPr>
            </w:pPr>
            <w:r w:rsidRPr="009F5E32">
              <w:rPr>
                <w:rFonts w:cs="Arial"/>
                <w:b/>
                <w:bCs/>
                <w:sz w:val="20"/>
              </w:rPr>
              <w:t>Table 1-1:  Administrative Summary</w:t>
            </w:r>
          </w:p>
        </w:tc>
      </w:tr>
      <w:tr w:rsidR="005E20C5" w:rsidRPr="009F5E32" w14:paraId="292E7E3F" w14:textId="77777777" w:rsidTr="00A80199">
        <w:trPr>
          <w:cantSplit/>
          <w:tblHeader/>
        </w:trPr>
        <w:tc>
          <w:tcPr>
            <w:tcW w:w="5115" w:type="dxa"/>
            <w:tcBorders>
              <w:top w:val="single" w:sz="8" w:space="0" w:color="000000"/>
              <w:left w:val="double" w:sz="4" w:space="0" w:color="000000"/>
              <w:bottom w:val="double" w:sz="4" w:space="0" w:color="000000"/>
              <w:right w:val="single" w:sz="8" w:space="0" w:color="000000"/>
            </w:tcBorders>
            <w:shd w:val="clear" w:color="auto" w:fill="F2F2F2" w:themeFill="background1" w:themeFillShade="F2"/>
            <w:tcMar>
              <w:top w:w="29" w:type="dxa"/>
              <w:left w:w="29" w:type="dxa"/>
              <w:bottom w:w="29" w:type="dxa"/>
              <w:right w:w="29" w:type="dxa"/>
            </w:tcMar>
            <w:vAlign w:val="center"/>
          </w:tcPr>
          <w:p w14:paraId="63AC9C37" w14:textId="77777777" w:rsidR="005E20C5" w:rsidRPr="009F5E32" w:rsidRDefault="005E20C5" w:rsidP="00D647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58"/>
              <w:jc w:val="center"/>
              <w:rPr>
                <w:rFonts w:cs="Arial"/>
                <w:b/>
                <w:bCs/>
                <w:sz w:val="20"/>
              </w:rPr>
            </w:pPr>
            <w:r w:rsidRPr="009F5E32">
              <w:rPr>
                <w:rFonts w:cs="Arial"/>
                <w:b/>
                <w:bCs/>
                <w:sz w:val="20"/>
              </w:rPr>
              <w:t>Administrative Item</w:t>
            </w:r>
          </w:p>
        </w:tc>
        <w:tc>
          <w:tcPr>
            <w:tcW w:w="3525" w:type="dxa"/>
            <w:tcBorders>
              <w:top w:val="single" w:sz="8" w:space="0" w:color="000000"/>
              <w:left w:val="single" w:sz="8" w:space="0" w:color="000000"/>
              <w:bottom w:val="double" w:sz="4" w:space="0" w:color="000000"/>
              <w:right w:val="double" w:sz="4" w:space="0" w:color="000000"/>
            </w:tcBorders>
            <w:shd w:val="clear" w:color="auto" w:fill="F2F2F2" w:themeFill="background1" w:themeFillShade="F2"/>
            <w:tcMar>
              <w:top w:w="29" w:type="dxa"/>
              <w:left w:w="29" w:type="dxa"/>
              <w:bottom w:w="29" w:type="dxa"/>
              <w:right w:w="29" w:type="dxa"/>
            </w:tcMar>
          </w:tcPr>
          <w:p w14:paraId="6FF1C564" w14:textId="77777777" w:rsidR="005E20C5" w:rsidRPr="009F5E32" w:rsidRDefault="005E20C5" w:rsidP="005451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58"/>
              <w:ind w:left="0" w:firstLine="0"/>
              <w:jc w:val="center"/>
              <w:rPr>
                <w:rFonts w:cs="Arial"/>
                <w:b/>
                <w:bCs/>
                <w:sz w:val="20"/>
              </w:rPr>
            </w:pPr>
            <w:r w:rsidRPr="009F5E32">
              <w:rPr>
                <w:rFonts w:cs="Arial"/>
                <w:b/>
                <w:bCs/>
                <w:sz w:val="20"/>
              </w:rPr>
              <w:t>Result or Date</w:t>
            </w:r>
          </w:p>
        </w:tc>
      </w:tr>
      <w:tr w:rsidR="005E20C5" w:rsidRPr="009F5E32" w14:paraId="5736BFEE" w14:textId="77777777" w:rsidTr="00BA5DB9">
        <w:trPr>
          <w:cantSplit/>
        </w:trPr>
        <w:tc>
          <w:tcPr>
            <w:tcW w:w="5115" w:type="dxa"/>
            <w:tcBorders>
              <w:top w:val="double" w:sz="4"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77AE0688" w14:textId="09613416" w:rsidR="005E20C5" w:rsidRPr="009F5E32" w:rsidRDefault="005E20C5"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Date Application</w:t>
            </w:r>
            <w:r w:rsidR="00E47068" w:rsidRPr="009F5E32">
              <w:rPr>
                <w:rFonts w:cs="Arial"/>
                <w:sz w:val="16"/>
                <w:szCs w:val="16"/>
              </w:rPr>
              <w:t>(s)</w:t>
            </w:r>
            <w:r w:rsidRPr="009F5E32">
              <w:rPr>
                <w:rFonts w:cs="Arial"/>
                <w:sz w:val="16"/>
                <w:szCs w:val="16"/>
              </w:rPr>
              <w:t xml:space="preserve"> Received:</w:t>
            </w:r>
          </w:p>
        </w:tc>
        <w:tc>
          <w:tcPr>
            <w:tcW w:w="3525" w:type="dxa"/>
            <w:tcBorders>
              <w:top w:val="double" w:sz="4"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6A3D92D4" w14:textId="708B49DD" w:rsidR="005E20C5" w:rsidRPr="009F5E32" w:rsidRDefault="006F5AE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07/23</w:t>
            </w:r>
            <w:r w:rsidR="005E20C5" w:rsidRPr="009F5E32">
              <w:rPr>
                <w:rFonts w:cs="Arial"/>
                <w:sz w:val="16"/>
                <w:szCs w:val="16"/>
              </w:rPr>
              <w:t>/</w:t>
            </w:r>
            <w:r w:rsidRPr="009F5E32">
              <w:rPr>
                <w:rFonts w:cs="Arial"/>
                <w:sz w:val="16"/>
                <w:szCs w:val="16"/>
              </w:rPr>
              <w:t>2017</w:t>
            </w:r>
          </w:p>
        </w:tc>
      </w:tr>
      <w:tr w:rsidR="005E20C5" w:rsidRPr="009F5E32" w14:paraId="267B1E55"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6A6E0365" w14:textId="7117EE41" w:rsidR="005E20C5" w:rsidRPr="009F5E32" w:rsidRDefault="005E20C5"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 xml:space="preserve">Date </w:t>
            </w:r>
            <w:r w:rsidR="00C44F6D" w:rsidRPr="009F5E32">
              <w:rPr>
                <w:rFonts w:cs="Arial"/>
                <w:sz w:val="16"/>
                <w:szCs w:val="16"/>
              </w:rPr>
              <w:t>Application</w:t>
            </w:r>
            <w:r w:rsidR="00E47068" w:rsidRPr="009F5E32">
              <w:rPr>
                <w:rFonts w:cs="Arial"/>
                <w:sz w:val="16"/>
                <w:szCs w:val="16"/>
              </w:rPr>
              <w:t>(s)</w:t>
            </w:r>
            <w:r w:rsidR="00C44F6D" w:rsidRPr="009F5E32">
              <w:rPr>
                <w:rFonts w:cs="Arial"/>
                <w:sz w:val="16"/>
                <w:szCs w:val="16"/>
              </w:rPr>
              <w:t xml:space="preserve"> </w:t>
            </w:r>
            <w:r w:rsidRPr="009F5E32">
              <w:rPr>
                <w:rFonts w:cs="Arial"/>
                <w:sz w:val="16"/>
                <w:szCs w:val="16"/>
              </w:rPr>
              <w:t>Administratively Complete:</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19853626" w14:textId="1F84C4DE" w:rsidR="005E20C5" w:rsidRPr="009F5E32" w:rsidRDefault="006F5AE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07/23/2017</w:t>
            </w:r>
          </w:p>
        </w:tc>
      </w:tr>
      <w:tr w:rsidR="005E20C5" w:rsidRPr="009F5E32" w14:paraId="6C19A534"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5C476424" w14:textId="3E1C31A5" w:rsidR="005E20C5" w:rsidRPr="00612F53" w:rsidRDefault="005E20C5"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612F53">
              <w:rPr>
                <w:rFonts w:cs="Arial"/>
                <w:sz w:val="16"/>
                <w:szCs w:val="16"/>
              </w:rPr>
              <w:t xml:space="preserve">Date </w:t>
            </w:r>
            <w:r w:rsidR="00EE31A8" w:rsidRPr="00612F53">
              <w:rPr>
                <w:rFonts w:cs="Arial"/>
                <w:sz w:val="16"/>
                <w:szCs w:val="16"/>
              </w:rPr>
              <w:t>Application</w:t>
            </w:r>
            <w:r w:rsidR="00E47068" w:rsidRPr="00612F53">
              <w:rPr>
                <w:rFonts w:cs="Arial"/>
                <w:sz w:val="16"/>
                <w:szCs w:val="16"/>
              </w:rPr>
              <w:t>(s)</w:t>
            </w:r>
            <w:r w:rsidR="00EE31A8" w:rsidRPr="00612F53">
              <w:rPr>
                <w:rFonts w:cs="Arial"/>
                <w:sz w:val="16"/>
                <w:szCs w:val="16"/>
              </w:rPr>
              <w:t xml:space="preserve"> </w:t>
            </w:r>
            <w:r w:rsidRPr="00612F53">
              <w:rPr>
                <w:rFonts w:cs="Arial"/>
                <w:sz w:val="16"/>
                <w:szCs w:val="16"/>
              </w:rPr>
              <w:t>Technically Complete:</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39D99AEF" w14:textId="19853316" w:rsidR="005E20C5" w:rsidRPr="00612F53" w:rsidRDefault="00612F53"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612F53">
              <w:rPr>
                <w:rFonts w:cs="Arial"/>
                <w:sz w:val="16"/>
                <w:szCs w:val="16"/>
              </w:rPr>
              <w:t>11</w:t>
            </w:r>
            <w:r w:rsidR="00C15125" w:rsidRPr="00612F53">
              <w:rPr>
                <w:rFonts w:cs="Arial"/>
                <w:sz w:val="16"/>
                <w:szCs w:val="16"/>
              </w:rPr>
              <w:t>/</w:t>
            </w:r>
            <w:r w:rsidRPr="00612F53">
              <w:rPr>
                <w:rFonts w:cs="Arial"/>
                <w:sz w:val="16"/>
                <w:szCs w:val="16"/>
              </w:rPr>
              <w:t>21</w:t>
            </w:r>
            <w:r w:rsidR="00C15125" w:rsidRPr="00612F53">
              <w:rPr>
                <w:rFonts w:cs="Arial"/>
                <w:sz w:val="16"/>
                <w:szCs w:val="16"/>
              </w:rPr>
              <w:t>/2017</w:t>
            </w:r>
          </w:p>
        </w:tc>
      </w:tr>
      <w:tr w:rsidR="00EE31A8" w:rsidRPr="009F5E32" w14:paraId="052BD20A"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2EE3A8B0" w14:textId="786C505A"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58"/>
              <w:jc w:val="center"/>
              <w:rPr>
                <w:rFonts w:cs="Arial"/>
                <w:sz w:val="16"/>
                <w:szCs w:val="16"/>
              </w:rPr>
            </w:pPr>
            <w:r w:rsidRPr="009F5E32">
              <w:rPr>
                <w:rFonts w:cs="Arial"/>
                <w:sz w:val="16"/>
                <w:szCs w:val="16"/>
              </w:rPr>
              <w:t>Affected State(s) Noticed &amp; Date(s)</w:t>
            </w:r>
            <w:r w:rsidR="006301F0" w:rsidRPr="009F5E32">
              <w:rPr>
                <w:rFonts w:cs="Arial"/>
                <w:sz w:val="16"/>
                <w:szCs w:val="16"/>
              </w:rPr>
              <w:t xml:space="preserve"> </w:t>
            </w:r>
            <w:r w:rsidRPr="009F5E32">
              <w:rPr>
                <w:rFonts w:cs="Arial"/>
                <w:sz w:val="16"/>
                <w:szCs w:val="16"/>
              </w:rPr>
              <w:t xml:space="preserve">Noticed of </w:t>
            </w:r>
            <w:r w:rsidR="00915827">
              <w:rPr>
                <w:rFonts w:cs="Arial"/>
                <w:sz w:val="16"/>
                <w:szCs w:val="16"/>
              </w:rPr>
              <w:t>Draft Decision</w:t>
            </w:r>
            <w:r w:rsidRPr="009F5E32">
              <w:rPr>
                <w:rFonts w:cs="Arial"/>
                <w:sz w:val="16"/>
                <w:szCs w:val="16"/>
              </w:rPr>
              <w:t>:</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B8923AC" w14:textId="79833EAE" w:rsidR="00CA6433"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58"/>
              <w:ind w:left="0" w:firstLine="0"/>
              <w:jc w:val="center"/>
              <w:rPr>
                <w:rFonts w:cs="Arial"/>
                <w:sz w:val="16"/>
                <w:szCs w:val="16"/>
              </w:rPr>
            </w:pPr>
            <w:r w:rsidRPr="009F5E32">
              <w:rPr>
                <w:rFonts w:cs="Arial"/>
                <w:sz w:val="16"/>
                <w:szCs w:val="16"/>
              </w:rPr>
              <w:t>Massachusetts, New Hampshire and New York.</w:t>
            </w:r>
          </w:p>
          <w:p w14:paraId="6ECB37E2" w14:textId="1897E617" w:rsidR="00EE31A8" w:rsidRPr="009F5E32" w:rsidRDefault="00BA5DB9"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58"/>
              <w:ind w:left="0" w:firstLine="0"/>
              <w:jc w:val="center"/>
              <w:rPr>
                <w:rFonts w:cs="Arial"/>
                <w:sz w:val="16"/>
                <w:szCs w:val="16"/>
              </w:rPr>
            </w:pPr>
            <w:r>
              <w:rPr>
                <w:rFonts w:cs="Arial"/>
                <w:sz w:val="16"/>
                <w:szCs w:val="16"/>
              </w:rPr>
              <w:t>05</w:t>
            </w:r>
            <w:r w:rsidR="00D8583D" w:rsidRPr="00D8583D">
              <w:rPr>
                <w:rFonts w:cs="Arial"/>
                <w:sz w:val="16"/>
                <w:szCs w:val="16"/>
              </w:rPr>
              <w:t>/</w:t>
            </w:r>
            <w:r>
              <w:rPr>
                <w:rFonts w:cs="Arial"/>
                <w:sz w:val="16"/>
                <w:szCs w:val="16"/>
              </w:rPr>
              <w:t>04</w:t>
            </w:r>
            <w:r w:rsidR="00D8583D" w:rsidRPr="00D8583D">
              <w:rPr>
                <w:rFonts w:cs="Arial"/>
                <w:sz w:val="16"/>
                <w:szCs w:val="16"/>
              </w:rPr>
              <w:t>/201</w:t>
            </w:r>
            <w:r>
              <w:rPr>
                <w:rFonts w:cs="Arial"/>
                <w:sz w:val="16"/>
                <w:szCs w:val="16"/>
              </w:rPr>
              <w:t>8</w:t>
            </w:r>
          </w:p>
        </w:tc>
      </w:tr>
      <w:tr w:rsidR="00EE31A8" w:rsidRPr="009F5E32" w14:paraId="11B9DA64"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7D2583B3" w14:textId="0B9B1E86" w:rsidR="00EE31A8" w:rsidRPr="00BA5DB9"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BA5DB9">
              <w:rPr>
                <w:rFonts w:cs="Arial"/>
                <w:sz w:val="16"/>
                <w:szCs w:val="16"/>
              </w:rPr>
              <w:t xml:space="preserve">Date </w:t>
            </w:r>
            <w:r w:rsidR="00C15125" w:rsidRPr="00BA5DB9">
              <w:rPr>
                <w:rFonts w:cs="Arial"/>
                <w:sz w:val="16"/>
                <w:szCs w:val="16"/>
              </w:rPr>
              <w:t xml:space="preserve">Draft </w:t>
            </w:r>
            <w:r w:rsidRPr="00BA5DB9">
              <w:rPr>
                <w:rFonts w:cs="Arial"/>
                <w:sz w:val="16"/>
                <w:szCs w:val="16"/>
              </w:rPr>
              <w:t>Decision</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33A6177" w14:textId="5BE7C307" w:rsidR="00EE31A8" w:rsidRPr="00BA5DB9" w:rsidRDefault="00A56C01"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BA5DB9">
              <w:rPr>
                <w:rFonts w:cs="Arial"/>
                <w:sz w:val="16"/>
                <w:szCs w:val="16"/>
              </w:rPr>
              <w:t>0</w:t>
            </w:r>
            <w:r w:rsidR="00BA5DB9" w:rsidRPr="00BA5DB9">
              <w:rPr>
                <w:rFonts w:cs="Arial"/>
                <w:sz w:val="16"/>
                <w:szCs w:val="16"/>
              </w:rPr>
              <w:t>5</w:t>
            </w:r>
            <w:r w:rsidRPr="00BA5DB9">
              <w:rPr>
                <w:rFonts w:cs="Arial"/>
                <w:sz w:val="16"/>
                <w:szCs w:val="16"/>
              </w:rPr>
              <w:t>/</w:t>
            </w:r>
            <w:r w:rsidR="00BA5DB9" w:rsidRPr="00BA5DB9">
              <w:rPr>
                <w:rFonts w:cs="Arial"/>
                <w:sz w:val="16"/>
                <w:szCs w:val="16"/>
              </w:rPr>
              <w:t>04</w:t>
            </w:r>
            <w:r w:rsidR="00BC3CAD" w:rsidRPr="00BA5DB9">
              <w:rPr>
                <w:rFonts w:cs="Arial"/>
                <w:sz w:val="16"/>
                <w:szCs w:val="16"/>
              </w:rPr>
              <w:t>/2018</w:t>
            </w:r>
          </w:p>
        </w:tc>
      </w:tr>
      <w:tr w:rsidR="00EE31A8" w:rsidRPr="009F5E32" w14:paraId="4FB8F819"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21FBDEBC" w14:textId="77777777" w:rsidR="00EE31A8" w:rsidRPr="00BA5DB9"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BA5DB9">
              <w:rPr>
                <w:rFonts w:cs="Arial"/>
                <w:sz w:val="16"/>
                <w:szCs w:val="16"/>
              </w:rPr>
              <w:t>Date &amp; Location Draft Decision/Comment Period Noticed:</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37D4C035" w14:textId="1085FC63" w:rsidR="009848D5" w:rsidRPr="00BA5DB9" w:rsidRDefault="009848D5"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BA5DB9">
              <w:rPr>
                <w:rFonts w:cs="Arial"/>
                <w:sz w:val="16"/>
                <w:szCs w:val="16"/>
              </w:rPr>
              <w:t>Newport Daily Express</w:t>
            </w:r>
          </w:p>
          <w:p w14:paraId="51A60576" w14:textId="692C7341" w:rsidR="00CA6433" w:rsidRPr="00BA5DB9" w:rsidRDefault="00CA6433"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BA5DB9">
              <w:rPr>
                <w:rFonts w:cs="Arial"/>
                <w:sz w:val="16"/>
                <w:szCs w:val="16"/>
              </w:rPr>
              <w:t>Environmental Notice Bulletin</w:t>
            </w:r>
          </w:p>
          <w:p w14:paraId="569C92CF" w14:textId="10A6E225" w:rsidR="00EE31A8" w:rsidRPr="00BA5DB9" w:rsidRDefault="00BC3CAD"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BA5DB9">
              <w:rPr>
                <w:rFonts w:cs="Arial"/>
                <w:sz w:val="16"/>
                <w:szCs w:val="16"/>
              </w:rPr>
              <w:t>0</w:t>
            </w:r>
            <w:r w:rsidR="00BA5DB9" w:rsidRPr="00BA5DB9">
              <w:rPr>
                <w:rFonts w:cs="Arial"/>
                <w:sz w:val="16"/>
                <w:szCs w:val="16"/>
              </w:rPr>
              <w:t>5</w:t>
            </w:r>
            <w:r w:rsidR="00C15125" w:rsidRPr="00BA5DB9">
              <w:rPr>
                <w:rFonts w:cs="Arial"/>
                <w:sz w:val="16"/>
                <w:szCs w:val="16"/>
              </w:rPr>
              <w:t>/</w:t>
            </w:r>
            <w:r w:rsidR="00BA5DB9" w:rsidRPr="00BA5DB9">
              <w:rPr>
                <w:rFonts w:cs="Arial"/>
                <w:sz w:val="16"/>
                <w:szCs w:val="16"/>
              </w:rPr>
              <w:t>04</w:t>
            </w:r>
            <w:r w:rsidR="00C15125" w:rsidRPr="00BA5DB9">
              <w:rPr>
                <w:rFonts w:cs="Arial"/>
                <w:sz w:val="16"/>
                <w:szCs w:val="16"/>
              </w:rPr>
              <w:t>/201</w:t>
            </w:r>
            <w:r w:rsidRPr="00BA5DB9">
              <w:rPr>
                <w:rFonts w:cs="Arial"/>
                <w:sz w:val="16"/>
                <w:szCs w:val="16"/>
              </w:rPr>
              <w:t>8</w:t>
            </w:r>
          </w:p>
        </w:tc>
      </w:tr>
      <w:tr w:rsidR="00EE31A8" w:rsidRPr="009F5E32" w14:paraId="7D02918C"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0612BC50" w14:textId="77DE87CB"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Date &amp; Location Public Meeting Noticed:</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17CF0BC0"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Not Requested</w:t>
            </w:r>
          </w:p>
        </w:tc>
      </w:tr>
      <w:tr w:rsidR="00EE31A8" w:rsidRPr="009F5E32" w14:paraId="5FB6C944"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6696AF07" w14:textId="77777777" w:rsidR="00EE31A8" w:rsidRPr="00BA5DB9"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BA5DB9">
              <w:rPr>
                <w:rFonts w:cs="Arial"/>
                <w:sz w:val="16"/>
                <w:szCs w:val="16"/>
              </w:rPr>
              <w:t>Date &amp; Location of Public Meeting:</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3DC59375" w14:textId="77777777" w:rsidR="00EE31A8" w:rsidRPr="002E7460"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2E7460">
              <w:rPr>
                <w:rFonts w:cs="Arial"/>
                <w:sz w:val="16"/>
                <w:szCs w:val="16"/>
              </w:rPr>
              <w:t>Not Requested</w:t>
            </w:r>
          </w:p>
        </w:tc>
      </w:tr>
      <w:tr w:rsidR="00EE31A8" w:rsidRPr="009F5E32" w14:paraId="12479A1F"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025426C6" w14:textId="77777777" w:rsidR="00EE31A8" w:rsidRPr="00BA5DB9"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BA5DB9">
              <w:rPr>
                <w:rFonts w:cs="Arial"/>
                <w:sz w:val="16"/>
                <w:szCs w:val="16"/>
              </w:rPr>
              <w:t>Deadline for Public Comments:</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71603113" w14:textId="516BDA8F" w:rsidR="00EE31A8" w:rsidRPr="00BA5DB9" w:rsidRDefault="00915827"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BA5DB9">
              <w:rPr>
                <w:rFonts w:cs="Arial"/>
                <w:sz w:val="16"/>
                <w:szCs w:val="16"/>
              </w:rPr>
              <w:t>0</w:t>
            </w:r>
            <w:r w:rsidR="00BA5DB9" w:rsidRPr="00BA5DB9">
              <w:rPr>
                <w:rFonts w:cs="Arial"/>
                <w:sz w:val="16"/>
                <w:szCs w:val="16"/>
              </w:rPr>
              <w:t>6</w:t>
            </w:r>
            <w:r w:rsidR="00EE31A8" w:rsidRPr="00BA5DB9">
              <w:rPr>
                <w:rFonts w:cs="Arial"/>
                <w:sz w:val="16"/>
                <w:szCs w:val="16"/>
              </w:rPr>
              <w:t>/</w:t>
            </w:r>
            <w:r w:rsidR="00BA5DB9" w:rsidRPr="00BA5DB9">
              <w:rPr>
                <w:rFonts w:cs="Arial"/>
                <w:sz w:val="16"/>
                <w:szCs w:val="16"/>
              </w:rPr>
              <w:t>04</w:t>
            </w:r>
            <w:r w:rsidR="00EE31A8" w:rsidRPr="00BA5DB9">
              <w:rPr>
                <w:rFonts w:cs="Arial"/>
                <w:sz w:val="16"/>
                <w:szCs w:val="16"/>
              </w:rPr>
              <w:t>/</w:t>
            </w:r>
            <w:r w:rsidR="00EE1A9B" w:rsidRPr="00BA5DB9">
              <w:rPr>
                <w:rFonts w:cs="Arial"/>
                <w:sz w:val="16"/>
                <w:szCs w:val="16"/>
              </w:rPr>
              <w:t>201</w:t>
            </w:r>
            <w:r w:rsidRPr="00BA5DB9">
              <w:rPr>
                <w:rFonts w:cs="Arial"/>
                <w:sz w:val="16"/>
                <w:szCs w:val="16"/>
              </w:rPr>
              <w:t>8</w:t>
            </w:r>
          </w:p>
        </w:tc>
      </w:tr>
      <w:tr w:rsidR="00EE31A8" w:rsidRPr="009F5E32" w14:paraId="06586E1F"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5FF0572D" w14:textId="77777777" w:rsidR="00EE31A8" w:rsidRPr="00E7560B"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E7560B">
              <w:rPr>
                <w:rFonts w:cs="Arial"/>
                <w:sz w:val="16"/>
                <w:szCs w:val="16"/>
              </w:rPr>
              <w:t>Date Submitted to U.S. EPA:</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24D30DE" w14:textId="504DED68" w:rsidR="00EE31A8" w:rsidRPr="00E7560B" w:rsidRDefault="00915827"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20"/>
              </w:rPr>
            </w:pPr>
            <w:r w:rsidRPr="00E7560B">
              <w:rPr>
                <w:rFonts w:cs="Arial"/>
                <w:sz w:val="16"/>
                <w:szCs w:val="16"/>
              </w:rPr>
              <w:t>06</w:t>
            </w:r>
            <w:r w:rsidR="00EE31A8" w:rsidRPr="00E7560B">
              <w:rPr>
                <w:rFonts w:cs="Arial"/>
                <w:sz w:val="16"/>
                <w:szCs w:val="16"/>
              </w:rPr>
              <w:t>/</w:t>
            </w:r>
            <w:r w:rsidR="00E7560B" w:rsidRPr="00E7560B">
              <w:rPr>
                <w:rFonts w:cs="Arial"/>
                <w:sz w:val="16"/>
                <w:szCs w:val="16"/>
              </w:rPr>
              <w:t>06</w:t>
            </w:r>
            <w:r w:rsidR="00EE31A8" w:rsidRPr="00E7560B">
              <w:rPr>
                <w:rFonts w:cs="Arial"/>
                <w:sz w:val="16"/>
                <w:szCs w:val="16"/>
              </w:rPr>
              <w:t>/</w:t>
            </w:r>
            <w:r w:rsidR="00725147" w:rsidRPr="00E7560B">
              <w:rPr>
                <w:rFonts w:cs="Arial"/>
                <w:sz w:val="16"/>
                <w:szCs w:val="16"/>
              </w:rPr>
              <w:t>2018</w:t>
            </w:r>
          </w:p>
        </w:tc>
      </w:tr>
      <w:tr w:rsidR="00EE31A8" w:rsidRPr="009F5E32" w14:paraId="61795472"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09855AF4"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Total Application Fees:</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5BFF0540" w14:textId="15D1F39A"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20"/>
              </w:rPr>
            </w:pPr>
            <w:r w:rsidRPr="009F5E32">
              <w:rPr>
                <w:rFonts w:cs="Arial"/>
                <w:sz w:val="16"/>
                <w:szCs w:val="16"/>
              </w:rPr>
              <w:t>$</w:t>
            </w:r>
            <w:r w:rsidR="00EE1A9B" w:rsidRPr="009F5E32">
              <w:rPr>
                <w:rFonts w:cs="Arial"/>
                <w:sz w:val="16"/>
                <w:szCs w:val="16"/>
              </w:rPr>
              <w:t>2</w:t>
            </w:r>
            <w:r w:rsidR="00E84960" w:rsidRPr="009F5E32">
              <w:rPr>
                <w:rFonts w:cs="Arial"/>
                <w:sz w:val="16"/>
                <w:szCs w:val="16"/>
              </w:rPr>
              <w:t>,000</w:t>
            </w:r>
            <w:r w:rsidRPr="009F5E32">
              <w:rPr>
                <w:rFonts w:cs="Arial"/>
                <w:sz w:val="16"/>
                <w:szCs w:val="16"/>
              </w:rPr>
              <w:t>.</w:t>
            </w:r>
            <w:r w:rsidRPr="009F5E32">
              <w:rPr>
                <w:rFonts w:cs="Arial"/>
                <w:sz w:val="16"/>
                <w:szCs w:val="16"/>
                <w:vertAlign w:val="superscript"/>
              </w:rPr>
              <w:t>00</w:t>
            </w:r>
          </w:p>
        </w:tc>
      </w:tr>
      <w:tr w:rsidR="00E84960" w:rsidRPr="009F5E32" w14:paraId="4E405C2D"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4A0C4DA9" w14:textId="07A43BDE" w:rsidR="00E84960" w:rsidRPr="009F5E32" w:rsidRDefault="00E84960"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 xml:space="preserve">Total </w:t>
            </w:r>
            <w:r w:rsidR="00D40F73" w:rsidRPr="009F5E32">
              <w:rPr>
                <w:rFonts w:cs="Arial"/>
                <w:sz w:val="16"/>
                <w:szCs w:val="16"/>
              </w:rPr>
              <w:t xml:space="preserve">Application </w:t>
            </w:r>
            <w:r w:rsidRPr="009F5E32">
              <w:rPr>
                <w:rFonts w:cs="Arial"/>
                <w:sz w:val="16"/>
                <w:szCs w:val="16"/>
              </w:rPr>
              <w:t>Review Fees:</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550C26FB" w14:textId="2F6BCFD0" w:rsidR="00E84960" w:rsidRPr="009F5E32" w:rsidRDefault="008B472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20"/>
              </w:rPr>
            </w:pPr>
            <w:r w:rsidRPr="009F5E32">
              <w:rPr>
                <w:rFonts w:cs="Arial"/>
                <w:sz w:val="16"/>
                <w:szCs w:val="16"/>
              </w:rPr>
              <w:t>$</w:t>
            </w:r>
            <w:r w:rsidR="00EE1A9B" w:rsidRPr="009F5E32">
              <w:rPr>
                <w:rFonts w:cs="Arial"/>
                <w:sz w:val="16"/>
                <w:szCs w:val="16"/>
              </w:rPr>
              <w:t>2</w:t>
            </w:r>
            <w:r w:rsidRPr="009F5E32">
              <w:rPr>
                <w:rFonts w:cs="Arial"/>
                <w:sz w:val="16"/>
                <w:szCs w:val="16"/>
              </w:rPr>
              <w:t>,000.</w:t>
            </w:r>
            <w:r w:rsidRPr="009F5E32">
              <w:rPr>
                <w:rFonts w:cs="Arial"/>
                <w:sz w:val="16"/>
                <w:szCs w:val="16"/>
                <w:vertAlign w:val="superscript"/>
              </w:rPr>
              <w:t>00</w:t>
            </w:r>
          </w:p>
        </w:tc>
      </w:tr>
      <w:tr w:rsidR="00EE31A8" w:rsidRPr="009F5E32" w14:paraId="4C38A1E1"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06A97E59"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Classification of Source Under §5-401:</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F60C325" w14:textId="666F9A92"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left"/>
              <w:rPr>
                <w:rFonts w:cs="Arial"/>
                <w:sz w:val="16"/>
                <w:szCs w:val="16"/>
              </w:rPr>
            </w:pPr>
            <w:r w:rsidRPr="009F5E32">
              <w:rPr>
                <w:rFonts w:cs="Arial"/>
                <w:sz w:val="20"/>
              </w:rPr>
              <w:t>§</w:t>
            </w:r>
            <w:r w:rsidRPr="009F5E32">
              <w:rPr>
                <w:rFonts w:cs="Arial"/>
                <w:sz w:val="16"/>
                <w:szCs w:val="16"/>
              </w:rPr>
              <w:t>5-401(16) (Any source …which would otherwise be subject to regulation pursuant to the Clean Air Act, as amended (42 USC 7401, et seq.)</w:t>
            </w:r>
          </w:p>
          <w:p w14:paraId="6289D39D" w14:textId="77777777" w:rsidR="00EE1A9B" w:rsidRPr="009F5E32" w:rsidRDefault="00EE1A9B"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left"/>
              <w:rPr>
                <w:rFonts w:cs="Arial"/>
                <w:sz w:val="16"/>
                <w:szCs w:val="16"/>
              </w:rPr>
            </w:pPr>
          </w:p>
          <w:p w14:paraId="2E2B3FBB"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left"/>
              <w:rPr>
                <w:rFonts w:cs="Arial"/>
                <w:sz w:val="16"/>
                <w:szCs w:val="16"/>
              </w:rPr>
            </w:pPr>
            <w:r w:rsidRPr="009F5E32">
              <w:rPr>
                <w:rFonts w:cs="Arial"/>
                <w:sz w:val="16"/>
                <w:szCs w:val="16"/>
              </w:rPr>
              <w:t>§5-401(17 [Such other sources as may be designated as air contaminant sources by the Air Pollution Control Officer on a case-by-case basis]</w:t>
            </w:r>
          </w:p>
        </w:tc>
      </w:tr>
      <w:tr w:rsidR="00EE31A8" w:rsidRPr="009F5E32" w14:paraId="54C83074"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33A71060"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Classification of Application:</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B2C1256" w14:textId="75D58C52" w:rsidR="00EE31A8" w:rsidRPr="009F5E32" w:rsidRDefault="00EE1A9B"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 xml:space="preserve">Minor </w:t>
            </w:r>
            <w:r w:rsidR="00EE31A8" w:rsidRPr="009F5E32">
              <w:rPr>
                <w:rFonts w:cs="Arial"/>
                <w:sz w:val="16"/>
                <w:szCs w:val="16"/>
              </w:rPr>
              <w:t>Modification / Renewal</w:t>
            </w:r>
          </w:p>
        </w:tc>
      </w:tr>
      <w:tr w:rsidR="00EE31A8" w:rsidRPr="009F5E32" w14:paraId="23E769C7"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1EF7A95C"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Construction and Operating Permit: Designation of Facility:</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1E28F262"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Title V</w:t>
            </w:r>
          </w:p>
        </w:tc>
      </w:tr>
      <w:tr w:rsidR="00EE31A8" w:rsidRPr="009F5E32" w14:paraId="3FAF19B0" w14:textId="77777777" w:rsidTr="00BA5DB9">
        <w:trPr>
          <w:cantSplit/>
        </w:trPr>
        <w:tc>
          <w:tcPr>
            <w:tcW w:w="5115" w:type="dxa"/>
            <w:tcBorders>
              <w:top w:val="single" w:sz="8" w:space="0" w:color="000000"/>
              <w:left w:val="double" w:sz="4" w:space="0" w:color="000000"/>
              <w:bottom w:val="single" w:sz="8" w:space="0" w:color="000000"/>
              <w:right w:val="single" w:sz="8" w:space="0" w:color="000000"/>
            </w:tcBorders>
            <w:tcMar>
              <w:top w:w="29" w:type="dxa"/>
              <w:left w:w="29" w:type="dxa"/>
              <w:bottom w:w="29" w:type="dxa"/>
              <w:right w:w="29" w:type="dxa"/>
            </w:tcMar>
            <w:vAlign w:val="center"/>
          </w:tcPr>
          <w:p w14:paraId="7FD1B867"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Facility SIC/NAIC Code(s):</w:t>
            </w:r>
          </w:p>
        </w:tc>
        <w:tc>
          <w:tcPr>
            <w:tcW w:w="3525" w:type="dxa"/>
            <w:tcBorders>
              <w:top w:val="single" w:sz="8" w:space="0" w:color="000000"/>
              <w:left w:val="single" w:sz="8" w:space="0" w:color="000000"/>
              <w:bottom w:val="single" w:sz="8" w:space="0" w:color="000000"/>
              <w:right w:val="double" w:sz="4" w:space="0" w:color="000000"/>
            </w:tcBorders>
            <w:tcMar>
              <w:top w:w="29" w:type="dxa"/>
              <w:left w:w="29" w:type="dxa"/>
              <w:bottom w:w="29" w:type="dxa"/>
              <w:right w:w="29" w:type="dxa"/>
            </w:tcMar>
            <w:vAlign w:val="center"/>
          </w:tcPr>
          <w:p w14:paraId="2B9C41B4"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4953 / 562212</w:t>
            </w:r>
          </w:p>
          <w:p w14:paraId="24915AA7" w14:textId="42A56A04"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and</w:t>
            </w:r>
          </w:p>
          <w:p w14:paraId="774F7E59"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center"/>
              <w:rPr>
                <w:rFonts w:cs="Arial"/>
                <w:sz w:val="16"/>
                <w:szCs w:val="16"/>
              </w:rPr>
            </w:pPr>
            <w:r w:rsidRPr="009F5E32">
              <w:rPr>
                <w:rFonts w:cs="Arial"/>
                <w:sz w:val="16"/>
                <w:szCs w:val="16"/>
              </w:rPr>
              <w:t>4931/221129</w:t>
            </w:r>
          </w:p>
        </w:tc>
      </w:tr>
      <w:tr w:rsidR="00EE31A8" w:rsidRPr="009F5E32" w14:paraId="44C15476" w14:textId="77777777" w:rsidTr="00BA5DB9">
        <w:trPr>
          <w:cantSplit/>
          <w:trHeight w:val="734"/>
        </w:trPr>
        <w:tc>
          <w:tcPr>
            <w:tcW w:w="5115" w:type="dxa"/>
            <w:tcBorders>
              <w:top w:val="single" w:sz="8" w:space="0" w:color="000000"/>
              <w:left w:val="double" w:sz="4" w:space="0" w:color="000000"/>
              <w:bottom w:val="double" w:sz="4" w:space="0" w:color="000000"/>
              <w:right w:val="single" w:sz="8" w:space="0" w:color="000000"/>
            </w:tcBorders>
            <w:tcMar>
              <w:top w:w="29" w:type="dxa"/>
              <w:left w:w="29" w:type="dxa"/>
              <w:bottom w:w="29" w:type="dxa"/>
              <w:right w:w="29" w:type="dxa"/>
            </w:tcMar>
            <w:vAlign w:val="center"/>
          </w:tcPr>
          <w:p w14:paraId="3B794A6E"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rFonts w:cs="Arial"/>
                <w:sz w:val="16"/>
                <w:szCs w:val="16"/>
              </w:rPr>
            </w:pPr>
            <w:r w:rsidRPr="009F5E32">
              <w:rPr>
                <w:rFonts w:cs="Arial"/>
                <w:sz w:val="16"/>
                <w:szCs w:val="16"/>
              </w:rPr>
              <w:t>Facility SIC/NAIC Code Description(s):</w:t>
            </w:r>
          </w:p>
        </w:tc>
        <w:tc>
          <w:tcPr>
            <w:tcW w:w="3525" w:type="dxa"/>
            <w:tcBorders>
              <w:top w:val="single" w:sz="8" w:space="0" w:color="000000"/>
              <w:left w:val="single" w:sz="8" w:space="0" w:color="000000"/>
              <w:bottom w:val="double" w:sz="4" w:space="0" w:color="000000"/>
              <w:right w:val="double" w:sz="4" w:space="0" w:color="000000"/>
            </w:tcBorders>
            <w:tcMar>
              <w:top w:w="29" w:type="dxa"/>
              <w:left w:w="29" w:type="dxa"/>
              <w:bottom w:w="29" w:type="dxa"/>
              <w:right w:w="29" w:type="dxa"/>
            </w:tcMar>
            <w:vAlign w:val="center"/>
          </w:tcPr>
          <w:p w14:paraId="37294177" w14:textId="77777777" w:rsidR="00EE31A8" w:rsidRPr="009F5E32" w:rsidRDefault="00EE31A8" w:rsidP="006F5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jc w:val="left"/>
              <w:rPr>
                <w:rFonts w:cs="Arial"/>
                <w:sz w:val="16"/>
                <w:szCs w:val="16"/>
              </w:rPr>
            </w:pPr>
            <w:r w:rsidRPr="009F5E32">
              <w:rPr>
                <w:rFonts w:cs="Arial"/>
                <w:sz w:val="16"/>
                <w:szCs w:val="16"/>
              </w:rPr>
              <w:t>Refuse Systems, Solid Waste Landfills and Electric and other Services Combined, Other Electric Power Generation</w:t>
            </w:r>
          </w:p>
        </w:tc>
      </w:tr>
    </w:tbl>
    <w:p w14:paraId="60FEE4C2" w14:textId="5703A701" w:rsidR="00C44F6D" w:rsidRPr="009F5E32" w:rsidRDefault="00C44F6D" w:rsidP="00C910C6">
      <w:pPr>
        <w:ind w:left="0" w:firstLine="0"/>
      </w:pPr>
    </w:p>
    <w:tbl>
      <w:tblPr>
        <w:tblW w:w="8640" w:type="dxa"/>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15" w:type="dxa"/>
          <w:bottom w:w="86" w:type="dxa"/>
          <w:right w:w="115" w:type="dxa"/>
        </w:tblCellMar>
        <w:tblLook w:val="0000" w:firstRow="0" w:lastRow="0" w:firstColumn="0" w:lastColumn="0" w:noHBand="0" w:noVBand="0"/>
      </w:tblPr>
      <w:tblGrid>
        <w:gridCol w:w="1638"/>
        <w:gridCol w:w="1092"/>
        <w:gridCol w:w="1091"/>
        <w:gridCol w:w="1091"/>
        <w:gridCol w:w="1182"/>
        <w:gridCol w:w="1364"/>
        <w:gridCol w:w="1182"/>
      </w:tblGrid>
      <w:tr w:rsidR="007E60BE" w:rsidRPr="009F5E32" w14:paraId="295CE0B9" w14:textId="77777777" w:rsidTr="00A80199">
        <w:trPr>
          <w:cantSplit/>
        </w:trPr>
        <w:tc>
          <w:tcPr>
            <w:tcW w:w="8640" w:type="dxa"/>
            <w:gridSpan w:val="7"/>
            <w:tcBorders>
              <w:top w:val="double" w:sz="4" w:space="0" w:color="auto"/>
            </w:tcBorders>
            <w:shd w:val="clear" w:color="auto" w:fill="F2F2F2" w:themeFill="background1" w:themeFillShade="F2"/>
          </w:tcPr>
          <w:p w14:paraId="2D9ADEAA" w14:textId="61375189" w:rsidR="007E60BE" w:rsidRPr="009F5E32" w:rsidRDefault="007E60BE" w:rsidP="000D1BE1">
            <w:pPr>
              <w:jc w:val="center"/>
              <w:rPr>
                <w:b/>
                <w:bCs/>
              </w:rPr>
            </w:pPr>
            <w:r w:rsidRPr="009F5E32">
              <w:rPr>
                <w:rFonts w:cs="Arial"/>
                <w:b/>
                <w:bCs/>
                <w:sz w:val="20"/>
              </w:rPr>
              <w:t xml:space="preserve">Table 1-2:  Future Allowable </w:t>
            </w:r>
            <w:r w:rsidR="00315C1F" w:rsidRPr="009F5E32">
              <w:rPr>
                <w:rFonts w:cs="Arial"/>
                <w:b/>
                <w:bCs/>
                <w:sz w:val="20"/>
              </w:rPr>
              <w:t xml:space="preserve">Facility </w:t>
            </w:r>
            <w:r w:rsidRPr="009F5E32">
              <w:rPr>
                <w:rFonts w:cs="Arial"/>
                <w:b/>
                <w:bCs/>
                <w:sz w:val="20"/>
              </w:rPr>
              <w:t>Air Contaminant Emissions (tons/year)</w:t>
            </w:r>
            <w:r w:rsidRPr="009F5E32">
              <w:rPr>
                <w:b/>
                <w:bCs/>
                <w:vertAlign w:val="superscript"/>
              </w:rPr>
              <w:t>1</w:t>
            </w:r>
          </w:p>
        </w:tc>
      </w:tr>
      <w:tr w:rsidR="008E5848" w:rsidRPr="009F5E32" w14:paraId="613FD36A" w14:textId="77777777" w:rsidTr="00A80199">
        <w:trPr>
          <w:cantSplit/>
        </w:trPr>
        <w:tc>
          <w:tcPr>
            <w:tcW w:w="1638" w:type="dxa"/>
            <w:tcBorders>
              <w:top w:val="single" w:sz="6" w:space="0" w:color="auto"/>
              <w:bottom w:val="double" w:sz="4" w:space="0" w:color="auto"/>
            </w:tcBorders>
            <w:shd w:val="clear" w:color="auto" w:fill="F2F2F2" w:themeFill="background1" w:themeFillShade="F2"/>
            <w:vAlign w:val="center"/>
          </w:tcPr>
          <w:p w14:paraId="6B25DF30" w14:textId="4E072334" w:rsidR="008E5848" w:rsidRPr="009F5E32" w:rsidRDefault="008E5848" w:rsidP="008E5848">
            <w:pPr>
              <w:jc w:val="center"/>
              <w:rPr>
                <w:b/>
                <w:bCs/>
                <w:sz w:val="18"/>
                <w:szCs w:val="18"/>
              </w:rPr>
            </w:pPr>
            <w:r w:rsidRPr="009F5E32">
              <w:rPr>
                <w:b/>
                <w:bCs/>
                <w:sz w:val="18"/>
                <w:szCs w:val="18"/>
              </w:rPr>
              <w:t>PM/PM</w:t>
            </w:r>
            <w:r w:rsidRPr="009F5E32">
              <w:rPr>
                <w:b/>
                <w:bCs/>
                <w:sz w:val="18"/>
                <w:szCs w:val="18"/>
                <w:vertAlign w:val="subscript"/>
              </w:rPr>
              <w:t>10</w:t>
            </w:r>
            <w:r w:rsidRPr="009F5E32">
              <w:rPr>
                <w:b/>
                <w:bCs/>
                <w:sz w:val="18"/>
                <w:szCs w:val="18"/>
              </w:rPr>
              <w:t>/PM</w:t>
            </w:r>
            <w:r w:rsidRPr="009F5E32">
              <w:rPr>
                <w:b/>
                <w:bCs/>
                <w:sz w:val="18"/>
                <w:szCs w:val="18"/>
                <w:vertAlign w:val="subscript"/>
              </w:rPr>
              <w:t>2.5</w:t>
            </w:r>
          </w:p>
        </w:tc>
        <w:tc>
          <w:tcPr>
            <w:tcW w:w="1092" w:type="dxa"/>
            <w:tcBorders>
              <w:top w:val="single" w:sz="6" w:space="0" w:color="auto"/>
              <w:bottom w:val="double" w:sz="4" w:space="0" w:color="auto"/>
            </w:tcBorders>
            <w:shd w:val="clear" w:color="auto" w:fill="F2F2F2" w:themeFill="background1" w:themeFillShade="F2"/>
            <w:vAlign w:val="center"/>
          </w:tcPr>
          <w:p w14:paraId="26F0274E" w14:textId="37218C21" w:rsidR="008E5848" w:rsidRPr="009F5E32" w:rsidRDefault="008E5848" w:rsidP="008E5848">
            <w:pPr>
              <w:jc w:val="center"/>
              <w:rPr>
                <w:b/>
                <w:bCs/>
                <w:sz w:val="18"/>
                <w:szCs w:val="18"/>
              </w:rPr>
            </w:pPr>
            <w:r w:rsidRPr="009F5E32">
              <w:rPr>
                <w:b/>
                <w:sz w:val="18"/>
                <w:szCs w:val="18"/>
              </w:rPr>
              <w:t>CO</w:t>
            </w:r>
          </w:p>
        </w:tc>
        <w:tc>
          <w:tcPr>
            <w:tcW w:w="1091" w:type="dxa"/>
            <w:tcBorders>
              <w:top w:val="single" w:sz="6" w:space="0" w:color="auto"/>
              <w:bottom w:val="double" w:sz="4" w:space="0" w:color="auto"/>
            </w:tcBorders>
            <w:shd w:val="clear" w:color="auto" w:fill="F2F2F2" w:themeFill="background1" w:themeFillShade="F2"/>
            <w:vAlign w:val="center"/>
          </w:tcPr>
          <w:p w14:paraId="6620A058" w14:textId="3B958581" w:rsidR="008E5848" w:rsidRPr="009F5E32" w:rsidRDefault="008E5848" w:rsidP="008E5848">
            <w:pPr>
              <w:jc w:val="center"/>
              <w:rPr>
                <w:b/>
                <w:bCs/>
                <w:sz w:val="18"/>
                <w:szCs w:val="18"/>
              </w:rPr>
            </w:pPr>
            <w:r w:rsidRPr="009F5E32">
              <w:rPr>
                <w:b/>
                <w:bCs/>
                <w:sz w:val="18"/>
                <w:szCs w:val="18"/>
              </w:rPr>
              <w:t>NO</w:t>
            </w:r>
            <w:r w:rsidRPr="009F5E32">
              <w:rPr>
                <w:b/>
                <w:bCs/>
                <w:sz w:val="18"/>
                <w:szCs w:val="18"/>
                <w:vertAlign w:val="subscript"/>
              </w:rPr>
              <w:t>x</w:t>
            </w:r>
          </w:p>
        </w:tc>
        <w:tc>
          <w:tcPr>
            <w:tcW w:w="1091" w:type="dxa"/>
            <w:tcBorders>
              <w:top w:val="single" w:sz="6" w:space="0" w:color="auto"/>
              <w:bottom w:val="double" w:sz="4" w:space="0" w:color="auto"/>
            </w:tcBorders>
            <w:shd w:val="clear" w:color="auto" w:fill="F2F2F2" w:themeFill="background1" w:themeFillShade="F2"/>
            <w:vAlign w:val="center"/>
          </w:tcPr>
          <w:p w14:paraId="0CB434FA" w14:textId="481DDF25" w:rsidR="008E5848" w:rsidRPr="009F5E32" w:rsidRDefault="008E5848" w:rsidP="008E5848">
            <w:pPr>
              <w:pStyle w:val="Heading4"/>
              <w:jc w:val="center"/>
              <w:rPr>
                <w:rFonts w:cs="Times New Roman"/>
                <w:sz w:val="18"/>
                <w:szCs w:val="18"/>
              </w:rPr>
            </w:pPr>
            <w:r w:rsidRPr="009F5E32">
              <w:rPr>
                <w:bCs w:val="0"/>
                <w:sz w:val="18"/>
                <w:szCs w:val="18"/>
              </w:rPr>
              <w:t>SO</w:t>
            </w:r>
            <w:r w:rsidRPr="009F5E32">
              <w:rPr>
                <w:bCs w:val="0"/>
                <w:sz w:val="18"/>
                <w:szCs w:val="18"/>
                <w:vertAlign w:val="subscript"/>
              </w:rPr>
              <w:t>2</w:t>
            </w:r>
          </w:p>
        </w:tc>
        <w:tc>
          <w:tcPr>
            <w:tcW w:w="1182" w:type="dxa"/>
            <w:tcBorders>
              <w:top w:val="single" w:sz="6" w:space="0" w:color="auto"/>
              <w:bottom w:val="double" w:sz="4" w:space="0" w:color="auto"/>
            </w:tcBorders>
            <w:shd w:val="clear" w:color="auto" w:fill="F2F2F2" w:themeFill="background1" w:themeFillShade="F2"/>
            <w:vAlign w:val="center"/>
          </w:tcPr>
          <w:p w14:paraId="78610899" w14:textId="70721CFA" w:rsidR="008E5848" w:rsidRPr="009F5E32" w:rsidRDefault="008E5848" w:rsidP="008E5848">
            <w:pPr>
              <w:jc w:val="center"/>
              <w:rPr>
                <w:b/>
                <w:bCs/>
                <w:sz w:val="18"/>
                <w:szCs w:val="18"/>
              </w:rPr>
            </w:pPr>
            <w:r w:rsidRPr="009F5E32">
              <w:rPr>
                <w:b/>
                <w:bCs/>
                <w:sz w:val="18"/>
                <w:szCs w:val="18"/>
              </w:rPr>
              <w:t>VOCs</w:t>
            </w:r>
          </w:p>
        </w:tc>
        <w:tc>
          <w:tcPr>
            <w:tcW w:w="1364" w:type="dxa"/>
            <w:tcBorders>
              <w:top w:val="single" w:sz="6" w:space="0" w:color="auto"/>
              <w:bottom w:val="double" w:sz="4" w:space="0" w:color="auto"/>
            </w:tcBorders>
            <w:shd w:val="clear" w:color="auto" w:fill="F2F2F2" w:themeFill="background1" w:themeFillShade="F2"/>
            <w:vAlign w:val="center"/>
          </w:tcPr>
          <w:p w14:paraId="13E40286" w14:textId="2ABF9DCA" w:rsidR="008E5848" w:rsidRPr="009F5E32" w:rsidRDefault="008E5848" w:rsidP="008E5848">
            <w:pPr>
              <w:jc w:val="center"/>
              <w:rPr>
                <w:b/>
                <w:bCs/>
                <w:sz w:val="18"/>
                <w:szCs w:val="18"/>
              </w:rPr>
            </w:pPr>
            <w:r w:rsidRPr="009F5E32">
              <w:rPr>
                <w:b/>
                <w:bCs/>
                <w:sz w:val="18"/>
                <w:szCs w:val="18"/>
              </w:rPr>
              <w:t>HAPs</w:t>
            </w:r>
            <w:r w:rsidRPr="009F5E32">
              <w:rPr>
                <w:b/>
                <w:bCs/>
                <w:sz w:val="20"/>
                <w:vertAlign w:val="superscript"/>
              </w:rPr>
              <w:t>2</w:t>
            </w:r>
          </w:p>
        </w:tc>
        <w:tc>
          <w:tcPr>
            <w:tcW w:w="1182" w:type="dxa"/>
            <w:tcBorders>
              <w:bottom w:val="double" w:sz="4" w:space="0" w:color="auto"/>
            </w:tcBorders>
            <w:shd w:val="clear" w:color="auto" w:fill="F2F2F2" w:themeFill="background1" w:themeFillShade="F2"/>
            <w:vAlign w:val="center"/>
          </w:tcPr>
          <w:p w14:paraId="6B637301" w14:textId="549B1641" w:rsidR="008E5848" w:rsidRPr="009F5E32" w:rsidRDefault="008E5848" w:rsidP="008E5848">
            <w:pPr>
              <w:jc w:val="center"/>
              <w:rPr>
                <w:b/>
                <w:bCs/>
                <w:sz w:val="18"/>
                <w:szCs w:val="18"/>
              </w:rPr>
            </w:pPr>
            <w:r w:rsidRPr="009F5E32">
              <w:rPr>
                <w:b/>
                <w:bCs/>
                <w:sz w:val="18"/>
                <w:szCs w:val="18"/>
              </w:rPr>
              <w:t>CO</w:t>
            </w:r>
            <w:r w:rsidRPr="009F5E32">
              <w:rPr>
                <w:b/>
                <w:bCs/>
                <w:sz w:val="18"/>
                <w:szCs w:val="18"/>
                <w:vertAlign w:val="subscript"/>
              </w:rPr>
              <w:t>2</w:t>
            </w:r>
            <w:r w:rsidRPr="009F5E32">
              <w:rPr>
                <w:b/>
                <w:bCs/>
                <w:sz w:val="18"/>
                <w:szCs w:val="18"/>
              </w:rPr>
              <w:t xml:space="preserve">e </w:t>
            </w:r>
            <w:r w:rsidRPr="009F5E32">
              <w:rPr>
                <w:b/>
                <w:bCs/>
                <w:sz w:val="20"/>
                <w:vertAlign w:val="superscript"/>
              </w:rPr>
              <w:t>3</w:t>
            </w:r>
          </w:p>
        </w:tc>
      </w:tr>
      <w:tr w:rsidR="008E5848" w:rsidRPr="009F5E32" w14:paraId="0D9A56C4" w14:textId="77777777" w:rsidTr="008E5848">
        <w:trPr>
          <w:cantSplit/>
        </w:trPr>
        <w:tc>
          <w:tcPr>
            <w:tcW w:w="1638" w:type="dxa"/>
            <w:tcBorders>
              <w:top w:val="double" w:sz="4" w:space="0" w:color="auto"/>
            </w:tcBorders>
            <w:vAlign w:val="center"/>
          </w:tcPr>
          <w:p w14:paraId="689E72A1" w14:textId="451F7E07" w:rsidR="008E5848" w:rsidRPr="009F5E32" w:rsidRDefault="008060F7" w:rsidP="008E5848">
            <w:pPr>
              <w:jc w:val="center"/>
              <w:rPr>
                <w:sz w:val="18"/>
              </w:rPr>
            </w:pPr>
            <w:r>
              <w:rPr>
                <w:sz w:val="18"/>
              </w:rPr>
              <w:t>20.5</w:t>
            </w:r>
          </w:p>
        </w:tc>
        <w:tc>
          <w:tcPr>
            <w:tcW w:w="1092" w:type="dxa"/>
            <w:tcBorders>
              <w:top w:val="double" w:sz="4" w:space="0" w:color="auto"/>
            </w:tcBorders>
            <w:vAlign w:val="center"/>
          </w:tcPr>
          <w:p w14:paraId="21A084A0" w14:textId="206C4D54" w:rsidR="008E5848" w:rsidRPr="009F5E32" w:rsidRDefault="008E5848" w:rsidP="008E5848">
            <w:pPr>
              <w:jc w:val="center"/>
              <w:rPr>
                <w:sz w:val="18"/>
              </w:rPr>
            </w:pPr>
            <w:r w:rsidRPr="009F5E32">
              <w:rPr>
                <w:sz w:val="18"/>
              </w:rPr>
              <w:t>50</w:t>
            </w:r>
            <w:r w:rsidR="00523647">
              <w:rPr>
                <w:sz w:val="18"/>
              </w:rPr>
              <w:t>7</w:t>
            </w:r>
          </w:p>
        </w:tc>
        <w:tc>
          <w:tcPr>
            <w:tcW w:w="1091" w:type="dxa"/>
            <w:tcBorders>
              <w:top w:val="double" w:sz="4" w:space="0" w:color="auto"/>
            </w:tcBorders>
            <w:vAlign w:val="center"/>
          </w:tcPr>
          <w:p w14:paraId="260CA473" w14:textId="2E67BE40" w:rsidR="008E5848" w:rsidRPr="009F5E32" w:rsidRDefault="00523647" w:rsidP="008E5848">
            <w:pPr>
              <w:jc w:val="center"/>
              <w:rPr>
                <w:sz w:val="18"/>
              </w:rPr>
            </w:pPr>
            <w:r>
              <w:rPr>
                <w:sz w:val="18"/>
              </w:rPr>
              <w:t>99</w:t>
            </w:r>
          </w:p>
        </w:tc>
        <w:tc>
          <w:tcPr>
            <w:tcW w:w="1091" w:type="dxa"/>
            <w:tcBorders>
              <w:top w:val="double" w:sz="4" w:space="0" w:color="auto"/>
            </w:tcBorders>
            <w:vAlign w:val="center"/>
          </w:tcPr>
          <w:p w14:paraId="4E0D9DB4" w14:textId="659FB4EF" w:rsidR="008E5848" w:rsidRPr="009F5E32" w:rsidRDefault="008E5848" w:rsidP="008E5848">
            <w:pPr>
              <w:jc w:val="center"/>
              <w:rPr>
                <w:sz w:val="18"/>
              </w:rPr>
            </w:pPr>
            <w:r w:rsidRPr="009F5E32">
              <w:rPr>
                <w:sz w:val="18"/>
              </w:rPr>
              <w:t>&lt;40</w:t>
            </w:r>
          </w:p>
        </w:tc>
        <w:tc>
          <w:tcPr>
            <w:tcW w:w="1182" w:type="dxa"/>
            <w:tcBorders>
              <w:top w:val="double" w:sz="4" w:space="0" w:color="auto"/>
            </w:tcBorders>
            <w:vAlign w:val="center"/>
          </w:tcPr>
          <w:p w14:paraId="7B67D8A1" w14:textId="3E8947D0" w:rsidR="008E5848" w:rsidRPr="009F5E32" w:rsidRDefault="008E5848" w:rsidP="008E5848">
            <w:pPr>
              <w:jc w:val="center"/>
              <w:rPr>
                <w:sz w:val="18"/>
              </w:rPr>
            </w:pPr>
            <w:r w:rsidRPr="009F5E32">
              <w:rPr>
                <w:sz w:val="18"/>
              </w:rPr>
              <w:t>&lt;50</w:t>
            </w:r>
          </w:p>
        </w:tc>
        <w:tc>
          <w:tcPr>
            <w:tcW w:w="1364" w:type="dxa"/>
            <w:shd w:val="clear" w:color="auto" w:fill="auto"/>
            <w:vAlign w:val="center"/>
          </w:tcPr>
          <w:p w14:paraId="481388B5" w14:textId="1F1DB8B1" w:rsidR="008E5848" w:rsidRPr="009F5E32" w:rsidRDefault="008E5848" w:rsidP="008E5848">
            <w:pPr>
              <w:jc w:val="center"/>
              <w:rPr>
                <w:sz w:val="18"/>
              </w:rPr>
            </w:pPr>
            <w:r w:rsidRPr="009F5E32">
              <w:rPr>
                <w:sz w:val="18"/>
              </w:rPr>
              <w:t>&gt;10/25</w:t>
            </w:r>
          </w:p>
        </w:tc>
        <w:tc>
          <w:tcPr>
            <w:tcW w:w="1182" w:type="dxa"/>
            <w:tcBorders>
              <w:bottom w:val="double" w:sz="4" w:space="0" w:color="auto"/>
            </w:tcBorders>
            <w:vAlign w:val="center"/>
          </w:tcPr>
          <w:p w14:paraId="31C92B99" w14:textId="6025203F" w:rsidR="008E5848" w:rsidRPr="009F5E32" w:rsidRDefault="00A728F0" w:rsidP="008E5848">
            <w:pPr>
              <w:jc w:val="center"/>
              <w:rPr>
                <w:sz w:val="18"/>
              </w:rPr>
            </w:pPr>
            <w:r w:rsidRPr="00A728F0">
              <w:rPr>
                <w:rFonts w:cs="Arial"/>
                <w:sz w:val="16"/>
                <w:szCs w:val="16"/>
              </w:rPr>
              <w:t>274,634</w:t>
            </w:r>
          </w:p>
        </w:tc>
      </w:tr>
    </w:tbl>
    <w:p w14:paraId="74FF49EF" w14:textId="77777777" w:rsidR="005E20C5" w:rsidRPr="009F5E32" w:rsidRDefault="005E20C5" w:rsidP="00C910C6">
      <w:pPr>
        <w:ind w:left="0" w:firstLine="0"/>
        <w:rPr>
          <w:sz w:val="16"/>
          <w:szCs w:val="16"/>
        </w:rPr>
      </w:pPr>
    </w:p>
    <w:p w14:paraId="36CE80AF" w14:textId="0D24E2EA" w:rsidR="003B3654" w:rsidRPr="003B3654" w:rsidRDefault="00725147" w:rsidP="003B3654">
      <w:pPr>
        <w:tabs>
          <w:tab w:val="left" w:pos="900"/>
        </w:tabs>
        <w:ind w:left="900" w:hanging="180"/>
        <w:rPr>
          <w:sz w:val="16"/>
        </w:rPr>
      </w:pPr>
      <w:r w:rsidRPr="009F5E32">
        <w:rPr>
          <w:szCs w:val="22"/>
          <w:vertAlign w:val="superscript"/>
        </w:rPr>
        <w:t>1</w:t>
      </w:r>
      <w:r w:rsidRPr="009F5E32">
        <w:rPr>
          <w:sz w:val="16"/>
        </w:rPr>
        <w:tab/>
      </w:r>
      <w:r w:rsidR="003B3654" w:rsidRPr="003B3654">
        <w:rPr>
          <w:sz w:val="16"/>
        </w:rPr>
        <w:t>PM/PM</w:t>
      </w:r>
      <w:r w:rsidR="003B3654" w:rsidRPr="003B3654">
        <w:rPr>
          <w:sz w:val="16"/>
          <w:vertAlign w:val="subscript"/>
        </w:rPr>
        <w:t>10</w:t>
      </w:r>
      <w:r w:rsidR="003B3654" w:rsidRPr="003B3654">
        <w:rPr>
          <w:sz w:val="16"/>
        </w:rPr>
        <w:t>/PM</w:t>
      </w:r>
      <w:r w:rsidR="003B3654" w:rsidRPr="003B3654">
        <w:rPr>
          <w:sz w:val="16"/>
          <w:vertAlign w:val="subscript"/>
        </w:rPr>
        <w:t>2.5</w:t>
      </w:r>
      <w:r w:rsidR="003B3654" w:rsidRPr="003B3654">
        <w:rPr>
          <w:sz w:val="16"/>
        </w:rPr>
        <w:t xml:space="preserve"> - particulate matter and particulate matter of 10 micrometers and 2.5 micrometers in size or smaller, respectively. Unless otherwise specified, all PM is assumed to be PM</w:t>
      </w:r>
      <w:r w:rsidR="003B3654" w:rsidRPr="003B3654">
        <w:rPr>
          <w:sz w:val="16"/>
          <w:vertAlign w:val="subscript"/>
        </w:rPr>
        <w:t>2.5</w:t>
      </w:r>
      <w:r w:rsidR="003B3654" w:rsidRPr="003B3654">
        <w:rPr>
          <w:sz w:val="16"/>
        </w:rPr>
        <w:t>; SO</w:t>
      </w:r>
      <w:r w:rsidR="003B3654" w:rsidRPr="003B3654">
        <w:rPr>
          <w:sz w:val="16"/>
          <w:vertAlign w:val="subscript"/>
        </w:rPr>
        <w:t>2</w:t>
      </w:r>
      <w:r w:rsidR="003B3654" w:rsidRPr="003B3654">
        <w:rPr>
          <w:sz w:val="16"/>
        </w:rPr>
        <w:t xml:space="preserve"> - sulfur dioxide; NO</w:t>
      </w:r>
      <w:r w:rsidR="003B3654" w:rsidRPr="003B3654">
        <w:rPr>
          <w:sz w:val="16"/>
          <w:vertAlign w:val="subscript"/>
        </w:rPr>
        <w:t>x</w:t>
      </w:r>
      <w:r w:rsidR="003B3654" w:rsidRPr="003B3654">
        <w:rPr>
          <w:sz w:val="16"/>
        </w:rPr>
        <w:t xml:space="preserve"> - oxides of nitrogen measured as NO</w:t>
      </w:r>
      <w:r w:rsidR="003B3654" w:rsidRPr="003B3654">
        <w:rPr>
          <w:sz w:val="16"/>
          <w:vertAlign w:val="subscript"/>
        </w:rPr>
        <w:t>2</w:t>
      </w:r>
      <w:r w:rsidR="003B3654" w:rsidRPr="003B3654">
        <w:rPr>
          <w:sz w:val="16"/>
        </w:rPr>
        <w:t xml:space="preserve"> equivalent; CO - carbon monoxide; VOCs - volatile organic </w:t>
      </w:r>
      <w:r w:rsidR="00F96281" w:rsidRPr="003B3654">
        <w:rPr>
          <w:sz w:val="16"/>
        </w:rPr>
        <w:t>compounds; HAPs</w:t>
      </w:r>
      <w:r w:rsidR="003B3654" w:rsidRPr="003B3654">
        <w:rPr>
          <w:sz w:val="16"/>
        </w:rPr>
        <w:t xml:space="preserve"> - hazardous air pollutants as defined in §112 of the federal </w:t>
      </w:r>
      <w:r w:rsidR="003B3654" w:rsidRPr="003B3654">
        <w:rPr>
          <w:iCs/>
          <w:sz w:val="16"/>
        </w:rPr>
        <w:t>Clean Air Act</w:t>
      </w:r>
      <w:r w:rsidR="003B3654" w:rsidRPr="003B3654">
        <w:rPr>
          <w:sz w:val="16"/>
        </w:rPr>
        <w:t>.  Emissions are based on: (1) the maximum predicted gas generation rate from the Landfill Operation of  5,545 scfm (2) 50% methane in the LFG, (3)  75%-95% gas collection efficiency from the Landfill Operation  (4)  the worst case emissions scenario of the engines at full load (2,537.5 scfm) with the flares consuming the remaining (2,462.5 scfm) and (5) PM, NOx and CO based on manufacturer data, VOCs emissions based on NMOCs in LFG  that are 39% VOCs and 98% destruction of the collected NMOCs/VOCs and the estimated formation of acetaldehyde and formaldehyde in the CAT 3520C engines as a combustion by-product, SO</w:t>
      </w:r>
      <w:r w:rsidR="003B3654" w:rsidRPr="003B3654">
        <w:rPr>
          <w:sz w:val="16"/>
          <w:vertAlign w:val="subscript"/>
        </w:rPr>
        <w:t>2</w:t>
      </w:r>
      <w:r w:rsidR="003B3654" w:rsidRPr="003B3654">
        <w:rPr>
          <w:sz w:val="16"/>
        </w:rPr>
        <w:t xml:space="preserve"> based on TRS 400 ppm TRS, which is anticipated to be a conservative measure of TRS in LFG at the Facility.  </w:t>
      </w:r>
    </w:p>
    <w:p w14:paraId="05AFE76F" w14:textId="15D1CA88" w:rsidR="00BD33DF" w:rsidRPr="009F5E32" w:rsidRDefault="00725147" w:rsidP="00810BF8">
      <w:pPr>
        <w:ind w:left="900" w:hanging="180"/>
        <w:rPr>
          <w:sz w:val="18"/>
          <w:szCs w:val="18"/>
        </w:rPr>
      </w:pPr>
      <w:r w:rsidRPr="009F5E32">
        <w:rPr>
          <w:szCs w:val="22"/>
          <w:vertAlign w:val="superscript"/>
        </w:rPr>
        <w:lastRenderedPageBreak/>
        <w:t>2</w:t>
      </w:r>
      <w:r w:rsidR="00BD33DF" w:rsidRPr="009F5E32">
        <w:rPr>
          <w:szCs w:val="22"/>
          <w:vertAlign w:val="superscript"/>
        </w:rPr>
        <w:tab/>
      </w:r>
      <w:r w:rsidR="00D121A6" w:rsidRPr="009F5E32">
        <w:rPr>
          <w:sz w:val="18"/>
          <w:szCs w:val="18"/>
        </w:rPr>
        <w:t xml:space="preserve">Emissions of </w:t>
      </w:r>
      <w:r w:rsidR="00EA73A3" w:rsidRPr="009F5E32">
        <w:rPr>
          <w:sz w:val="18"/>
          <w:szCs w:val="18"/>
        </w:rPr>
        <w:t xml:space="preserve">an </w:t>
      </w:r>
      <w:r w:rsidR="00D121A6" w:rsidRPr="009F5E32">
        <w:rPr>
          <w:sz w:val="18"/>
          <w:szCs w:val="18"/>
        </w:rPr>
        <w:t>individual HAP</w:t>
      </w:r>
      <w:r w:rsidR="00EA73A3" w:rsidRPr="009F5E32">
        <w:rPr>
          <w:sz w:val="18"/>
          <w:szCs w:val="18"/>
        </w:rPr>
        <w:t xml:space="preserve"> (formaldehyde)</w:t>
      </w:r>
      <w:r w:rsidR="00D121A6" w:rsidRPr="009F5E32">
        <w:rPr>
          <w:sz w:val="18"/>
          <w:szCs w:val="18"/>
        </w:rPr>
        <w:t xml:space="preserve"> </w:t>
      </w:r>
      <w:r w:rsidR="00EA73A3" w:rsidRPr="009F5E32">
        <w:rPr>
          <w:sz w:val="18"/>
          <w:szCs w:val="18"/>
        </w:rPr>
        <w:t>are estimated to be</w:t>
      </w:r>
      <w:r w:rsidR="00D121A6" w:rsidRPr="009F5E32">
        <w:rPr>
          <w:sz w:val="18"/>
          <w:szCs w:val="18"/>
        </w:rPr>
        <w:t xml:space="preserve"> &gt;10 tpy and emissions of total HAPs combined </w:t>
      </w:r>
      <w:r w:rsidR="001325AC" w:rsidRPr="009F5E32">
        <w:rPr>
          <w:sz w:val="18"/>
          <w:szCs w:val="18"/>
        </w:rPr>
        <w:t xml:space="preserve">are estimated </w:t>
      </w:r>
      <w:r w:rsidR="00EA73A3" w:rsidRPr="009F5E32">
        <w:rPr>
          <w:sz w:val="18"/>
          <w:szCs w:val="18"/>
        </w:rPr>
        <w:t>greater than 25</w:t>
      </w:r>
      <w:r w:rsidR="00D121A6" w:rsidRPr="009F5E32">
        <w:rPr>
          <w:sz w:val="18"/>
          <w:szCs w:val="18"/>
        </w:rPr>
        <w:t xml:space="preserve"> tpy.  </w:t>
      </w:r>
    </w:p>
    <w:p w14:paraId="484E3ACE" w14:textId="223FE89C" w:rsidR="00BD33DF" w:rsidRPr="009F5E32" w:rsidRDefault="00164B7D" w:rsidP="00810BF8">
      <w:pPr>
        <w:tabs>
          <w:tab w:val="left" w:pos="-1440"/>
          <w:tab w:val="left" w:pos="900"/>
        </w:tabs>
        <w:ind w:left="900" w:hanging="180"/>
        <w:rPr>
          <w:sz w:val="18"/>
          <w:szCs w:val="18"/>
        </w:rPr>
      </w:pPr>
      <w:r w:rsidRPr="009F5E32">
        <w:rPr>
          <w:szCs w:val="22"/>
          <w:vertAlign w:val="superscript"/>
        </w:rPr>
        <w:t>3</w:t>
      </w:r>
      <w:r w:rsidR="00BD33DF" w:rsidRPr="009F5E32">
        <w:rPr>
          <w:sz w:val="18"/>
          <w:szCs w:val="18"/>
        </w:rPr>
        <w:tab/>
        <w:t>CO</w:t>
      </w:r>
      <w:r w:rsidR="00BD33DF" w:rsidRPr="009F5E32">
        <w:rPr>
          <w:sz w:val="18"/>
          <w:szCs w:val="18"/>
          <w:vertAlign w:val="subscript"/>
        </w:rPr>
        <w:t>2</w:t>
      </w:r>
      <w:r w:rsidR="00BD33DF" w:rsidRPr="009F5E32">
        <w:rPr>
          <w:sz w:val="18"/>
          <w:szCs w:val="18"/>
        </w:rPr>
        <w:t>e - Carbon dioxide equivalent emissions.  Includes where appropriate carbon dioxide (CO</w:t>
      </w:r>
      <w:r w:rsidR="00BD33DF" w:rsidRPr="009F5E32">
        <w:rPr>
          <w:sz w:val="18"/>
          <w:szCs w:val="18"/>
          <w:vertAlign w:val="subscript"/>
        </w:rPr>
        <w:t>2</w:t>
      </w:r>
      <w:r w:rsidR="00BD33DF" w:rsidRPr="009F5E32">
        <w:rPr>
          <w:sz w:val="18"/>
          <w:szCs w:val="18"/>
        </w:rPr>
        <w:t>), methane (CH</w:t>
      </w:r>
      <w:r w:rsidR="00BD33DF" w:rsidRPr="009F5E32">
        <w:rPr>
          <w:sz w:val="18"/>
          <w:szCs w:val="18"/>
          <w:vertAlign w:val="subscript"/>
        </w:rPr>
        <w:t>4</w:t>
      </w:r>
      <w:r w:rsidR="00BD33DF" w:rsidRPr="009F5E32">
        <w:rPr>
          <w:sz w:val="18"/>
          <w:szCs w:val="18"/>
        </w:rPr>
        <w:t>), nitrous oxide (N</w:t>
      </w:r>
      <w:r w:rsidR="00BD33DF" w:rsidRPr="009F5E32">
        <w:rPr>
          <w:sz w:val="18"/>
          <w:szCs w:val="18"/>
          <w:vertAlign w:val="subscript"/>
        </w:rPr>
        <w:t>2</w:t>
      </w:r>
      <w:r w:rsidR="00BD33DF" w:rsidRPr="009F5E32">
        <w:rPr>
          <w:sz w:val="18"/>
          <w:szCs w:val="18"/>
        </w:rPr>
        <w:t>O), sulfur hexafluoride (SF</w:t>
      </w:r>
      <w:r w:rsidR="00BD33DF" w:rsidRPr="009F5E32">
        <w:rPr>
          <w:sz w:val="18"/>
          <w:szCs w:val="18"/>
          <w:vertAlign w:val="subscript"/>
        </w:rPr>
        <w:t>6</w:t>
      </w:r>
      <w:r w:rsidR="00BD33DF" w:rsidRPr="009F5E32">
        <w:rPr>
          <w:sz w:val="18"/>
          <w:szCs w:val="18"/>
        </w:rPr>
        <w:t xml:space="preserve">), hydrofluorocarbons (HFCs), perfluorocarbons (PFCs), and other fluorinated greenhouse gases.  </w:t>
      </w:r>
      <w:r w:rsidR="00315C1F" w:rsidRPr="009F5E32">
        <w:rPr>
          <w:sz w:val="18"/>
          <w:szCs w:val="18"/>
        </w:rPr>
        <w:t xml:space="preserve">Emissions are from both biogenic and non-biogenic sources.  </w:t>
      </w:r>
      <w:r w:rsidR="00BD33DF" w:rsidRPr="009F5E32">
        <w:rPr>
          <w:sz w:val="18"/>
          <w:szCs w:val="18"/>
        </w:rPr>
        <w:t>See Section 3.3 for further details.</w:t>
      </w:r>
    </w:p>
    <w:p w14:paraId="03EC2156" w14:textId="77777777" w:rsidR="005E20C5" w:rsidRPr="009F5E32" w:rsidRDefault="005E20C5" w:rsidP="00C910C6">
      <w:pPr>
        <w:ind w:left="0" w:firstLine="0"/>
      </w:pPr>
    </w:p>
    <w:p w14:paraId="14C78CC1" w14:textId="77777777" w:rsidR="005E20C5" w:rsidRPr="009F5E32" w:rsidRDefault="005E20C5" w:rsidP="000B2C65">
      <w:pPr>
        <w:rPr>
          <w:b/>
        </w:rPr>
      </w:pPr>
      <w:r w:rsidRPr="009F5E32">
        <w:rPr>
          <w:b/>
        </w:rPr>
        <w:t>2.0</w:t>
      </w:r>
      <w:r w:rsidRPr="009F5E32">
        <w:rPr>
          <w:b/>
        </w:rPr>
        <w:tab/>
      </w:r>
      <w:r w:rsidRPr="009F5E32">
        <w:rPr>
          <w:b/>
        </w:rPr>
        <w:tab/>
        <w:t>FACILITY DESCRIPTION</w:t>
      </w:r>
    </w:p>
    <w:p w14:paraId="466F830A" w14:textId="77777777" w:rsidR="005E20C5" w:rsidRPr="009F5E32" w:rsidRDefault="005E20C5" w:rsidP="000B2C65"/>
    <w:p w14:paraId="3F02F6AC" w14:textId="77777777" w:rsidR="005E20C5" w:rsidRPr="009F5E32" w:rsidRDefault="005E20C5" w:rsidP="009545AA">
      <w:pPr>
        <w:ind w:left="0" w:firstLine="720"/>
        <w:outlineLvl w:val="0"/>
        <w:rPr>
          <w:b/>
        </w:rPr>
      </w:pPr>
      <w:proofErr w:type="gramStart"/>
      <w:r w:rsidRPr="009F5E32">
        <w:rPr>
          <w:b/>
        </w:rPr>
        <w:t>2.1  Facility</w:t>
      </w:r>
      <w:proofErr w:type="gramEnd"/>
      <w:r w:rsidRPr="009F5E32">
        <w:rPr>
          <w:b/>
        </w:rPr>
        <w:t xml:space="preserve"> Locations and Surrounding Area</w:t>
      </w:r>
    </w:p>
    <w:p w14:paraId="6FBE00F1" w14:textId="77777777" w:rsidR="005E20C5" w:rsidRPr="009F5E32" w:rsidRDefault="005E20C5" w:rsidP="008A46CD">
      <w:pPr>
        <w:ind w:left="0" w:firstLine="0"/>
        <w:outlineLvl w:val="0"/>
        <w:rPr>
          <w:b/>
        </w:rPr>
      </w:pPr>
    </w:p>
    <w:p w14:paraId="6737234C" w14:textId="2F119B67" w:rsidR="005E20C5" w:rsidRPr="009F5E32" w:rsidRDefault="005E20C5" w:rsidP="00D64727">
      <w:pPr>
        <w:ind w:left="720" w:firstLine="0"/>
      </w:pPr>
      <w:r w:rsidRPr="009F5E32">
        <w:t xml:space="preserve">The Facility is located approximately </w:t>
      </w:r>
      <w:r w:rsidR="00536FE8" w:rsidRPr="009F5E32">
        <w:t xml:space="preserve">1.8 miles south southwest </w:t>
      </w:r>
      <w:r w:rsidR="00076C3E" w:rsidRPr="009F5E32">
        <w:t>of downtown</w:t>
      </w:r>
      <w:r w:rsidRPr="009F5E32">
        <w:t xml:space="preserve"> </w:t>
      </w:r>
      <w:r w:rsidR="00536FE8" w:rsidRPr="009F5E32">
        <w:t>Newport</w:t>
      </w:r>
      <w:r w:rsidRPr="009F5E32">
        <w:t xml:space="preserve">.  The area surrounding the Facility is primarily </w:t>
      </w:r>
      <w:r w:rsidR="00076C3E" w:rsidRPr="009F5E32">
        <w:t xml:space="preserve">wooded areas </w:t>
      </w:r>
      <w:r w:rsidRPr="009F5E32">
        <w:t xml:space="preserve">and </w:t>
      </w:r>
      <w:r w:rsidR="00076C3E" w:rsidRPr="009F5E32">
        <w:t>cultivated fields.  The Newport State Airport is located approximately 1.5 miles south of the Facility, and the South Bay of Lake Memphremagog is located approximately 0.5 miles to the east.</w:t>
      </w:r>
      <w:r w:rsidRPr="009F5E32">
        <w:t xml:space="preserve">  </w:t>
      </w:r>
      <w:r w:rsidR="000734EB" w:rsidRPr="009F5E32">
        <w:t xml:space="preserve">The Facility is located approximately 200 km from the Lye Brook Wilderness area in Manchester, Vermont and approximately 97 km from the Great Gulf and Dry River Wilderness areas in New Hampshire.  </w:t>
      </w:r>
    </w:p>
    <w:p w14:paraId="4951FD4A" w14:textId="77777777" w:rsidR="005E20C5" w:rsidRPr="009F5E32" w:rsidRDefault="005E20C5" w:rsidP="008B5D8A">
      <w:pPr>
        <w:ind w:left="0" w:firstLine="0"/>
      </w:pPr>
    </w:p>
    <w:p w14:paraId="696EE230" w14:textId="77777777" w:rsidR="005E20C5" w:rsidRPr="009F5E32" w:rsidRDefault="005E20C5" w:rsidP="009545AA">
      <w:pPr>
        <w:ind w:left="1080"/>
        <w:outlineLvl w:val="0"/>
        <w:rPr>
          <w:b/>
        </w:rPr>
      </w:pPr>
      <w:proofErr w:type="gramStart"/>
      <w:r w:rsidRPr="009F5E32">
        <w:rPr>
          <w:b/>
        </w:rPr>
        <w:t>2.2</w:t>
      </w:r>
      <w:r w:rsidRPr="009F5E32">
        <w:rPr>
          <w:b/>
          <w:i/>
        </w:rPr>
        <w:t xml:space="preserve">  </w:t>
      </w:r>
      <w:r w:rsidRPr="009F5E32">
        <w:rPr>
          <w:b/>
        </w:rPr>
        <w:t>Facility</w:t>
      </w:r>
      <w:proofErr w:type="gramEnd"/>
      <w:r w:rsidRPr="009F5E32">
        <w:rPr>
          <w:b/>
        </w:rPr>
        <w:t xml:space="preserve"> Description</w:t>
      </w:r>
    </w:p>
    <w:p w14:paraId="5DE83143" w14:textId="77777777" w:rsidR="005E20C5" w:rsidRPr="009F5E32" w:rsidRDefault="005E20C5" w:rsidP="008A46CD">
      <w:pPr>
        <w:outlineLvl w:val="0"/>
        <w:rPr>
          <w:b/>
        </w:rPr>
      </w:pPr>
    </w:p>
    <w:p w14:paraId="6C164C44" w14:textId="0A893E65" w:rsidR="0066165D" w:rsidRPr="009F5E32" w:rsidRDefault="002753C7" w:rsidP="00BD144F">
      <w:pPr>
        <w:ind w:left="720" w:firstLine="0"/>
      </w:pPr>
      <w:r w:rsidRPr="009F5E32">
        <w:t xml:space="preserve">The </w:t>
      </w:r>
      <w:r w:rsidR="00C57823" w:rsidRPr="009F5E32">
        <w:t>Facility</w:t>
      </w:r>
      <w:r w:rsidRPr="009F5E32">
        <w:t xml:space="preserve"> consists of </w:t>
      </w:r>
      <w:r w:rsidR="008D3DCB" w:rsidRPr="009F5E32">
        <w:t>two different activities</w:t>
      </w:r>
      <w:r w:rsidR="00923591" w:rsidRPr="009F5E32">
        <w:t>,</w:t>
      </w:r>
      <w:r w:rsidR="008D3DCB" w:rsidRPr="009F5E32">
        <w:t xml:space="preserve"> </w:t>
      </w:r>
      <w:r w:rsidR="0059581A" w:rsidRPr="009F5E32">
        <w:t xml:space="preserve">the Landfill Operation and the LFGTE </w:t>
      </w:r>
      <w:r w:rsidR="000F5A3D" w:rsidRPr="009F5E32">
        <w:t>Operation, which</w:t>
      </w:r>
      <w:r w:rsidR="008D3DCB" w:rsidRPr="009F5E32">
        <w:t xml:space="preserve"> are operated by different parties</w:t>
      </w:r>
      <w:r w:rsidR="000F5A3D" w:rsidRPr="009F5E32">
        <w:t xml:space="preserve">.  </w:t>
      </w:r>
      <w:r w:rsidR="0059581A" w:rsidRPr="009F5E32">
        <w:t>Allowable emissions from the Facility are the aggregate of emissions from the Landfill Operation and the LFGTE Operation</w:t>
      </w:r>
      <w:r w:rsidR="00C4008E" w:rsidRPr="009F5E32">
        <w:t xml:space="preserve">.  </w:t>
      </w:r>
      <w:r w:rsidR="0066165D" w:rsidRPr="009F5E32">
        <w:t xml:space="preserve">The Landfill Operation is </w:t>
      </w:r>
      <w:r w:rsidR="00C4008E" w:rsidRPr="009F5E32">
        <w:t>classified</w:t>
      </w:r>
      <w:r w:rsidR="0066165D" w:rsidRPr="009F5E32">
        <w:t xml:space="preserve"> </w:t>
      </w:r>
      <w:r w:rsidR="00C4008E" w:rsidRPr="009F5E32">
        <w:t>by</w:t>
      </w:r>
      <w:r w:rsidR="0066165D" w:rsidRPr="009F5E32">
        <w:t xml:space="preserve"> the Standard Industrial Classification (“SIC”) </w:t>
      </w:r>
      <w:r w:rsidR="00C4008E" w:rsidRPr="009F5E32">
        <w:t xml:space="preserve">as </w:t>
      </w:r>
      <w:r w:rsidR="0066165D" w:rsidRPr="009F5E32">
        <w:t xml:space="preserve">4953(Refuse Systems, Solid Waste Landfills) and </w:t>
      </w:r>
      <w:r w:rsidR="00C4008E" w:rsidRPr="009F5E32">
        <w:t>by</w:t>
      </w:r>
      <w:r w:rsidR="0066165D" w:rsidRPr="009F5E32">
        <w:t xml:space="preserve"> the North American Industrial Classification System (NAICS) </w:t>
      </w:r>
      <w:r w:rsidR="00C4008E" w:rsidRPr="009F5E32">
        <w:t xml:space="preserve">as </w:t>
      </w:r>
      <w:r w:rsidR="0066165D" w:rsidRPr="009F5E32">
        <w:t xml:space="preserve">562212 (Solid Waste Landfills). </w:t>
      </w:r>
      <w:r w:rsidR="00DF1995" w:rsidRPr="009F5E32">
        <w:t xml:space="preserve"> </w:t>
      </w:r>
      <w:r w:rsidR="00C4008E" w:rsidRPr="009F5E32">
        <w:t>The LFGTE Operation is classified as SIC 4931 (Electric and Other Services Combined, Other Electric Power Generation), and NAICS 562212 (Solid Waste Landfills) and 221129 (Other Electric Power Generation).</w:t>
      </w:r>
    </w:p>
    <w:p w14:paraId="1E2CC868" w14:textId="2A4085E4" w:rsidR="00315C1F" w:rsidRPr="009F5E32" w:rsidRDefault="00315C1F" w:rsidP="0066165D">
      <w:pPr>
        <w:ind w:left="0" w:firstLine="0"/>
      </w:pPr>
    </w:p>
    <w:p w14:paraId="3500D940" w14:textId="72D0632B" w:rsidR="001971BA" w:rsidRPr="009F5E32" w:rsidRDefault="001971BA" w:rsidP="001971BA">
      <w:pPr>
        <w:ind w:left="720" w:firstLine="0"/>
      </w:pPr>
      <w:r w:rsidRPr="009F5E32">
        <w:t xml:space="preserve">The Landfill Operation and the LFGTE Operation </w:t>
      </w:r>
      <w:proofErr w:type="gramStart"/>
      <w:r w:rsidRPr="009F5E32">
        <w:t>are considered to be</w:t>
      </w:r>
      <w:proofErr w:type="gramEnd"/>
      <w:r w:rsidRPr="009F5E32">
        <w:t xml:space="preserve"> a single source of air </w:t>
      </w:r>
      <w:r w:rsidR="0055609D" w:rsidRPr="009F5E32">
        <w:t>emissions and</w:t>
      </w:r>
      <w:r w:rsidRPr="009F5E32">
        <w:t xml:space="preserve"> </w:t>
      </w:r>
      <w:r w:rsidRPr="009F5E32">
        <w:rPr>
          <w:bCs/>
        </w:rPr>
        <w:t>are collectively</w:t>
      </w:r>
      <w:r w:rsidRPr="009F5E32">
        <w:t xml:space="preserve"> referred to herein as "Facility".  Allowable emissions from the Facility are the aggregate of emissions from the Landfill Operation and the LFGTE Operation</w:t>
      </w:r>
      <w:r w:rsidR="00923591" w:rsidRPr="009F5E32">
        <w:t xml:space="preserve">. </w:t>
      </w:r>
      <w:r w:rsidR="0055609D">
        <w:t xml:space="preserve"> </w:t>
      </w:r>
      <w:r w:rsidR="00923591" w:rsidRPr="009F5E32">
        <w:t xml:space="preserve">However, two separate permits have been prepared for this single Facility, </w:t>
      </w:r>
      <w:r w:rsidRPr="009F5E32">
        <w:t xml:space="preserve">to better delineate </w:t>
      </w:r>
      <w:r w:rsidR="00B2196C" w:rsidRPr="009F5E32">
        <w:t xml:space="preserve">the </w:t>
      </w:r>
      <w:r w:rsidR="00546623" w:rsidRPr="009F5E32">
        <w:t xml:space="preserve">permit conditions and </w:t>
      </w:r>
      <w:r w:rsidRPr="009F5E32">
        <w:t>responsibility</w:t>
      </w:r>
      <w:r w:rsidR="00546623" w:rsidRPr="009F5E32">
        <w:t xml:space="preserve"> for compliance</w:t>
      </w:r>
      <w:r w:rsidRPr="009F5E32">
        <w:t xml:space="preserve"> between the two </w:t>
      </w:r>
      <w:r w:rsidR="00923591" w:rsidRPr="009F5E32">
        <w:t xml:space="preserve">distinctly different </w:t>
      </w:r>
      <w:r w:rsidRPr="009F5E32">
        <w:t>operations at the Facility</w:t>
      </w:r>
      <w:r w:rsidR="00923591" w:rsidRPr="009F5E32">
        <w:t xml:space="preserve">.  </w:t>
      </w:r>
    </w:p>
    <w:p w14:paraId="0E5ED73B" w14:textId="77777777" w:rsidR="001971BA" w:rsidRPr="009F5E32" w:rsidRDefault="001971BA" w:rsidP="001971BA">
      <w:pPr>
        <w:ind w:left="0" w:firstLine="0"/>
      </w:pPr>
    </w:p>
    <w:p w14:paraId="71FCC900" w14:textId="77777777" w:rsidR="0053079D" w:rsidRPr="009F5E32" w:rsidRDefault="00C4008E" w:rsidP="00BD144F">
      <w:pPr>
        <w:ind w:left="720" w:firstLine="0"/>
      </w:pPr>
      <w:r w:rsidRPr="009F5E32">
        <w:t>NEWSVT is responsible</w:t>
      </w:r>
      <w:r w:rsidR="00FC787F" w:rsidRPr="009F5E32">
        <w:t xml:space="preserve"> under </w:t>
      </w:r>
      <w:r w:rsidR="00FC787F" w:rsidRPr="009F5E32">
        <w:rPr>
          <w:vertAlign w:val="superscript"/>
        </w:rPr>
        <w:t>#</w:t>
      </w:r>
      <w:r w:rsidR="00FC787F" w:rsidRPr="009F5E32">
        <w:t>AOP-</w:t>
      </w:r>
      <w:r w:rsidR="00923591" w:rsidRPr="009F5E32">
        <w:t>17</w:t>
      </w:r>
      <w:r w:rsidR="00FC787F" w:rsidRPr="009F5E32">
        <w:t>-</w:t>
      </w:r>
      <w:r w:rsidR="00923591" w:rsidRPr="009F5E32">
        <w:t xml:space="preserve">018 </w:t>
      </w:r>
      <w:r w:rsidRPr="009F5E32">
        <w:t xml:space="preserve">for the Landfill Operation, which consists of the original unlined landfill, the currently operating landfill, </w:t>
      </w:r>
      <w:r w:rsidR="00923591" w:rsidRPr="009F5E32">
        <w:t xml:space="preserve">the proposed Phase VI expansion of the landfill area, </w:t>
      </w:r>
      <w:r w:rsidRPr="009F5E32">
        <w:t xml:space="preserve">the LFG collection system, and flares operated by NEWSVT that </w:t>
      </w:r>
      <w:r w:rsidR="0065314E" w:rsidRPr="009F5E32">
        <w:t xml:space="preserve">are </w:t>
      </w:r>
      <w:r w:rsidRPr="009F5E32">
        <w:t xml:space="preserve">used to combust LFG without energy recovery. </w:t>
      </w:r>
      <w:r w:rsidR="00F459D9" w:rsidRPr="009F5E32">
        <w:t xml:space="preserve"> </w:t>
      </w:r>
    </w:p>
    <w:p w14:paraId="7383C042" w14:textId="77777777" w:rsidR="0053079D" w:rsidRPr="009F5E32" w:rsidRDefault="0053079D" w:rsidP="0053079D">
      <w:pPr>
        <w:ind w:left="0" w:firstLine="0"/>
      </w:pPr>
    </w:p>
    <w:p w14:paraId="506CF55F" w14:textId="5CCD42D2" w:rsidR="00627605" w:rsidRPr="009F5E32" w:rsidRDefault="00802C46" w:rsidP="00FC787F">
      <w:pPr>
        <w:ind w:left="720" w:firstLine="0"/>
      </w:pPr>
      <w:r w:rsidRPr="009F5E32">
        <w:t xml:space="preserve">The area of the original landfill that operated from approximately 1970 until 1992 when it was closed and </w:t>
      </w:r>
      <w:r w:rsidR="003C707C" w:rsidRPr="009F5E32">
        <w:t>capped</w:t>
      </w:r>
      <w:r w:rsidRPr="009F5E32">
        <w:t xml:space="preserve"> is </w:t>
      </w:r>
      <w:r w:rsidR="0065314E" w:rsidRPr="009F5E32">
        <w:t xml:space="preserve">also </w:t>
      </w:r>
      <w:r w:rsidRPr="009F5E32">
        <w:t xml:space="preserve">referred to </w:t>
      </w:r>
      <w:r w:rsidR="002753C7" w:rsidRPr="009F5E32">
        <w:t>as Areas A &amp; B</w:t>
      </w:r>
      <w:r w:rsidR="00BF0D75" w:rsidRPr="009F5E32">
        <w:t>.</w:t>
      </w:r>
      <w:r w:rsidR="002753C7" w:rsidRPr="009F5E32">
        <w:t xml:space="preserve">  </w:t>
      </w:r>
      <w:r w:rsidR="00DA4953" w:rsidRPr="009F5E32">
        <w:t>LFG</w:t>
      </w:r>
      <w:r w:rsidR="00362092" w:rsidRPr="009F5E32">
        <w:t xml:space="preserve"> from Areas A &amp; B is collected using a passive gas collection </w:t>
      </w:r>
      <w:r w:rsidR="00B85E83" w:rsidRPr="009F5E32">
        <w:t>system and</w:t>
      </w:r>
      <w:r w:rsidR="00362092" w:rsidRPr="009F5E32">
        <w:t xml:space="preserve"> </w:t>
      </w:r>
      <w:r w:rsidR="00B85E83">
        <w:t xml:space="preserve">the collected LFG is </w:t>
      </w:r>
      <w:r w:rsidR="00362092" w:rsidRPr="009F5E32">
        <w:t xml:space="preserve">combusted in two gas flares </w:t>
      </w:r>
      <w:r w:rsidR="00B85E83">
        <w:t>that are only connected</w:t>
      </w:r>
      <w:r w:rsidR="00B85E83" w:rsidRPr="009F5E32">
        <w:t xml:space="preserve"> </w:t>
      </w:r>
      <w:r w:rsidR="00362092" w:rsidRPr="009F5E32">
        <w:t>to the passive gas collection system.</w:t>
      </w:r>
      <w:r w:rsidR="00CA1E64" w:rsidRPr="009F5E32">
        <w:t xml:space="preserve">  </w:t>
      </w:r>
      <w:r w:rsidR="002753C7" w:rsidRPr="009F5E32">
        <w:t xml:space="preserve">In 1993 a new, lined landfill began operation near the original landfill and consists of Phases I, II, III and IV.  Phase III reached its capacity and Phase IV began acceptance of waste in 2006.  </w:t>
      </w:r>
      <w:r w:rsidR="00A15F2C" w:rsidRPr="009F5E32">
        <w:lastRenderedPageBreak/>
        <w:t>NEWSVT</w:t>
      </w:r>
      <w:r w:rsidR="002753C7" w:rsidRPr="009F5E32">
        <w:t xml:space="preserve"> is required to actively collect the </w:t>
      </w:r>
      <w:r w:rsidR="00EE321D" w:rsidRPr="009F5E32">
        <w:t>LFG</w:t>
      </w:r>
      <w:r w:rsidR="002753C7" w:rsidRPr="009F5E32">
        <w:t xml:space="preserve"> that is generated from the decomposition of wastes within the </w:t>
      </w:r>
      <w:r w:rsidR="00362092" w:rsidRPr="009F5E32">
        <w:t xml:space="preserve">lined </w:t>
      </w:r>
      <w:r w:rsidR="002753C7" w:rsidRPr="009F5E32">
        <w:t xml:space="preserve">landfill areas and route it to a combustion device to thoroughly destroy NMOCs contained in the </w:t>
      </w:r>
      <w:r w:rsidR="00EE321D" w:rsidRPr="009F5E32">
        <w:t>LFG</w:t>
      </w:r>
      <w:r w:rsidR="002753C7" w:rsidRPr="009F5E32">
        <w:t xml:space="preserve">.  The </w:t>
      </w:r>
      <w:r w:rsidR="00FC787F" w:rsidRPr="009F5E32">
        <w:t xml:space="preserve">LFG </w:t>
      </w:r>
      <w:r w:rsidR="002753C7" w:rsidRPr="009F5E32">
        <w:t xml:space="preserve">collection system consists of a series of gas collection points including wells drilled into the landfill as well as horizontal collection trenches and leachate cleanout piping, all connected by piping to a blower that maintains a negative pressure in the lines to </w:t>
      </w:r>
      <w:r w:rsidR="00FC787F" w:rsidRPr="009F5E32">
        <w:t>extract LFG</w:t>
      </w:r>
      <w:r w:rsidR="002753C7" w:rsidRPr="009F5E32">
        <w:t xml:space="preserve"> from the landfill.</w:t>
      </w:r>
      <w:r w:rsidR="00C71FA0" w:rsidRPr="009F5E32">
        <w:t xml:space="preserve">  A demister knock-out vessel is installed to remove moisture droplets from the gas is installed in the collection lines before </w:t>
      </w:r>
      <w:r w:rsidR="00923591" w:rsidRPr="009F5E32">
        <w:t>these lines</w:t>
      </w:r>
      <w:r w:rsidR="00C71FA0" w:rsidRPr="009F5E32">
        <w:t xml:space="preserve"> enter the blower</w:t>
      </w:r>
      <w:r w:rsidR="008E3ACC" w:rsidRPr="009F5E32">
        <w:t xml:space="preserve">.  </w:t>
      </w:r>
    </w:p>
    <w:p w14:paraId="5DE17AFE" w14:textId="77777777" w:rsidR="00627605" w:rsidRPr="009F5E32" w:rsidRDefault="00627605" w:rsidP="00627605">
      <w:pPr>
        <w:ind w:left="0" w:firstLine="0"/>
      </w:pPr>
    </w:p>
    <w:p w14:paraId="16D0E363" w14:textId="2DCD2853" w:rsidR="00FC787F" w:rsidRPr="009F5E32" w:rsidRDefault="00627605" w:rsidP="00FC787F">
      <w:pPr>
        <w:ind w:left="720" w:firstLine="0"/>
      </w:pPr>
      <w:r w:rsidRPr="009F5E32">
        <w:t xml:space="preserve">The collected </w:t>
      </w:r>
      <w:r w:rsidR="00FC787F" w:rsidRPr="009F5E32">
        <w:t xml:space="preserve">LFG is sold to CCEC, who treats the LFG </w:t>
      </w:r>
      <w:r w:rsidR="00546623" w:rsidRPr="009F5E32">
        <w:t>with a primary treatment system using filtration, dewatering and compression.  This dewatered, filtered and compress</w:t>
      </w:r>
      <w:r w:rsidR="00F459D9" w:rsidRPr="009F5E32">
        <w:t>ed</w:t>
      </w:r>
      <w:r w:rsidR="00546623" w:rsidRPr="009F5E32">
        <w:t xml:space="preserve"> LFG is then treated in the</w:t>
      </w:r>
      <w:r w:rsidR="00CD25D8" w:rsidRPr="009F5E32">
        <w:t xml:space="preserve"> siloxane removal system (SRS)</w:t>
      </w:r>
      <w:r w:rsidR="00546623" w:rsidRPr="009F5E32">
        <w:t xml:space="preserve"> </w:t>
      </w:r>
      <w:r w:rsidR="00FC787F" w:rsidRPr="009F5E32">
        <w:t xml:space="preserve">to remove </w:t>
      </w:r>
      <w:r w:rsidR="00CD25D8" w:rsidRPr="009F5E32">
        <w:t xml:space="preserve">siloxanes contained in the LFG </w:t>
      </w:r>
      <w:r w:rsidR="00FC787F" w:rsidRPr="009F5E32">
        <w:t xml:space="preserve">before using the treated LFG as a gaseous fuel in the internal combustion engines at the </w:t>
      </w:r>
      <w:r w:rsidR="00FC787F" w:rsidRPr="009F5E32">
        <w:rPr>
          <w:bCs/>
        </w:rPr>
        <w:t>LFGTE</w:t>
      </w:r>
      <w:r w:rsidR="00FC787F" w:rsidRPr="009F5E32">
        <w:t xml:space="preserve"> Operation.  Any LFG collected by the Landfill Operation that is not combusted in the engines at the LFGTE Operation,</w:t>
      </w:r>
      <w:r w:rsidRPr="009F5E32">
        <w:t xml:space="preserve"> such as LFG generation excess to the needs of the engines or </w:t>
      </w:r>
      <w:r w:rsidR="0053079D" w:rsidRPr="009F5E32">
        <w:t xml:space="preserve">LFG </w:t>
      </w:r>
      <w:r w:rsidRPr="009F5E32">
        <w:t>generated during periods the engines are off-line</w:t>
      </w:r>
      <w:r w:rsidR="00FC787F" w:rsidRPr="009F5E32">
        <w:t xml:space="preserve"> is routed to on-site flares</w:t>
      </w:r>
      <w:r w:rsidRPr="009F5E32">
        <w:t xml:space="preserve"> operated by NEWSVT as part of the Landfill Operation</w:t>
      </w:r>
      <w:r w:rsidR="00FC787F" w:rsidRPr="009F5E32">
        <w:t xml:space="preserve"> to ensure continued complete combustion of the </w:t>
      </w:r>
      <w:r w:rsidRPr="009F5E32">
        <w:t>LFG</w:t>
      </w:r>
      <w:r w:rsidR="00FC787F" w:rsidRPr="009F5E32">
        <w:t xml:space="preserve">.  </w:t>
      </w:r>
    </w:p>
    <w:p w14:paraId="65995334" w14:textId="77777777" w:rsidR="00DE6DED" w:rsidRPr="009F5E32" w:rsidRDefault="00DE6DED" w:rsidP="00DE6DED">
      <w:pPr>
        <w:autoSpaceDE/>
        <w:autoSpaceDN/>
        <w:adjustRightInd/>
        <w:ind w:left="0" w:firstLine="0"/>
        <w:rPr>
          <w:snapToGrid w:val="0"/>
        </w:rPr>
      </w:pPr>
    </w:p>
    <w:p w14:paraId="4619CE94" w14:textId="1C82DD7F" w:rsidR="00DE6DED" w:rsidRPr="009F5E32" w:rsidRDefault="00DE6DED" w:rsidP="00DE6DED">
      <w:pPr>
        <w:autoSpaceDE/>
        <w:autoSpaceDN/>
        <w:adjustRightInd/>
        <w:ind w:left="720" w:firstLine="0"/>
        <w:rPr>
          <w:snapToGrid w:val="0"/>
        </w:rPr>
      </w:pPr>
      <w:r w:rsidRPr="009F5E32">
        <w:rPr>
          <w:snapToGrid w:val="0"/>
        </w:rPr>
        <w:t xml:space="preserve">NEWSVT has </w:t>
      </w:r>
      <w:bookmarkStart w:id="1" w:name="_Hlk492545070"/>
      <w:r w:rsidRPr="009F5E32">
        <w:rPr>
          <w:snapToGrid w:val="0"/>
        </w:rPr>
        <w:t xml:space="preserve">proposed to construct a Phase VI expansion to the Landfill Operation, which </w:t>
      </w:r>
      <w:bookmarkEnd w:id="1"/>
      <w:r w:rsidR="003B3654" w:rsidRPr="003B3654">
        <w:rPr>
          <w:snapToGrid w:val="0"/>
        </w:rPr>
        <w:t xml:space="preserve">NEWSVT has proposed to construct a Phase VI expansion to the Landfill Operation, which will increase landfill capacity by approximately 13,068,000 cubic </w:t>
      </w:r>
      <w:r w:rsidR="00C77780" w:rsidRPr="003B3654">
        <w:rPr>
          <w:snapToGrid w:val="0"/>
        </w:rPr>
        <w:t>yards and</w:t>
      </w:r>
      <w:r w:rsidR="003B3654" w:rsidRPr="003B3654">
        <w:rPr>
          <w:snapToGrid w:val="0"/>
        </w:rPr>
        <w:t xml:space="preserve"> increase the surface area of the Landfill Operation by 51.2 acres.  The composition of waste in the landfill is anticipated to change with the full implementation of Act </w:t>
      </w:r>
      <w:r w:rsidR="00237BD5">
        <w:rPr>
          <w:snapToGrid w:val="0"/>
        </w:rPr>
        <w:t>1</w:t>
      </w:r>
      <w:r w:rsidR="003B3654" w:rsidRPr="003B3654">
        <w:rPr>
          <w:snapToGrid w:val="0"/>
        </w:rPr>
        <w:t xml:space="preserve">48, which mandates the removal of </w:t>
      </w:r>
      <w:proofErr w:type="gramStart"/>
      <w:r w:rsidR="003B3654" w:rsidRPr="003B3654">
        <w:rPr>
          <w:snapToGrid w:val="0"/>
        </w:rPr>
        <w:t>the majority of</w:t>
      </w:r>
      <w:proofErr w:type="gramEnd"/>
      <w:r w:rsidR="003B3654" w:rsidRPr="003B3654">
        <w:rPr>
          <w:snapToGrid w:val="0"/>
        </w:rPr>
        <w:t xml:space="preserve"> compostable waste from material being landfilled by 2020.  This change is anticipated to reduce </w:t>
      </w:r>
      <w:bookmarkStart w:id="2" w:name="_Hlk500492490"/>
      <w:r w:rsidR="003B3654" w:rsidRPr="003B3654">
        <w:rPr>
          <w:snapToGrid w:val="0"/>
        </w:rPr>
        <w:t>the LFG generation rate</w:t>
      </w:r>
      <w:bookmarkEnd w:id="2"/>
      <w:r w:rsidR="003B3654" w:rsidRPr="003B3654">
        <w:rPr>
          <w:snapToGrid w:val="0"/>
        </w:rPr>
        <w:t xml:space="preserve"> of the landfill when compared to historic generation rates.  Given this, even though the landfill will be larger, its annual generation of LFG is not anticipated to increase even though the </w:t>
      </w:r>
      <w:proofErr w:type="gramStart"/>
      <w:r w:rsidR="003B3654" w:rsidRPr="003B3654">
        <w:rPr>
          <w:snapToGrid w:val="0"/>
        </w:rPr>
        <w:t>period of time</w:t>
      </w:r>
      <w:proofErr w:type="gramEnd"/>
      <w:r w:rsidR="003B3654" w:rsidRPr="003B3654">
        <w:rPr>
          <w:snapToGrid w:val="0"/>
        </w:rPr>
        <w:t xml:space="preserve"> during which the landfill will generate LFG will increase.  Currently, the landfill produces approximately 2,500 standard cubic feet per minute (scfm) of LFG.  Emissions estimates in this are the same as the previous permit, which were based on up to 5,545 standard cubic feet per minute (scfm), with 5,000 scfm of this LFG being captured and combusted</w:t>
      </w:r>
    </w:p>
    <w:p w14:paraId="6716D1B0" w14:textId="77777777" w:rsidR="00DE6DED" w:rsidRPr="009F5E32" w:rsidRDefault="00DE6DED" w:rsidP="00DE6DED">
      <w:pPr>
        <w:autoSpaceDE/>
        <w:autoSpaceDN/>
        <w:adjustRightInd/>
        <w:ind w:left="0" w:firstLine="0"/>
        <w:rPr>
          <w:snapToGrid w:val="0"/>
        </w:rPr>
      </w:pPr>
    </w:p>
    <w:p w14:paraId="7177498A" w14:textId="47E85B70" w:rsidR="00DE6DED" w:rsidRPr="009F5E32" w:rsidRDefault="00DE6DED" w:rsidP="00DE6DED">
      <w:pPr>
        <w:autoSpaceDE/>
        <w:autoSpaceDN/>
        <w:adjustRightInd/>
        <w:ind w:left="720" w:firstLine="0"/>
        <w:rPr>
          <w:snapToGrid w:val="0"/>
        </w:rPr>
      </w:pPr>
      <w:r w:rsidRPr="009F5E32">
        <w:rPr>
          <w:snapToGrid w:val="0"/>
        </w:rPr>
        <w:t xml:space="preserve">NEWSVT </w:t>
      </w:r>
      <w:r w:rsidR="00BC3CAD" w:rsidRPr="009F5E32">
        <w:rPr>
          <w:snapToGrid w:val="0"/>
        </w:rPr>
        <w:t>had previously</w:t>
      </w:r>
      <w:r w:rsidRPr="009F5E32">
        <w:rPr>
          <w:snapToGrid w:val="0"/>
        </w:rPr>
        <w:t xml:space="preserve"> proposed a Phase V expansion to excavate and relocate the unlined landfill Areas A &amp; B, placing the approximately 146,000 Mg of excavated refuse into the lined landfill area.  The proposed Phase V landfill expansion would </w:t>
      </w:r>
      <w:proofErr w:type="gramStart"/>
      <w:r w:rsidRPr="009F5E32">
        <w:rPr>
          <w:snapToGrid w:val="0"/>
        </w:rPr>
        <w:t>be located in</w:t>
      </w:r>
      <w:proofErr w:type="gramEnd"/>
      <w:r w:rsidRPr="009F5E32">
        <w:rPr>
          <w:snapToGrid w:val="0"/>
        </w:rPr>
        <w:t xml:space="preserve"> the 11-acre footprint of the former Areas A &amp; </w:t>
      </w:r>
      <w:r w:rsidR="00BA5DB9" w:rsidRPr="009F5E32">
        <w:rPr>
          <w:snapToGrid w:val="0"/>
        </w:rPr>
        <w:t>B and</w:t>
      </w:r>
      <w:r w:rsidRPr="009F5E32">
        <w:rPr>
          <w:snapToGrid w:val="0"/>
        </w:rPr>
        <w:t xml:space="preserve"> would have a capacity of approximately </w:t>
      </w:r>
      <w:r w:rsidR="00067B07" w:rsidRPr="00067B07">
        <w:rPr>
          <w:snapToGrid w:val="0"/>
        </w:rPr>
        <w:t xml:space="preserve">1,854,738 </w:t>
      </w:r>
      <w:r w:rsidRPr="009F5E32">
        <w:rPr>
          <w:snapToGrid w:val="0"/>
        </w:rPr>
        <w:t xml:space="preserve">Mg of refuse.  Approval to relocate the refuse in Areas A &amp; B and the Phase V expansion is contingent on NEWSVT obtaining all necessary permits, approvals and/or variances.  At a minimum, this would require a Solid Waste Certification approval from the Agency of Natural Resources, Department of Environmental Conservation, Waste Management and Prevention Division.  The potential for an increase in LFG generation from the Phase V expansion was addressed in emissions estimates previously prepared for </w:t>
      </w:r>
      <w:r w:rsidRPr="009F5E32">
        <w:rPr>
          <w:snapToGrid w:val="0"/>
          <w:vertAlign w:val="superscript"/>
        </w:rPr>
        <w:t>#</w:t>
      </w:r>
      <w:r w:rsidRPr="009F5E32">
        <w:rPr>
          <w:snapToGrid w:val="0"/>
        </w:rPr>
        <w:t xml:space="preserve">AOP-14-034 and </w:t>
      </w:r>
      <w:r w:rsidRPr="009F5E32">
        <w:rPr>
          <w:snapToGrid w:val="0"/>
          <w:vertAlign w:val="superscript"/>
        </w:rPr>
        <w:t>#</w:t>
      </w:r>
      <w:r w:rsidRPr="009F5E32">
        <w:rPr>
          <w:snapToGrid w:val="0"/>
        </w:rPr>
        <w:t xml:space="preserve">AOP-15-032.  </w:t>
      </w:r>
    </w:p>
    <w:p w14:paraId="084D35F6" w14:textId="77777777" w:rsidR="00DE6DED" w:rsidRPr="009F5E32" w:rsidRDefault="00DE6DED" w:rsidP="00DE6DED">
      <w:pPr>
        <w:autoSpaceDE/>
        <w:autoSpaceDN/>
        <w:adjustRightInd/>
        <w:ind w:left="0" w:firstLine="0"/>
        <w:rPr>
          <w:snapToGrid w:val="0"/>
        </w:rPr>
      </w:pPr>
    </w:p>
    <w:p w14:paraId="54A612E9" w14:textId="734AA82C" w:rsidR="00C4008E" w:rsidRPr="009F5E32" w:rsidRDefault="005B7698" w:rsidP="00C4008E">
      <w:pPr>
        <w:ind w:left="720" w:firstLine="0"/>
      </w:pPr>
      <w:r w:rsidRPr="009F5E32">
        <w:t xml:space="preserve">The LFGTE Operation was originally installed under the authority of </w:t>
      </w:r>
      <w:r w:rsidRPr="009F5E32">
        <w:rPr>
          <w:vertAlign w:val="superscript"/>
        </w:rPr>
        <w:t>#</w:t>
      </w:r>
      <w:r w:rsidRPr="009F5E32">
        <w:t xml:space="preserve">AOP-03-044, which was issued to NEWSVT, and included approval for four (4) LFG-fired internal combustion engines.  An additional LFG-fired internal combustion engine was installed under the authority of </w:t>
      </w:r>
      <w:r w:rsidRPr="009F5E32">
        <w:rPr>
          <w:vertAlign w:val="superscript"/>
        </w:rPr>
        <w:t>#</w:t>
      </w:r>
      <w:r w:rsidRPr="009F5E32">
        <w:t>AOP-06-060, which was also issued to NEWSVT</w:t>
      </w:r>
      <w:r w:rsidR="0079492C" w:rsidRPr="009F5E32">
        <w:t xml:space="preserve">.  </w:t>
      </w:r>
      <w:proofErr w:type="gramStart"/>
      <w:r w:rsidR="004F5E4D" w:rsidRPr="009F5E32">
        <w:t>Subsequent to</w:t>
      </w:r>
      <w:proofErr w:type="gramEnd"/>
      <w:r w:rsidR="004F5E4D" w:rsidRPr="009F5E32">
        <w:t xml:space="preserve"> the </w:t>
      </w:r>
      <w:r w:rsidR="004F5E4D" w:rsidRPr="009F5E32">
        <w:lastRenderedPageBreak/>
        <w:t xml:space="preserve">issuance of these permits, the Agency has determined that </w:t>
      </w:r>
      <w:r w:rsidR="00C4008E" w:rsidRPr="009F5E32">
        <w:t>CCEC is responsible for the LFGTE Operation</w:t>
      </w:r>
      <w:r w:rsidR="00627605" w:rsidRPr="009F5E32">
        <w:t>, and</w:t>
      </w:r>
      <w:r w:rsidR="00FC787F" w:rsidRPr="009F5E32">
        <w:t xml:space="preserve"> </w:t>
      </w:r>
      <w:r w:rsidR="001353F8" w:rsidRPr="009F5E32">
        <w:t>a separate permit (</w:t>
      </w:r>
      <w:r w:rsidR="00FC787F" w:rsidRPr="009F5E32">
        <w:rPr>
          <w:vertAlign w:val="superscript"/>
        </w:rPr>
        <w:t>#</w:t>
      </w:r>
      <w:r w:rsidR="00FC787F" w:rsidRPr="009F5E32">
        <w:t>AOP-15-</w:t>
      </w:r>
      <w:r w:rsidR="00D03654" w:rsidRPr="009F5E32">
        <w:t>032</w:t>
      </w:r>
      <w:r w:rsidR="001353F8" w:rsidRPr="009F5E32">
        <w:t>)</w:t>
      </w:r>
      <w:r w:rsidR="00FC787F" w:rsidRPr="009F5E32">
        <w:t xml:space="preserve"> </w:t>
      </w:r>
      <w:r w:rsidR="00CD25D8" w:rsidRPr="009F5E32">
        <w:t>was</w:t>
      </w:r>
      <w:r w:rsidR="00FC787F" w:rsidRPr="009F5E32">
        <w:t xml:space="preserve"> issued to CCEC to address their responsibilities for the LFGTE Operation.  </w:t>
      </w:r>
      <w:r w:rsidR="004F5E4D" w:rsidRPr="009F5E32">
        <w:t xml:space="preserve">This separate permit for CCEC will be updated as </w:t>
      </w:r>
      <w:r w:rsidR="004F5E4D" w:rsidRPr="00B06A19">
        <w:rPr>
          <w:vertAlign w:val="superscript"/>
        </w:rPr>
        <w:t>#</w:t>
      </w:r>
      <w:r w:rsidR="004F5E4D" w:rsidRPr="009F5E32">
        <w:t>AOP-1</w:t>
      </w:r>
      <w:r w:rsidR="00497FB5" w:rsidRPr="009F5E32">
        <w:t>8</w:t>
      </w:r>
      <w:r w:rsidR="004F5E4D" w:rsidRPr="009F5E32">
        <w:t>-</w:t>
      </w:r>
      <w:r w:rsidR="00B06A19">
        <w:t>019</w:t>
      </w:r>
      <w:r w:rsidR="004F5E4D" w:rsidRPr="009F5E32">
        <w:t xml:space="preserve"> to address the air quality aspects of the Phase VI expansion at the Facility.   </w:t>
      </w:r>
    </w:p>
    <w:p w14:paraId="253CBDBB" w14:textId="77777777" w:rsidR="00A96AF1" w:rsidRPr="009F5E32" w:rsidRDefault="00A96AF1" w:rsidP="00A96AF1">
      <w:pPr>
        <w:ind w:left="0" w:firstLine="0"/>
      </w:pPr>
    </w:p>
    <w:p w14:paraId="5A202384" w14:textId="77777777" w:rsidR="00304B15" w:rsidRPr="009F5E32" w:rsidRDefault="000C32FF" w:rsidP="000C32FF">
      <w:pPr>
        <w:ind w:left="720" w:firstLine="0"/>
      </w:pPr>
      <w:r w:rsidRPr="009F5E32">
        <w:t xml:space="preserve">The LFGTE </w:t>
      </w:r>
      <w:r w:rsidR="0065135C" w:rsidRPr="009F5E32">
        <w:t xml:space="preserve">Operation currently consists of five (5) LFG-fired internal combustion engines each rated at 2,221 </w:t>
      </w:r>
      <w:r w:rsidR="00B57C39" w:rsidRPr="009F5E32">
        <w:t>b</w:t>
      </w:r>
      <w:r w:rsidR="0065135C" w:rsidRPr="009F5E32">
        <w:t xml:space="preserve">hp and 1,600 kW of generation capacity, </w:t>
      </w:r>
      <w:r w:rsidR="0065314E" w:rsidRPr="009F5E32">
        <w:t xml:space="preserve">capable of </w:t>
      </w:r>
      <w:r w:rsidR="0065135C" w:rsidRPr="009F5E32">
        <w:t>producing a total of 8.0 megawatts of electric power.  The LFGTE Operation also</w:t>
      </w:r>
      <w:r w:rsidR="00BE256A" w:rsidRPr="009F5E32">
        <w:t xml:space="preserve"> </w:t>
      </w:r>
      <w:r w:rsidRPr="009F5E32">
        <w:t xml:space="preserve">includes additional equipment for pressurizing, drying, and cleaning the </w:t>
      </w:r>
      <w:r w:rsidR="00B96BBB" w:rsidRPr="009F5E32">
        <w:t>LFG that</w:t>
      </w:r>
      <w:r w:rsidR="00BE256A" w:rsidRPr="009F5E32">
        <w:t xml:space="preserve"> is intended to improve gas quality and</w:t>
      </w:r>
      <w:r w:rsidRPr="009F5E32">
        <w:t xml:space="preserve"> extend the </w:t>
      </w:r>
      <w:r w:rsidR="00BE256A" w:rsidRPr="009F5E32">
        <w:t xml:space="preserve">service </w:t>
      </w:r>
      <w:r w:rsidRPr="009F5E32">
        <w:t>life of the engines</w:t>
      </w:r>
      <w:r w:rsidR="00662FFB" w:rsidRPr="009F5E32">
        <w:t xml:space="preserve">, and a </w:t>
      </w:r>
      <w:r w:rsidRPr="009F5E32">
        <w:t xml:space="preserve">second blower to provide complete backup blower capability.  The </w:t>
      </w:r>
      <w:r w:rsidR="00662FFB" w:rsidRPr="009F5E32">
        <w:t xml:space="preserve">LFG is treated by the LFGTE Operation by passing the LFG </w:t>
      </w:r>
      <w:r w:rsidRPr="009F5E32">
        <w:t>through a non-contact heat exchanger that utilizes chilled water to cool the gas stream, removing additional moisture by condensation</w:t>
      </w:r>
      <w:r w:rsidR="0068714A" w:rsidRPr="009F5E32">
        <w:t xml:space="preserve">, then further dewatered with </w:t>
      </w:r>
      <w:r w:rsidRPr="009F5E32">
        <w:t xml:space="preserve">a liquid sorption dehumidification </w:t>
      </w:r>
      <w:r w:rsidR="00C91187" w:rsidRPr="009F5E32">
        <w:t>system that</w:t>
      </w:r>
      <w:r w:rsidRPr="009F5E32">
        <w:t xml:space="preserve"> use</w:t>
      </w:r>
      <w:r w:rsidR="00AB156D" w:rsidRPr="009F5E32">
        <w:t>s</w:t>
      </w:r>
      <w:r w:rsidRPr="009F5E32">
        <w:t xml:space="preserve"> a series of glycol liquid (sorbent) sprays in the gas stream to absorb the remaining moisture from the</w:t>
      </w:r>
      <w:r w:rsidR="00662FFB" w:rsidRPr="009F5E32">
        <w:t xml:space="preserve"> LFG</w:t>
      </w:r>
      <w:r w:rsidRPr="009F5E32">
        <w:t xml:space="preserve">.  The </w:t>
      </w:r>
      <w:r w:rsidR="00662FFB" w:rsidRPr="009F5E32">
        <w:t xml:space="preserve">LFG </w:t>
      </w:r>
      <w:r w:rsidRPr="009F5E32">
        <w:t>then passes through four (4) coalescing polishing filters before being sent to</w:t>
      </w:r>
      <w:r w:rsidR="0068714A" w:rsidRPr="009F5E32">
        <w:t xml:space="preserve"> the SRS.  </w:t>
      </w:r>
    </w:p>
    <w:p w14:paraId="2FAE2772" w14:textId="77777777" w:rsidR="00304B15" w:rsidRPr="009F5E32" w:rsidRDefault="00304B15" w:rsidP="00304B15">
      <w:pPr>
        <w:ind w:left="0" w:firstLine="0"/>
      </w:pPr>
    </w:p>
    <w:p w14:paraId="4EED56F8" w14:textId="00194ADF" w:rsidR="0068714A" w:rsidRPr="009F5E32" w:rsidRDefault="0068714A" w:rsidP="000C32FF">
      <w:pPr>
        <w:ind w:left="720" w:firstLine="0"/>
      </w:pPr>
      <w:r w:rsidRPr="009F5E32">
        <w:t>The SRS</w:t>
      </w:r>
      <w:r w:rsidR="00DE6DED" w:rsidRPr="009F5E32">
        <w:t>, installed in 2016,</w:t>
      </w:r>
      <w:r w:rsidRPr="009F5E32">
        <w:t xml:space="preserve"> consists of two sorption chambers, which will sorb siloxanes contained in LFG onto a silica media.  The two chambers will alternate in operation, with one sorption chamber </w:t>
      </w:r>
      <w:r w:rsidR="00AB2BDE">
        <w:t>being</w:t>
      </w:r>
      <w:r w:rsidRPr="009F5E32">
        <w:t xml:space="preserve"> operated in treatment mode, while the other chamber operates in desorption mode.  When the silica media in one chamber is saturated with siloxanes, the siloxanes will be desorbed using heated air, and the heated air containing the desorbed siloxanes will be routed to an enclosed ground flare along with treated LFG to provide fuel for thermal destruction of the siloxanes</w:t>
      </w:r>
      <w:r w:rsidR="00AB2BDE">
        <w:t xml:space="preserve"> and </w:t>
      </w:r>
      <w:r w:rsidR="00D8583D">
        <w:t>NMOCs that are</w:t>
      </w:r>
      <w:r w:rsidR="00AB2BDE">
        <w:t xml:space="preserve"> also captured </w:t>
      </w:r>
      <w:r w:rsidR="003422CD">
        <w:t xml:space="preserve">by </w:t>
      </w:r>
      <w:r w:rsidR="00AB2BDE">
        <w:t xml:space="preserve">and desorbed </w:t>
      </w:r>
      <w:r w:rsidR="00D8583D">
        <w:t>from</w:t>
      </w:r>
      <w:r w:rsidR="00AB2BDE">
        <w:t xml:space="preserve"> the SRS</w:t>
      </w:r>
      <w:r w:rsidRPr="009F5E32">
        <w:t>.   Operation of the SRS began in early 2017.</w:t>
      </w:r>
      <w:r w:rsidR="002B7F41" w:rsidRPr="009F5E32">
        <w:t xml:space="preserve">  </w:t>
      </w:r>
    </w:p>
    <w:p w14:paraId="277EC03F" w14:textId="77777777" w:rsidR="0068714A" w:rsidRPr="009F5E32" w:rsidRDefault="0068714A" w:rsidP="0068714A">
      <w:pPr>
        <w:ind w:left="0" w:firstLine="0"/>
      </w:pPr>
    </w:p>
    <w:p w14:paraId="26477C69" w14:textId="13C92AE1" w:rsidR="000C32FF" w:rsidRPr="009F5E32" w:rsidRDefault="002B7F41" w:rsidP="000C32FF">
      <w:pPr>
        <w:ind w:left="720" w:firstLine="0"/>
      </w:pPr>
      <w:r w:rsidRPr="009F5E32">
        <w:t xml:space="preserve">A </w:t>
      </w:r>
      <w:r w:rsidR="0068714A" w:rsidRPr="009F5E32">
        <w:t>100-kW</w:t>
      </w:r>
      <w:r w:rsidRPr="009F5E32">
        <w:t xml:space="preserve"> backup generator is installed at the LFGTE Operation to provide electric power for lighting and system operation in the event of an electrical power loss.  The LFGTE </w:t>
      </w:r>
      <w:r w:rsidR="007B671A" w:rsidRPr="009F5E32">
        <w:t xml:space="preserve">Operation </w:t>
      </w:r>
      <w:r w:rsidRPr="009F5E32">
        <w:t xml:space="preserve">has no black-start capability.  </w:t>
      </w:r>
    </w:p>
    <w:p w14:paraId="5F848F1F" w14:textId="77777777" w:rsidR="00C45711" w:rsidRPr="009F5E32" w:rsidRDefault="00C45711" w:rsidP="00C45711">
      <w:pPr>
        <w:ind w:left="0" w:firstLine="0"/>
      </w:pPr>
    </w:p>
    <w:p w14:paraId="6ED7D276" w14:textId="52A6B214" w:rsidR="005E20C5" w:rsidRPr="009F5E32" w:rsidRDefault="005E20C5" w:rsidP="009545AA">
      <w:pPr>
        <w:ind w:left="720" w:firstLine="0"/>
        <w:outlineLvl w:val="0"/>
      </w:pPr>
      <w:r w:rsidRPr="009F5E32">
        <w:t xml:space="preserve">Equipment </w:t>
      </w:r>
      <w:r w:rsidR="00314BA9" w:rsidRPr="009F5E32">
        <w:t xml:space="preserve">and operations </w:t>
      </w:r>
      <w:r w:rsidRPr="009F5E32">
        <w:t xml:space="preserve">at the Facility </w:t>
      </w:r>
      <w:r w:rsidR="00314BA9" w:rsidRPr="009F5E32">
        <w:t xml:space="preserve">are </w:t>
      </w:r>
      <w:r w:rsidRPr="009F5E32">
        <w:t>summarized in the following table.</w:t>
      </w:r>
    </w:p>
    <w:p w14:paraId="68B1DCBF" w14:textId="697BA3E3" w:rsidR="005E20C5" w:rsidRPr="009F5E32" w:rsidRDefault="005E20C5" w:rsidP="00742345">
      <w:pPr>
        <w:ind w:left="0" w:firstLine="0"/>
      </w:pPr>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685"/>
        <w:gridCol w:w="1241"/>
        <w:gridCol w:w="2209"/>
        <w:gridCol w:w="2505"/>
      </w:tblGrid>
      <w:tr w:rsidR="00CD25D8" w:rsidRPr="009F5E32" w14:paraId="7D0550B5" w14:textId="77777777" w:rsidTr="00A80199">
        <w:trPr>
          <w:cantSplit/>
          <w:trHeight w:val="260"/>
          <w:tblHeader/>
        </w:trPr>
        <w:tc>
          <w:tcPr>
            <w:tcW w:w="8640" w:type="dxa"/>
            <w:gridSpan w:val="4"/>
            <w:tcBorders>
              <w:top w:val="double" w:sz="4" w:space="0" w:color="auto"/>
            </w:tcBorders>
            <w:shd w:val="clear" w:color="auto" w:fill="F2F2F2" w:themeFill="background1" w:themeFillShade="F2"/>
            <w:vAlign w:val="center"/>
          </w:tcPr>
          <w:p w14:paraId="4213648D" w14:textId="77777777" w:rsidR="00CD25D8" w:rsidRPr="009F5E32" w:rsidRDefault="00CD25D8" w:rsidP="00CD25D8">
            <w:pPr>
              <w:keepNext/>
              <w:autoSpaceDE/>
              <w:autoSpaceDN/>
              <w:adjustRightInd/>
              <w:ind w:left="0" w:firstLine="0"/>
              <w:jc w:val="center"/>
              <w:outlineLvl w:val="2"/>
              <w:rPr>
                <w:b/>
                <w:bCs/>
                <w:snapToGrid w:val="0"/>
              </w:rPr>
            </w:pPr>
            <w:r w:rsidRPr="009F5E32">
              <w:rPr>
                <w:b/>
                <w:bCs/>
                <w:snapToGrid w:val="0"/>
              </w:rPr>
              <w:t>Landfill Operation - Specifications</w:t>
            </w:r>
          </w:p>
        </w:tc>
      </w:tr>
      <w:tr w:rsidR="00CD25D8" w:rsidRPr="009F5E32" w14:paraId="18AD4435" w14:textId="77777777" w:rsidTr="00A80199">
        <w:trPr>
          <w:cantSplit/>
          <w:trHeight w:val="523"/>
          <w:tblHeader/>
        </w:trPr>
        <w:tc>
          <w:tcPr>
            <w:tcW w:w="2685" w:type="dxa"/>
            <w:tcBorders>
              <w:top w:val="single" w:sz="4" w:space="0" w:color="auto"/>
              <w:bottom w:val="double" w:sz="4" w:space="0" w:color="auto"/>
            </w:tcBorders>
            <w:shd w:val="clear" w:color="auto" w:fill="F2F2F2" w:themeFill="background1" w:themeFillShade="F2"/>
            <w:vAlign w:val="center"/>
          </w:tcPr>
          <w:p w14:paraId="4FF627A3" w14:textId="77777777" w:rsidR="00CD25D8" w:rsidRPr="009F5E32" w:rsidRDefault="00CD25D8" w:rsidP="00CD25D8">
            <w:pPr>
              <w:autoSpaceDE/>
              <w:autoSpaceDN/>
              <w:adjustRightInd/>
              <w:ind w:left="0" w:firstLine="0"/>
              <w:jc w:val="left"/>
              <w:rPr>
                <w:snapToGrid w:val="0"/>
                <w:sz w:val="18"/>
              </w:rPr>
            </w:pPr>
            <w:r w:rsidRPr="009F5E32">
              <w:rPr>
                <w:snapToGrid w:val="0"/>
                <w:sz w:val="18"/>
              </w:rPr>
              <w:t>Landfill Area/Phase</w:t>
            </w:r>
          </w:p>
        </w:tc>
        <w:tc>
          <w:tcPr>
            <w:tcW w:w="1241" w:type="dxa"/>
            <w:tcBorders>
              <w:top w:val="single" w:sz="4" w:space="0" w:color="auto"/>
              <w:bottom w:val="double" w:sz="4" w:space="0" w:color="auto"/>
            </w:tcBorders>
            <w:shd w:val="clear" w:color="auto" w:fill="F2F2F2" w:themeFill="background1" w:themeFillShade="F2"/>
            <w:vAlign w:val="center"/>
          </w:tcPr>
          <w:p w14:paraId="315B8A08" w14:textId="77777777" w:rsidR="00CD25D8" w:rsidRPr="009F5E32" w:rsidRDefault="00CD25D8" w:rsidP="00CD25D8">
            <w:pPr>
              <w:autoSpaceDE/>
              <w:autoSpaceDN/>
              <w:adjustRightInd/>
              <w:ind w:left="0" w:firstLine="0"/>
              <w:jc w:val="center"/>
              <w:rPr>
                <w:snapToGrid w:val="0"/>
                <w:sz w:val="18"/>
                <w:vertAlign w:val="superscript"/>
              </w:rPr>
            </w:pPr>
            <w:r w:rsidRPr="009F5E32">
              <w:rPr>
                <w:snapToGrid w:val="0"/>
                <w:sz w:val="18"/>
              </w:rPr>
              <w:t>Years of Operation</w:t>
            </w:r>
            <w:r w:rsidRPr="009F5E32">
              <w:rPr>
                <w:snapToGrid w:val="0"/>
                <w:sz w:val="20"/>
                <w:vertAlign w:val="superscript"/>
              </w:rPr>
              <w:t>1</w:t>
            </w:r>
          </w:p>
        </w:tc>
        <w:tc>
          <w:tcPr>
            <w:tcW w:w="2209" w:type="dxa"/>
            <w:tcBorders>
              <w:top w:val="single" w:sz="4" w:space="0" w:color="auto"/>
              <w:bottom w:val="double" w:sz="4" w:space="0" w:color="auto"/>
            </w:tcBorders>
            <w:shd w:val="clear" w:color="auto" w:fill="F2F2F2" w:themeFill="background1" w:themeFillShade="F2"/>
            <w:vAlign w:val="center"/>
          </w:tcPr>
          <w:p w14:paraId="1FCB2B60" w14:textId="77777777" w:rsidR="00CD25D8" w:rsidRPr="009F5E32" w:rsidRDefault="00CD25D8" w:rsidP="00CD25D8">
            <w:pPr>
              <w:autoSpaceDE/>
              <w:autoSpaceDN/>
              <w:adjustRightInd/>
              <w:ind w:left="0" w:firstLine="0"/>
              <w:jc w:val="center"/>
              <w:rPr>
                <w:snapToGrid w:val="0"/>
                <w:sz w:val="18"/>
              </w:rPr>
            </w:pPr>
            <w:r w:rsidRPr="009F5E32">
              <w:rPr>
                <w:snapToGrid w:val="0"/>
                <w:sz w:val="18"/>
              </w:rPr>
              <w:t xml:space="preserve">Refuse Capacity (Mg) </w:t>
            </w:r>
            <w:r w:rsidRPr="009F5E32">
              <w:rPr>
                <w:snapToGrid w:val="0"/>
                <w:sz w:val="20"/>
                <w:vertAlign w:val="superscript"/>
              </w:rPr>
              <w:t>2</w:t>
            </w:r>
          </w:p>
          <w:p w14:paraId="504BCCE1" w14:textId="77777777" w:rsidR="00CD25D8" w:rsidRPr="009F5E32" w:rsidRDefault="00CD25D8" w:rsidP="00CD25D8">
            <w:pPr>
              <w:autoSpaceDE/>
              <w:autoSpaceDN/>
              <w:adjustRightInd/>
              <w:ind w:left="0" w:firstLine="0"/>
              <w:jc w:val="center"/>
              <w:rPr>
                <w:snapToGrid w:val="0"/>
                <w:sz w:val="18"/>
              </w:rPr>
            </w:pPr>
            <w:r w:rsidRPr="009F5E32">
              <w:rPr>
                <w:snapToGrid w:val="0"/>
                <w:sz w:val="18"/>
              </w:rPr>
              <w:t>And Landfill Size (acres)</w:t>
            </w:r>
          </w:p>
        </w:tc>
        <w:tc>
          <w:tcPr>
            <w:tcW w:w="2505" w:type="dxa"/>
            <w:tcBorders>
              <w:top w:val="single" w:sz="4" w:space="0" w:color="auto"/>
              <w:bottom w:val="double" w:sz="4" w:space="0" w:color="auto"/>
            </w:tcBorders>
            <w:shd w:val="clear" w:color="auto" w:fill="F2F2F2" w:themeFill="background1" w:themeFillShade="F2"/>
            <w:vAlign w:val="center"/>
          </w:tcPr>
          <w:p w14:paraId="06FFA6C3" w14:textId="77777777" w:rsidR="00CD25D8" w:rsidRPr="009F5E32" w:rsidRDefault="00CD25D8" w:rsidP="00CD25D8">
            <w:pPr>
              <w:autoSpaceDE/>
              <w:autoSpaceDN/>
              <w:adjustRightInd/>
              <w:ind w:left="0" w:firstLine="0"/>
              <w:jc w:val="center"/>
              <w:rPr>
                <w:snapToGrid w:val="0"/>
                <w:sz w:val="18"/>
              </w:rPr>
            </w:pPr>
            <w:r w:rsidRPr="009F5E32">
              <w:rPr>
                <w:snapToGrid w:val="0"/>
                <w:sz w:val="18"/>
              </w:rPr>
              <w:t>Cumulative Facility Refuse Capacity (Mg)</w:t>
            </w:r>
            <w:r w:rsidRPr="009F5E32">
              <w:rPr>
                <w:snapToGrid w:val="0"/>
                <w:sz w:val="20"/>
                <w:vertAlign w:val="superscript"/>
              </w:rPr>
              <w:t xml:space="preserve"> 2</w:t>
            </w:r>
            <w:r w:rsidRPr="009F5E32">
              <w:rPr>
                <w:snapToGrid w:val="0"/>
                <w:sz w:val="18"/>
              </w:rPr>
              <w:t xml:space="preserve"> / Landfill size (acres)</w:t>
            </w:r>
            <w:r w:rsidRPr="009F5E32">
              <w:rPr>
                <w:snapToGrid w:val="0"/>
                <w:sz w:val="20"/>
                <w:vertAlign w:val="superscript"/>
              </w:rPr>
              <w:t xml:space="preserve"> 3</w:t>
            </w:r>
          </w:p>
        </w:tc>
      </w:tr>
      <w:tr w:rsidR="00067B07" w:rsidRPr="009F5E32" w14:paraId="7556EDA4" w14:textId="77777777" w:rsidTr="00067B07">
        <w:trPr>
          <w:cantSplit/>
        </w:trPr>
        <w:tc>
          <w:tcPr>
            <w:tcW w:w="2685" w:type="dxa"/>
            <w:tcBorders>
              <w:top w:val="double" w:sz="4" w:space="0" w:color="auto"/>
              <w:bottom w:val="single" w:sz="4" w:space="0" w:color="auto"/>
            </w:tcBorders>
            <w:vAlign w:val="center"/>
          </w:tcPr>
          <w:p w14:paraId="4A1E7607" w14:textId="54E9BB04" w:rsidR="00067B07" w:rsidRPr="009F5E32" w:rsidRDefault="00067B07" w:rsidP="00067B07">
            <w:pPr>
              <w:autoSpaceDE/>
              <w:autoSpaceDN/>
              <w:adjustRightInd/>
              <w:ind w:left="0" w:firstLine="0"/>
              <w:jc w:val="left"/>
              <w:rPr>
                <w:snapToGrid w:val="0"/>
                <w:sz w:val="18"/>
              </w:rPr>
            </w:pPr>
            <w:r w:rsidRPr="00961ED7">
              <w:rPr>
                <w:sz w:val="18"/>
              </w:rPr>
              <w:t xml:space="preserve">Unlined landfill Areas A &amp; B </w:t>
            </w:r>
          </w:p>
        </w:tc>
        <w:tc>
          <w:tcPr>
            <w:tcW w:w="1241" w:type="dxa"/>
            <w:tcBorders>
              <w:top w:val="double" w:sz="4" w:space="0" w:color="auto"/>
              <w:bottom w:val="single" w:sz="4" w:space="0" w:color="auto"/>
            </w:tcBorders>
            <w:vAlign w:val="center"/>
          </w:tcPr>
          <w:p w14:paraId="0DA2BD0B" w14:textId="30010D81" w:rsidR="00067B07" w:rsidRPr="009F5E32" w:rsidRDefault="00067B07" w:rsidP="00067B07">
            <w:pPr>
              <w:autoSpaceDE/>
              <w:autoSpaceDN/>
              <w:adjustRightInd/>
              <w:ind w:left="0" w:firstLine="0"/>
              <w:jc w:val="center"/>
              <w:rPr>
                <w:snapToGrid w:val="0"/>
                <w:sz w:val="18"/>
              </w:rPr>
            </w:pPr>
            <w:r w:rsidRPr="00961ED7">
              <w:rPr>
                <w:sz w:val="18"/>
              </w:rPr>
              <w:t>1970 - 1992</w:t>
            </w:r>
          </w:p>
        </w:tc>
        <w:tc>
          <w:tcPr>
            <w:tcW w:w="2209" w:type="dxa"/>
            <w:tcBorders>
              <w:top w:val="double" w:sz="4" w:space="0" w:color="auto"/>
              <w:bottom w:val="single" w:sz="4" w:space="0" w:color="auto"/>
            </w:tcBorders>
            <w:vAlign w:val="center"/>
          </w:tcPr>
          <w:p w14:paraId="373B01F3" w14:textId="62952A0D" w:rsidR="00067B07" w:rsidRPr="009F5E32" w:rsidRDefault="00067B07" w:rsidP="00067B07">
            <w:pPr>
              <w:autoSpaceDE/>
              <w:autoSpaceDN/>
              <w:adjustRightInd/>
              <w:ind w:left="0" w:firstLine="0"/>
              <w:jc w:val="center"/>
              <w:rPr>
                <w:snapToGrid w:val="0"/>
                <w:sz w:val="18"/>
              </w:rPr>
            </w:pPr>
            <w:r w:rsidRPr="00961ED7">
              <w:rPr>
                <w:sz w:val="18"/>
              </w:rPr>
              <w:t xml:space="preserve">146,050 </w:t>
            </w:r>
            <w:r>
              <w:rPr>
                <w:sz w:val="18"/>
              </w:rPr>
              <w:t xml:space="preserve">/ </w:t>
            </w:r>
            <w:r w:rsidRPr="00961ED7">
              <w:rPr>
                <w:sz w:val="18"/>
              </w:rPr>
              <w:t>(11 acres)</w:t>
            </w:r>
          </w:p>
        </w:tc>
        <w:tc>
          <w:tcPr>
            <w:tcW w:w="2505" w:type="dxa"/>
            <w:tcBorders>
              <w:top w:val="double" w:sz="4" w:space="0" w:color="auto"/>
              <w:bottom w:val="single" w:sz="4" w:space="0" w:color="auto"/>
            </w:tcBorders>
            <w:vAlign w:val="center"/>
          </w:tcPr>
          <w:p w14:paraId="6DC68E88" w14:textId="7FE7709A" w:rsidR="00067B07" w:rsidRPr="009F5E32" w:rsidRDefault="00067B07" w:rsidP="00067B07">
            <w:pPr>
              <w:autoSpaceDE/>
              <w:autoSpaceDN/>
              <w:adjustRightInd/>
              <w:ind w:left="0" w:firstLine="0"/>
              <w:jc w:val="center"/>
              <w:rPr>
                <w:snapToGrid w:val="0"/>
                <w:sz w:val="18"/>
              </w:rPr>
            </w:pPr>
            <w:r w:rsidRPr="00961ED7">
              <w:rPr>
                <w:sz w:val="18"/>
              </w:rPr>
              <w:t>146,050 / (11 acres)</w:t>
            </w:r>
          </w:p>
        </w:tc>
      </w:tr>
      <w:tr w:rsidR="00067B07" w:rsidRPr="009F5E32" w14:paraId="382AFCD0" w14:textId="77777777" w:rsidTr="00067B07">
        <w:trPr>
          <w:cantSplit/>
        </w:trPr>
        <w:tc>
          <w:tcPr>
            <w:tcW w:w="2685" w:type="dxa"/>
            <w:tcBorders>
              <w:top w:val="single" w:sz="4" w:space="0" w:color="auto"/>
              <w:bottom w:val="single" w:sz="4" w:space="0" w:color="auto"/>
            </w:tcBorders>
            <w:vAlign w:val="center"/>
          </w:tcPr>
          <w:p w14:paraId="22E79EB2" w14:textId="29E09655" w:rsidR="00067B07" w:rsidRPr="009F5E32" w:rsidRDefault="00067B07" w:rsidP="00067B07">
            <w:pPr>
              <w:autoSpaceDE/>
              <w:autoSpaceDN/>
              <w:adjustRightInd/>
              <w:ind w:left="0" w:firstLine="0"/>
              <w:jc w:val="left"/>
              <w:rPr>
                <w:snapToGrid w:val="0"/>
                <w:sz w:val="18"/>
              </w:rPr>
            </w:pPr>
            <w:r w:rsidRPr="00961ED7">
              <w:rPr>
                <w:sz w:val="18"/>
              </w:rPr>
              <w:t>Landfill Phases I, II, III</w:t>
            </w:r>
            <w:r>
              <w:rPr>
                <w:sz w:val="18"/>
              </w:rPr>
              <w:t>, and IV</w:t>
            </w:r>
          </w:p>
        </w:tc>
        <w:tc>
          <w:tcPr>
            <w:tcW w:w="1241" w:type="dxa"/>
            <w:tcBorders>
              <w:top w:val="single" w:sz="4" w:space="0" w:color="auto"/>
              <w:bottom w:val="single" w:sz="4" w:space="0" w:color="auto"/>
            </w:tcBorders>
            <w:vAlign w:val="center"/>
          </w:tcPr>
          <w:p w14:paraId="2ABFDEB8" w14:textId="584A79D8" w:rsidR="00067B07" w:rsidRPr="009F5E32" w:rsidRDefault="00067B07" w:rsidP="00067B07">
            <w:pPr>
              <w:autoSpaceDE/>
              <w:autoSpaceDN/>
              <w:adjustRightInd/>
              <w:ind w:left="0" w:firstLine="0"/>
              <w:jc w:val="center"/>
              <w:rPr>
                <w:snapToGrid w:val="0"/>
                <w:sz w:val="18"/>
              </w:rPr>
            </w:pPr>
            <w:r w:rsidRPr="00961ED7">
              <w:rPr>
                <w:sz w:val="18"/>
              </w:rPr>
              <w:t>1993 - 20</w:t>
            </w:r>
            <w:r>
              <w:rPr>
                <w:sz w:val="18"/>
              </w:rPr>
              <w:t>20</w:t>
            </w:r>
          </w:p>
        </w:tc>
        <w:tc>
          <w:tcPr>
            <w:tcW w:w="2209" w:type="dxa"/>
            <w:tcBorders>
              <w:top w:val="single" w:sz="4" w:space="0" w:color="auto"/>
              <w:bottom w:val="single" w:sz="4" w:space="0" w:color="auto"/>
            </w:tcBorders>
            <w:vAlign w:val="center"/>
          </w:tcPr>
          <w:p w14:paraId="1DCFFA55" w14:textId="47D76806" w:rsidR="00067B07" w:rsidRPr="009F5E32" w:rsidRDefault="00067B07" w:rsidP="00067B07">
            <w:pPr>
              <w:autoSpaceDE/>
              <w:autoSpaceDN/>
              <w:adjustRightInd/>
              <w:ind w:left="0" w:firstLine="0"/>
              <w:jc w:val="center"/>
              <w:rPr>
                <w:snapToGrid w:val="0"/>
                <w:sz w:val="18"/>
              </w:rPr>
            </w:pPr>
            <w:r w:rsidRPr="0059369E">
              <w:rPr>
                <w:sz w:val="18"/>
              </w:rPr>
              <w:t xml:space="preserve">7,504,427 </w:t>
            </w:r>
            <w:r>
              <w:rPr>
                <w:sz w:val="18"/>
              </w:rPr>
              <w:t xml:space="preserve">/ </w:t>
            </w:r>
            <w:r w:rsidRPr="00961ED7">
              <w:rPr>
                <w:sz w:val="18"/>
              </w:rPr>
              <w:t>(</w:t>
            </w:r>
            <w:r>
              <w:rPr>
                <w:sz w:val="18"/>
              </w:rPr>
              <w:t>90</w:t>
            </w:r>
            <w:r w:rsidRPr="00961ED7">
              <w:rPr>
                <w:sz w:val="18"/>
              </w:rPr>
              <w:t>acres)</w:t>
            </w:r>
          </w:p>
        </w:tc>
        <w:tc>
          <w:tcPr>
            <w:tcW w:w="2505" w:type="dxa"/>
            <w:tcBorders>
              <w:top w:val="single" w:sz="4" w:space="0" w:color="auto"/>
              <w:bottom w:val="single" w:sz="4" w:space="0" w:color="auto"/>
            </w:tcBorders>
            <w:vAlign w:val="center"/>
          </w:tcPr>
          <w:p w14:paraId="4EC35F47" w14:textId="01133DE4" w:rsidR="00067B07" w:rsidRPr="009F5E32" w:rsidRDefault="00067B07" w:rsidP="00067B07">
            <w:pPr>
              <w:autoSpaceDE/>
              <w:autoSpaceDN/>
              <w:adjustRightInd/>
              <w:ind w:left="0" w:firstLine="0"/>
              <w:jc w:val="center"/>
              <w:rPr>
                <w:snapToGrid w:val="0"/>
                <w:sz w:val="18"/>
              </w:rPr>
            </w:pPr>
            <w:r>
              <w:rPr>
                <w:sz w:val="18"/>
              </w:rPr>
              <w:t>7</w:t>
            </w:r>
            <w:r w:rsidRPr="00961ED7">
              <w:rPr>
                <w:sz w:val="18"/>
              </w:rPr>
              <w:t>,</w:t>
            </w:r>
            <w:r>
              <w:rPr>
                <w:sz w:val="18"/>
              </w:rPr>
              <w:t>650</w:t>
            </w:r>
            <w:r w:rsidRPr="00961ED7">
              <w:rPr>
                <w:sz w:val="18"/>
              </w:rPr>
              <w:t>,</w:t>
            </w:r>
            <w:r>
              <w:rPr>
                <w:sz w:val="18"/>
              </w:rPr>
              <w:t>477</w:t>
            </w:r>
            <w:r w:rsidRPr="00961ED7">
              <w:rPr>
                <w:sz w:val="18"/>
              </w:rPr>
              <w:t xml:space="preserve"> / (</w:t>
            </w:r>
            <w:r>
              <w:rPr>
                <w:sz w:val="18"/>
              </w:rPr>
              <w:t>90</w:t>
            </w:r>
            <w:r w:rsidRPr="00961ED7">
              <w:rPr>
                <w:sz w:val="18"/>
              </w:rPr>
              <w:t xml:space="preserve"> acres)</w:t>
            </w:r>
          </w:p>
        </w:tc>
      </w:tr>
      <w:tr w:rsidR="00067B07" w:rsidRPr="009F5E32" w14:paraId="051C01DD" w14:textId="77777777" w:rsidTr="00067B07">
        <w:trPr>
          <w:cantSplit/>
        </w:trPr>
        <w:tc>
          <w:tcPr>
            <w:tcW w:w="2685" w:type="dxa"/>
            <w:tcBorders>
              <w:top w:val="single" w:sz="4" w:space="0" w:color="auto"/>
              <w:bottom w:val="single" w:sz="4" w:space="0" w:color="auto"/>
            </w:tcBorders>
            <w:vAlign w:val="center"/>
          </w:tcPr>
          <w:p w14:paraId="7F91702F" w14:textId="3B5ECEB3" w:rsidR="00067B07" w:rsidRPr="009F5E32" w:rsidRDefault="00067B07" w:rsidP="00067B07">
            <w:pPr>
              <w:autoSpaceDE/>
              <w:autoSpaceDN/>
              <w:adjustRightInd/>
              <w:ind w:left="0" w:firstLine="0"/>
              <w:jc w:val="left"/>
              <w:rPr>
                <w:snapToGrid w:val="0"/>
                <w:sz w:val="18"/>
              </w:rPr>
            </w:pPr>
            <w:r w:rsidRPr="00961ED7">
              <w:rPr>
                <w:sz w:val="18"/>
              </w:rPr>
              <w:t>Landfill Phase V (proposed)</w:t>
            </w:r>
          </w:p>
        </w:tc>
        <w:tc>
          <w:tcPr>
            <w:tcW w:w="1241" w:type="dxa"/>
            <w:tcBorders>
              <w:top w:val="single" w:sz="4" w:space="0" w:color="auto"/>
              <w:bottom w:val="single" w:sz="4" w:space="0" w:color="auto"/>
            </w:tcBorders>
            <w:vAlign w:val="center"/>
          </w:tcPr>
          <w:p w14:paraId="0989C59F" w14:textId="786FDDDC" w:rsidR="00067B07" w:rsidRPr="009F5E32" w:rsidRDefault="00067B07" w:rsidP="00067B07">
            <w:pPr>
              <w:autoSpaceDE/>
              <w:autoSpaceDN/>
              <w:adjustRightInd/>
              <w:ind w:left="0" w:firstLine="0"/>
              <w:jc w:val="center"/>
              <w:rPr>
                <w:snapToGrid w:val="0"/>
                <w:sz w:val="18"/>
              </w:rPr>
            </w:pPr>
            <w:r w:rsidRPr="00961ED7">
              <w:rPr>
                <w:sz w:val="18"/>
              </w:rPr>
              <w:t>2032</w:t>
            </w:r>
            <w:r>
              <w:rPr>
                <w:sz w:val="18"/>
              </w:rPr>
              <w:t xml:space="preserve"> -</w:t>
            </w:r>
            <w:r w:rsidRPr="00961ED7">
              <w:rPr>
                <w:sz w:val="18"/>
              </w:rPr>
              <w:t xml:space="preserve"> 2035</w:t>
            </w:r>
          </w:p>
        </w:tc>
        <w:tc>
          <w:tcPr>
            <w:tcW w:w="2209" w:type="dxa"/>
            <w:tcBorders>
              <w:top w:val="single" w:sz="4" w:space="0" w:color="auto"/>
              <w:bottom w:val="single" w:sz="4" w:space="0" w:color="auto"/>
            </w:tcBorders>
            <w:vAlign w:val="center"/>
          </w:tcPr>
          <w:p w14:paraId="056F12B2" w14:textId="1AC25A4F" w:rsidR="00067B07" w:rsidRPr="009F5E32" w:rsidRDefault="00067B07" w:rsidP="00067B07">
            <w:pPr>
              <w:autoSpaceDE/>
              <w:autoSpaceDN/>
              <w:adjustRightInd/>
              <w:ind w:left="0" w:firstLine="0"/>
              <w:jc w:val="center"/>
              <w:rPr>
                <w:snapToGrid w:val="0"/>
                <w:sz w:val="18"/>
              </w:rPr>
            </w:pPr>
            <w:r w:rsidRPr="0059369E">
              <w:rPr>
                <w:sz w:val="18"/>
              </w:rPr>
              <w:t xml:space="preserve">1,854,738 </w:t>
            </w:r>
            <w:r>
              <w:rPr>
                <w:sz w:val="18"/>
              </w:rPr>
              <w:t xml:space="preserve">/ </w:t>
            </w:r>
            <w:r w:rsidRPr="00961ED7">
              <w:rPr>
                <w:sz w:val="18"/>
              </w:rPr>
              <w:t>(13.8 acres)</w:t>
            </w:r>
          </w:p>
        </w:tc>
        <w:tc>
          <w:tcPr>
            <w:tcW w:w="2505" w:type="dxa"/>
            <w:tcBorders>
              <w:top w:val="single" w:sz="4" w:space="0" w:color="auto"/>
              <w:bottom w:val="single" w:sz="4" w:space="0" w:color="auto"/>
            </w:tcBorders>
            <w:vAlign w:val="center"/>
          </w:tcPr>
          <w:p w14:paraId="112CF768" w14:textId="046C0B9E" w:rsidR="00067B07" w:rsidRPr="009F5E32" w:rsidRDefault="00067B07" w:rsidP="00067B07">
            <w:pPr>
              <w:autoSpaceDE/>
              <w:autoSpaceDN/>
              <w:adjustRightInd/>
              <w:ind w:left="0" w:firstLine="0"/>
              <w:jc w:val="center"/>
              <w:rPr>
                <w:snapToGrid w:val="0"/>
                <w:sz w:val="18"/>
              </w:rPr>
            </w:pPr>
            <w:r w:rsidRPr="0059369E">
              <w:rPr>
                <w:sz w:val="18"/>
              </w:rPr>
              <w:t xml:space="preserve">9,359,165 </w:t>
            </w:r>
            <w:r w:rsidRPr="00961ED7">
              <w:rPr>
                <w:sz w:val="18"/>
              </w:rPr>
              <w:t>/ (9</w:t>
            </w:r>
            <w:r>
              <w:rPr>
                <w:sz w:val="18"/>
              </w:rPr>
              <w:t>2.8</w:t>
            </w:r>
            <w:r w:rsidRPr="00961ED7">
              <w:rPr>
                <w:sz w:val="18"/>
              </w:rPr>
              <w:t xml:space="preserve"> acres)</w:t>
            </w:r>
          </w:p>
        </w:tc>
      </w:tr>
      <w:tr w:rsidR="00067B07" w:rsidRPr="009F5E32" w14:paraId="4580011A" w14:textId="77777777" w:rsidTr="00067B07">
        <w:trPr>
          <w:cantSplit/>
        </w:trPr>
        <w:tc>
          <w:tcPr>
            <w:tcW w:w="2685" w:type="dxa"/>
            <w:tcBorders>
              <w:top w:val="single" w:sz="4" w:space="0" w:color="auto"/>
              <w:bottom w:val="double" w:sz="4" w:space="0" w:color="auto"/>
            </w:tcBorders>
            <w:vAlign w:val="center"/>
          </w:tcPr>
          <w:p w14:paraId="1E802DCA" w14:textId="4EA770E9" w:rsidR="00067B07" w:rsidRPr="009F5E32" w:rsidRDefault="00067B07" w:rsidP="00067B07">
            <w:pPr>
              <w:autoSpaceDE/>
              <w:autoSpaceDN/>
              <w:adjustRightInd/>
              <w:ind w:left="0" w:firstLine="0"/>
              <w:jc w:val="left"/>
              <w:rPr>
                <w:snapToGrid w:val="0"/>
                <w:sz w:val="18"/>
              </w:rPr>
            </w:pPr>
            <w:r w:rsidRPr="00961ED7">
              <w:rPr>
                <w:sz w:val="18"/>
              </w:rPr>
              <w:t>Landfill Phase VI (proposed)</w:t>
            </w:r>
          </w:p>
        </w:tc>
        <w:tc>
          <w:tcPr>
            <w:tcW w:w="1241" w:type="dxa"/>
            <w:tcBorders>
              <w:top w:val="single" w:sz="4" w:space="0" w:color="auto"/>
              <w:bottom w:val="double" w:sz="4" w:space="0" w:color="auto"/>
            </w:tcBorders>
            <w:vAlign w:val="center"/>
          </w:tcPr>
          <w:p w14:paraId="36696232" w14:textId="5769D0BF" w:rsidR="00067B07" w:rsidRPr="009F5E32" w:rsidRDefault="00067B07" w:rsidP="00067B07">
            <w:pPr>
              <w:autoSpaceDE/>
              <w:autoSpaceDN/>
              <w:adjustRightInd/>
              <w:ind w:left="0" w:firstLine="0"/>
              <w:jc w:val="center"/>
              <w:rPr>
                <w:snapToGrid w:val="0"/>
                <w:sz w:val="18"/>
              </w:rPr>
            </w:pPr>
            <w:r w:rsidRPr="00961ED7">
              <w:rPr>
                <w:sz w:val="18"/>
              </w:rPr>
              <w:t>2021</w:t>
            </w:r>
            <w:r>
              <w:rPr>
                <w:sz w:val="18"/>
              </w:rPr>
              <w:t xml:space="preserve"> -</w:t>
            </w:r>
            <w:r w:rsidRPr="00961ED7">
              <w:rPr>
                <w:sz w:val="18"/>
              </w:rPr>
              <w:t xml:space="preserve"> 2031</w:t>
            </w:r>
          </w:p>
        </w:tc>
        <w:tc>
          <w:tcPr>
            <w:tcW w:w="2209" w:type="dxa"/>
            <w:tcBorders>
              <w:top w:val="single" w:sz="4" w:space="0" w:color="auto"/>
              <w:bottom w:val="double" w:sz="4" w:space="0" w:color="auto"/>
            </w:tcBorders>
            <w:vAlign w:val="center"/>
          </w:tcPr>
          <w:p w14:paraId="03E8DA68" w14:textId="1A5D433E" w:rsidR="00067B07" w:rsidRPr="009F5E32" w:rsidRDefault="00067B07" w:rsidP="00067B07">
            <w:pPr>
              <w:autoSpaceDE/>
              <w:autoSpaceDN/>
              <w:adjustRightInd/>
              <w:ind w:left="0" w:firstLine="0"/>
              <w:jc w:val="center"/>
              <w:rPr>
                <w:snapToGrid w:val="0"/>
                <w:sz w:val="18"/>
              </w:rPr>
            </w:pPr>
            <w:r w:rsidRPr="0059369E">
              <w:rPr>
                <w:sz w:val="18"/>
              </w:rPr>
              <w:t xml:space="preserve">7,348,659 </w:t>
            </w:r>
            <w:r>
              <w:rPr>
                <w:sz w:val="18"/>
              </w:rPr>
              <w:t xml:space="preserve">/ </w:t>
            </w:r>
            <w:r w:rsidRPr="00961ED7">
              <w:rPr>
                <w:sz w:val="18"/>
              </w:rPr>
              <w:t>(51.2 acres)</w:t>
            </w:r>
          </w:p>
        </w:tc>
        <w:tc>
          <w:tcPr>
            <w:tcW w:w="2505" w:type="dxa"/>
            <w:tcBorders>
              <w:top w:val="single" w:sz="4" w:space="0" w:color="auto"/>
              <w:bottom w:val="double" w:sz="4" w:space="0" w:color="auto"/>
            </w:tcBorders>
            <w:vAlign w:val="center"/>
          </w:tcPr>
          <w:p w14:paraId="170F6AC7" w14:textId="4F4B4F7A" w:rsidR="00067B07" w:rsidRPr="009F5E32" w:rsidRDefault="00067B07" w:rsidP="00067B07">
            <w:pPr>
              <w:autoSpaceDE/>
              <w:autoSpaceDN/>
              <w:adjustRightInd/>
              <w:ind w:left="0" w:firstLine="0"/>
              <w:jc w:val="center"/>
              <w:rPr>
                <w:snapToGrid w:val="0"/>
                <w:sz w:val="18"/>
              </w:rPr>
            </w:pPr>
            <w:r w:rsidRPr="0059369E">
              <w:rPr>
                <w:sz w:val="18"/>
              </w:rPr>
              <w:t xml:space="preserve">16,707,824 </w:t>
            </w:r>
            <w:r>
              <w:rPr>
                <w:sz w:val="18"/>
              </w:rPr>
              <w:t xml:space="preserve">/ </w:t>
            </w:r>
            <w:r w:rsidRPr="00961ED7">
              <w:rPr>
                <w:sz w:val="18"/>
              </w:rPr>
              <w:t>(</w:t>
            </w:r>
            <w:r>
              <w:rPr>
                <w:sz w:val="18"/>
              </w:rPr>
              <w:t>144</w:t>
            </w:r>
            <w:r w:rsidRPr="00961ED7">
              <w:rPr>
                <w:sz w:val="18"/>
              </w:rPr>
              <w:t xml:space="preserve"> acres)</w:t>
            </w:r>
          </w:p>
        </w:tc>
      </w:tr>
    </w:tbl>
    <w:p w14:paraId="474B25DD" w14:textId="53BE640D" w:rsidR="00CD25D8" w:rsidRPr="009F5E32" w:rsidRDefault="00CD25D8" w:rsidP="00742345">
      <w:pPr>
        <w:ind w:left="0" w:firstLine="0"/>
      </w:pPr>
      <w:bookmarkStart w:id="3" w:name="_Hlk492647026"/>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3675"/>
        <w:gridCol w:w="1440"/>
        <w:gridCol w:w="1020"/>
        <w:gridCol w:w="2505"/>
      </w:tblGrid>
      <w:tr w:rsidR="00CD25D8" w:rsidRPr="009F5E32" w14:paraId="40528DB4" w14:textId="77777777" w:rsidTr="00A80199">
        <w:trPr>
          <w:cantSplit/>
          <w:tblHeader/>
        </w:trPr>
        <w:tc>
          <w:tcPr>
            <w:tcW w:w="8640" w:type="dxa"/>
            <w:gridSpan w:val="4"/>
            <w:tcBorders>
              <w:top w:val="double" w:sz="4" w:space="0" w:color="auto"/>
              <w:bottom w:val="single" w:sz="4" w:space="0" w:color="auto"/>
            </w:tcBorders>
            <w:shd w:val="clear" w:color="auto" w:fill="F2F2F2" w:themeFill="background1" w:themeFillShade="F2"/>
            <w:vAlign w:val="center"/>
          </w:tcPr>
          <w:p w14:paraId="60553802" w14:textId="77777777" w:rsidR="00CD25D8" w:rsidRPr="009F5E32" w:rsidRDefault="00CD25D8" w:rsidP="00883656">
            <w:pPr>
              <w:keepNext/>
              <w:autoSpaceDE/>
              <w:autoSpaceDN/>
              <w:adjustRightInd/>
              <w:ind w:left="0" w:firstLine="0"/>
              <w:jc w:val="center"/>
              <w:outlineLvl w:val="2"/>
              <w:rPr>
                <w:b/>
                <w:bCs/>
                <w:snapToGrid w:val="0"/>
              </w:rPr>
            </w:pPr>
            <w:r w:rsidRPr="009F5E32">
              <w:rPr>
                <w:b/>
                <w:bCs/>
                <w:snapToGrid w:val="0"/>
              </w:rPr>
              <w:lastRenderedPageBreak/>
              <w:t>Landfill Operation - LFG Combustion Devices</w:t>
            </w:r>
          </w:p>
        </w:tc>
      </w:tr>
      <w:tr w:rsidR="00CD25D8" w:rsidRPr="009F5E32" w14:paraId="76EC6857" w14:textId="77777777" w:rsidTr="00A80199">
        <w:trPr>
          <w:cantSplit/>
          <w:trHeight w:val="298"/>
          <w:tblHeader/>
        </w:trPr>
        <w:tc>
          <w:tcPr>
            <w:tcW w:w="3675" w:type="dxa"/>
            <w:tcBorders>
              <w:top w:val="single" w:sz="4" w:space="0" w:color="auto"/>
              <w:bottom w:val="double" w:sz="4" w:space="0" w:color="auto"/>
            </w:tcBorders>
            <w:shd w:val="clear" w:color="auto" w:fill="F2F2F2" w:themeFill="background1" w:themeFillShade="F2"/>
            <w:vAlign w:val="center"/>
          </w:tcPr>
          <w:p w14:paraId="3A12F839" w14:textId="77777777" w:rsidR="00CD25D8" w:rsidRPr="009F5E32" w:rsidRDefault="00CD25D8" w:rsidP="0060201D">
            <w:pPr>
              <w:autoSpaceDE/>
              <w:autoSpaceDN/>
              <w:adjustRightInd/>
              <w:ind w:left="0" w:firstLine="0"/>
              <w:jc w:val="left"/>
              <w:rPr>
                <w:snapToGrid w:val="0"/>
                <w:sz w:val="18"/>
              </w:rPr>
            </w:pPr>
            <w:r w:rsidRPr="009F5E32">
              <w:rPr>
                <w:snapToGrid w:val="0"/>
                <w:sz w:val="18"/>
              </w:rPr>
              <w:t>LFG Combustion Device</w:t>
            </w:r>
          </w:p>
        </w:tc>
        <w:tc>
          <w:tcPr>
            <w:tcW w:w="1440" w:type="dxa"/>
            <w:tcBorders>
              <w:top w:val="single" w:sz="4" w:space="0" w:color="auto"/>
              <w:bottom w:val="double" w:sz="4" w:space="0" w:color="auto"/>
            </w:tcBorders>
            <w:shd w:val="clear" w:color="auto" w:fill="F2F2F2" w:themeFill="background1" w:themeFillShade="F2"/>
            <w:vAlign w:val="center"/>
          </w:tcPr>
          <w:p w14:paraId="04C987A4" w14:textId="77777777" w:rsidR="00CD25D8" w:rsidRPr="009F5E32" w:rsidRDefault="00CD25D8" w:rsidP="0060201D">
            <w:pPr>
              <w:autoSpaceDE/>
              <w:autoSpaceDN/>
              <w:adjustRightInd/>
              <w:ind w:left="0" w:firstLine="0"/>
              <w:jc w:val="center"/>
              <w:rPr>
                <w:snapToGrid w:val="0"/>
                <w:sz w:val="18"/>
              </w:rPr>
            </w:pPr>
            <w:r w:rsidRPr="009F5E32">
              <w:rPr>
                <w:snapToGrid w:val="0"/>
                <w:sz w:val="18"/>
              </w:rPr>
              <w:t xml:space="preserve">Size/Rating </w:t>
            </w:r>
            <w:r w:rsidRPr="009F5E32">
              <w:rPr>
                <w:snapToGrid w:val="0"/>
                <w:sz w:val="20"/>
                <w:vertAlign w:val="superscript"/>
              </w:rPr>
              <w:t>4</w:t>
            </w:r>
          </w:p>
        </w:tc>
        <w:tc>
          <w:tcPr>
            <w:tcW w:w="1020" w:type="dxa"/>
            <w:tcBorders>
              <w:top w:val="single" w:sz="4" w:space="0" w:color="auto"/>
              <w:bottom w:val="double" w:sz="4" w:space="0" w:color="auto"/>
            </w:tcBorders>
            <w:shd w:val="clear" w:color="auto" w:fill="F2F2F2" w:themeFill="background1" w:themeFillShade="F2"/>
            <w:vAlign w:val="center"/>
          </w:tcPr>
          <w:p w14:paraId="42654564" w14:textId="77777777" w:rsidR="00CD25D8" w:rsidRPr="009F5E32" w:rsidRDefault="00CD25D8" w:rsidP="0060201D">
            <w:pPr>
              <w:autoSpaceDE/>
              <w:autoSpaceDN/>
              <w:adjustRightInd/>
              <w:ind w:left="0" w:firstLine="0"/>
              <w:jc w:val="center"/>
              <w:rPr>
                <w:snapToGrid w:val="0"/>
                <w:sz w:val="18"/>
              </w:rPr>
            </w:pPr>
            <w:r w:rsidRPr="009F5E32">
              <w:rPr>
                <w:snapToGrid w:val="0"/>
                <w:sz w:val="18"/>
              </w:rPr>
              <w:t xml:space="preserve">Gas capacity </w:t>
            </w:r>
            <w:r w:rsidRPr="009F5E32">
              <w:rPr>
                <w:snapToGrid w:val="0"/>
                <w:sz w:val="20"/>
                <w:vertAlign w:val="superscript"/>
              </w:rPr>
              <w:t>5</w:t>
            </w:r>
          </w:p>
        </w:tc>
        <w:tc>
          <w:tcPr>
            <w:tcW w:w="2505" w:type="dxa"/>
            <w:tcBorders>
              <w:top w:val="single" w:sz="4" w:space="0" w:color="auto"/>
              <w:bottom w:val="double" w:sz="4" w:space="0" w:color="auto"/>
            </w:tcBorders>
            <w:shd w:val="clear" w:color="auto" w:fill="F2F2F2" w:themeFill="background1" w:themeFillShade="F2"/>
            <w:vAlign w:val="center"/>
          </w:tcPr>
          <w:p w14:paraId="4223EA9D" w14:textId="77777777" w:rsidR="00CD25D8" w:rsidRPr="009F5E32" w:rsidRDefault="00CD25D8" w:rsidP="0060201D">
            <w:pPr>
              <w:autoSpaceDE/>
              <w:autoSpaceDN/>
              <w:adjustRightInd/>
              <w:ind w:left="0" w:firstLine="0"/>
              <w:jc w:val="center"/>
              <w:rPr>
                <w:snapToGrid w:val="0"/>
                <w:sz w:val="18"/>
              </w:rPr>
            </w:pPr>
            <w:r w:rsidRPr="009F5E32">
              <w:rPr>
                <w:snapToGrid w:val="0"/>
                <w:sz w:val="18"/>
              </w:rPr>
              <w:t>Location, stack height</w:t>
            </w:r>
          </w:p>
        </w:tc>
      </w:tr>
      <w:tr w:rsidR="00CD25D8" w:rsidRPr="009F5E32" w14:paraId="572A52C4" w14:textId="77777777" w:rsidTr="008E7BA1">
        <w:trPr>
          <w:cantSplit/>
          <w:trHeight w:val="325"/>
        </w:trPr>
        <w:tc>
          <w:tcPr>
            <w:tcW w:w="3675" w:type="dxa"/>
            <w:tcBorders>
              <w:top w:val="single" w:sz="4" w:space="0" w:color="auto"/>
              <w:bottom w:val="single" w:sz="4" w:space="0" w:color="auto"/>
            </w:tcBorders>
          </w:tcPr>
          <w:p w14:paraId="666BD39B" w14:textId="77777777" w:rsidR="00CD25D8" w:rsidRPr="009F5E32" w:rsidRDefault="00CD25D8" w:rsidP="00883656">
            <w:pPr>
              <w:autoSpaceDE/>
              <w:autoSpaceDN/>
              <w:adjustRightInd/>
              <w:ind w:left="0" w:firstLine="0"/>
              <w:rPr>
                <w:snapToGrid w:val="0"/>
                <w:sz w:val="18"/>
              </w:rPr>
            </w:pPr>
            <w:r w:rsidRPr="009F5E32">
              <w:rPr>
                <w:snapToGrid w:val="0"/>
                <w:sz w:val="18"/>
              </w:rPr>
              <w:t>One (1) John Zink Utility Ground Flare</w:t>
            </w:r>
          </w:p>
        </w:tc>
        <w:tc>
          <w:tcPr>
            <w:tcW w:w="1440" w:type="dxa"/>
            <w:tcBorders>
              <w:top w:val="single" w:sz="4" w:space="0" w:color="auto"/>
              <w:bottom w:val="single" w:sz="4" w:space="0" w:color="auto"/>
            </w:tcBorders>
          </w:tcPr>
          <w:p w14:paraId="51A1C0D7" w14:textId="77777777" w:rsidR="00CD25D8" w:rsidRPr="009F5E32" w:rsidRDefault="00CD25D8" w:rsidP="00883656">
            <w:pPr>
              <w:autoSpaceDE/>
              <w:autoSpaceDN/>
              <w:adjustRightInd/>
              <w:ind w:left="0" w:firstLine="0"/>
              <w:jc w:val="center"/>
              <w:rPr>
                <w:snapToGrid w:val="0"/>
                <w:sz w:val="18"/>
              </w:rPr>
            </w:pPr>
            <w:r w:rsidRPr="009F5E32">
              <w:rPr>
                <w:snapToGrid w:val="0"/>
                <w:sz w:val="18"/>
              </w:rPr>
              <w:t xml:space="preserve">12” dia. / </w:t>
            </w:r>
          </w:p>
          <w:p w14:paraId="456FE8A6" w14:textId="77777777" w:rsidR="00CD25D8" w:rsidRPr="009F5E32" w:rsidRDefault="00CD25D8" w:rsidP="00883656">
            <w:pPr>
              <w:autoSpaceDE/>
              <w:autoSpaceDN/>
              <w:adjustRightInd/>
              <w:ind w:left="0" w:firstLine="0"/>
              <w:jc w:val="center"/>
              <w:rPr>
                <w:snapToGrid w:val="0"/>
                <w:sz w:val="18"/>
              </w:rPr>
            </w:pPr>
            <w:r w:rsidRPr="009F5E32">
              <w:rPr>
                <w:snapToGrid w:val="0"/>
                <w:sz w:val="18"/>
              </w:rPr>
              <w:t xml:space="preserve">75 MMBtu/hr </w:t>
            </w:r>
          </w:p>
        </w:tc>
        <w:tc>
          <w:tcPr>
            <w:tcW w:w="1020" w:type="dxa"/>
            <w:tcBorders>
              <w:top w:val="single" w:sz="4" w:space="0" w:color="auto"/>
              <w:bottom w:val="single" w:sz="4" w:space="0" w:color="auto"/>
            </w:tcBorders>
          </w:tcPr>
          <w:p w14:paraId="713CFB66" w14:textId="77777777" w:rsidR="00CD25D8" w:rsidRPr="009F5E32" w:rsidRDefault="00CD25D8" w:rsidP="00883656">
            <w:pPr>
              <w:autoSpaceDE/>
              <w:autoSpaceDN/>
              <w:adjustRightInd/>
              <w:ind w:left="0" w:firstLine="0"/>
              <w:jc w:val="center"/>
              <w:rPr>
                <w:snapToGrid w:val="0"/>
                <w:sz w:val="18"/>
              </w:rPr>
            </w:pPr>
            <w:r w:rsidRPr="009F5E32">
              <w:rPr>
                <w:snapToGrid w:val="0"/>
                <w:sz w:val="18"/>
              </w:rPr>
              <w:t>2,500 scfm</w:t>
            </w:r>
          </w:p>
        </w:tc>
        <w:tc>
          <w:tcPr>
            <w:tcW w:w="2505" w:type="dxa"/>
            <w:tcBorders>
              <w:top w:val="single" w:sz="4" w:space="0" w:color="auto"/>
              <w:bottom w:val="single" w:sz="4" w:space="0" w:color="auto"/>
            </w:tcBorders>
          </w:tcPr>
          <w:p w14:paraId="4B8562C1" w14:textId="77777777" w:rsidR="00CD25D8" w:rsidRPr="009F5E32" w:rsidRDefault="00CD25D8" w:rsidP="00883656">
            <w:pPr>
              <w:autoSpaceDE/>
              <w:autoSpaceDN/>
              <w:adjustRightInd/>
              <w:ind w:left="0" w:firstLine="0"/>
              <w:jc w:val="left"/>
              <w:rPr>
                <w:snapToGrid w:val="0"/>
                <w:sz w:val="18"/>
              </w:rPr>
            </w:pPr>
            <w:r w:rsidRPr="009F5E32">
              <w:rPr>
                <w:snapToGrid w:val="0"/>
                <w:sz w:val="18"/>
              </w:rPr>
              <w:t>Lined Landfill; 35’ minimum.</w:t>
            </w:r>
          </w:p>
        </w:tc>
      </w:tr>
      <w:tr w:rsidR="00CD25D8" w:rsidRPr="009F5E32" w14:paraId="486C8BE4" w14:textId="77777777" w:rsidTr="008E7BA1">
        <w:trPr>
          <w:cantSplit/>
        </w:trPr>
        <w:tc>
          <w:tcPr>
            <w:tcW w:w="3675" w:type="dxa"/>
            <w:tcBorders>
              <w:top w:val="single" w:sz="4" w:space="0" w:color="auto"/>
              <w:bottom w:val="single" w:sz="4" w:space="0" w:color="auto"/>
            </w:tcBorders>
          </w:tcPr>
          <w:p w14:paraId="0DB5FC14" w14:textId="77777777" w:rsidR="00CD25D8" w:rsidRPr="009F5E32" w:rsidRDefault="00CD25D8" w:rsidP="00883656">
            <w:pPr>
              <w:autoSpaceDE/>
              <w:autoSpaceDN/>
              <w:adjustRightInd/>
              <w:ind w:left="0" w:firstLine="0"/>
              <w:jc w:val="left"/>
              <w:rPr>
                <w:snapToGrid w:val="0"/>
                <w:sz w:val="18"/>
              </w:rPr>
            </w:pPr>
            <w:r w:rsidRPr="009F5E32">
              <w:rPr>
                <w:snapToGrid w:val="0"/>
                <w:sz w:val="18"/>
              </w:rPr>
              <w:t>One (1) Parnel Biogas Utility Ground Flare</w:t>
            </w:r>
          </w:p>
        </w:tc>
        <w:tc>
          <w:tcPr>
            <w:tcW w:w="1440" w:type="dxa"/>
            <w:tcBorders>
              <w:top w:val="single" w:sz="4" w:space="0" w:color="auto"/>
              <w:bottom w:val="single" w:sz="4" w:space="0" w:color="auto"/>
            </w:tcBorders>
          </w:tcPr>
          <w:p w14:paraId="19943AB3" w14:textId="77777777" w:rsidR="00CD25D8" w:rsidRPr="009F5E32" w:rsidRDefault="00CD25D8" w:rsidP="00883656">
            <w:pPr>
              <w:autoSpaceDE/>
              <w:autoSpaceDN/>
              <w:adjustRightInd/>
              <w:ind w:left="0" w:firstLine="0"/>
              <w:jc w:val="center"/>
              <w:rPr>
                <w:snapToGrid w:val="0"/>
                <w:sz w:val="18"/>
              </w:rPr>
            </w:pPr>
            <w:r w:rsidRPr="009F5E32">
              <w:rPr>
                <w:snapToGrid w:val="0"/>
                <w:sz w:val="18"/>
              </w:rPr>
              <w:t xml:space="preserve">12” dia. / </w:t>
            </w:r>
          </w:p>
          <w:p w14:paraId="669C97AD" w14:textId="77777777" w:rsidR="00CD25D8" w:rsidRPr="009F5E32" w:rsidRDefault="00CD25D8" w:rsidP="00883656">
            <w:pPr>
              <w:autoSpaceDE/>
              <w:autoSpaceDN/>
              <w:adjustRightInd/>
              <w:ind w:left="0" w:firstLine="0"/>
              <w:jc w:val="center"/>
              <w:rPr>
                <w:snapToGrid w:val="0"/>
                <w:sz w:val="18"/>
              </w:rPr>
            </w:pPr>
            <w:r w:rsidRPr="009F5E32">
              <w:rPr>
                <w:snapToGrid w:val="0"/>
                <w:sz w:val="18"/>
              </w:rPr>
              <w:t>77.8 MMBtu/hr</w:t>
            </w:r>
          </w:p>
        </w:tc>
        <w:tc>
          <w:tcPr>
            <w:tcW w:w="1020" w:type="dxa"/>
            <w:tcBorders>
              <w:top w:val="single" w:sz="4" w:space="0" w:color="auto"/>
              <w:bottom w:val="single" w:sz="4" w:space="0" w:color="auto"/>
            </w:tcBorders>
          </w:tcPr>
          <w:p w14:paraId="2073BFF6" w14:textId="77777777" w:rsidR="00CD25D8" w:rsidRPr="009F5E32" w:rsidRDefault="00CD25D8" w:rsidP="00883656">
            <w:pPr>
              <w:autoSpaceDE/>
              <w:autoSpaceDN/>
              <w:adjustRightInd/>
              <w:ind w:left="0" w:firstLine="0"/>
              <w:jc w:val="center"/>
              <w:rPr>
                <w:snapToGrid w:val="0"/>
                <w:sz w:val="18"/>
              </w:rPr>
            </w:pPr>
            <w:r w:rsidRPr="009F5E32">
              <w:rPr>
                <w:snapToGrid w:val="0"/>
                <w:sz w:val="18"/>
              </w:rPr>
              <w:t>2,500 scfm</w:t>
            </w:r>
          </w:p>
        </w:tc>
        <w:tc>
          <w:tcPr>
            <w:tcW w:w="2505" w:type="dxa"/>
            <w:tcBorders>
              <w:top w:val="single" w:sz="4" w:space="0" w:color="auto"/>
              <w:bottom w:val="single" w:sz="4" w:space="0" w:color="auto"/>
            </w:tcBorders>
          </w:tcPr>
          <w:p w14:paraId="1397FA5D" w14:textId="77777777" w:rsidR="00CD25D8" w:rsidRPr="009F5E32" w:rsidRDefault="00CD25D8" w:rsidP="00883656">
            <w:pPr>
              <w:autoSpaceDE/>
              <w:autoSpaceDN/>
              <w:adjustRightInd/>
              <w:ind w:left="0" w:firstLine="0"/>
              <w:jc w:val="left"/>
              <w:rPr>
                <w:snapToGrid w:val="0"/>
                <w:sz w:val="18"/>
              </w:rPr>
            </w:pPr>
            <w:r w:rsidRPr="009F5E32">
              <w:rPr>
                <w:snapToGrid w:val="0"/>
                <w:sz w:val="18"/>
              </w:rPr>
              <w:t>Lined Landfill; 35’ minimum.</w:t>
            </w:r>
          </w:p>
        </w:tc>
      </w:tr>
      <w:tr w:rsidR="00CD25D8" w:rsidRPr="009F5E32" w14:paraId="2F0EA5C7" w14:textId="77777777" w:rsidTr="008E7BA1">
        <w:trPr>
          <w:cantSplit/>
        </w:trPr>
        <w:tc>
          <w:tcPr>
            <w:tcW w:w="3675" w:type="dxa"/>
            <w:tcBorders>
              <w:top w:val="single" w:sz="4" w:space="0" w:color="auto"/>
              <w:bottom w:val="double" w:sz="4" w:space="0" w:color="auto"/>
            </w:tcBorders>
          </w:tcPr>
          <w:p w14:paraId="073F75F6" w14:textId="77777777" w:rsidR="00CD25D8" w:rsidRPr="009F5E32" w:rsidRDefault="00CD25D8" w:rsidP="00883656">
            <w:pPr>
              <w:autoSpaceDE/>
              <w:autoSpaceDN/>
              <w:adjustRightInd/>
              <w:ind w:left="0" w:firstLine="0"/>
              <w:jc w:val="left"/>
              <w:rPr>
                <w:snapToGrid w:val="0"/>
                <w:sz w:val="18"/>
              </w:rPr>
            </w:pPr>
            <w:r w:rsidRPr="009F5E32">
              <w:rPr>
                <w:snapToGrid w:val="0"/>
                <w:sz w:val="18"/>
              </w:rPr>
              <w:t>Two (2) LTI Model CF-5 Passive Flares (to be removed with relocation of refuse in Areas A &amp; B)</w:t>
            </w:r>
          </w:p>
        </w:tc>
        <w:tc>
          <w:tcPr>
            <w:tcW w:w="1440" w:type="dxa"/>
            <w:tcBorders>
              <w:top w:val="single" w:sz="4" w:space="0" w:color="auto"/>
              <w:bottom w:val="double" w:sz="4" w:space="0" w:color="auto"/>
            </w:tcBorders>
          </w:tcPr>
          <w:p w14:paraId="289D0076" w14:textId="77777777" w:rsidR="00CD25D8" w:rsidRPr="009F5E32" w:rsidRDefault="00CD25D8" w:rsidP="00883656">
            <w:pPr>
              <w:autoSpaceDE/>
              <w:autoSpaceDN/>
              <w:adjustRightInd/>
              <w:ind w:left="0" w:firstLine="0"/>
              <w:jc w:val="center"/>
              <w:rPr>
                <w:snapToGrid w:val="0"/>
                <w:sz w:val="18"/>
              </w:rPr>
            </w:pPr>
            <w:r w:rsidRPr="009F5E32">
              <w:rPr>
                <w:snapToGrid w:val="0"/>
                <w:sz w:val="18"/>
              </w:rPr>
              <w:t>2” dia.</w:t>
            </w:r>
          </w:p>
        </w:tc>
        <w:tc>
          <w:tcPr>
            <w:tcW w:w="1020" w:type="dxa"/>
            <w:tcBorders>
              <w:top w:val="single" w:sz="4" w:space="0" w:color="auto"/>
              <w:bottom w:val="double" w:sz="4" w:space="0" w:color="auto"/>
            </w:tcBorders>
          </w:tcPr>
          <w:p w14:paraId="2A277B25" w14:textId="77777777" w:rsidR="00CD25D8" w:rsidRPr="009F5E32" w:rsidRDefault="00CD25D8" w:rsidP="00883656">
            <w:pPr>
              <w:autoSpaceDE/>
              <w:autoSpaceDN/>
              <w:adjustRightInd/>
              <w:ind w:left="0" w:firstLine="0"/>
              <w:jc w:val="center"/>
              <w:rPr>
                <w:snapToGrid w:val="0"/>
                <w:sz w:val="18"/>
              </w:rPr>
            </w:pPr>
            <w:r w:rsidRPr="009F5E32">
              <w:rPr>
                <w:snapToGrid w:val="0"/>
                <w:sz w:val="18"/>
              </w:rPr>
              <w:t>60 scfm each</w:t>
            </w:r>
          </w:p>
        </w:tc>
        <w:tc>
          <w:tcPr>
            <w:tcW w:w="2505" w:type="dxa"/>
            <w:tcBorders>
              <w:top w:val="single" w:sz="4" w:space="0" w:color="auto"/>
              <w:bottom w:val="double" w:sz="4" w:space="0" w:color="auto"/>
            </w:tcBorders>
          </w:tcPr>
          <w:p w14:paraId="47AC10D5" w14:textId="77777777" w:rsidR="00CD25D8" w:rsidRPr="009F5E32" w:rsidRDefault="00CD25D8" w:rsidP="00883656">
            <w:pPr>
              <w:autoSpaceDE/>
              <w:autoSpaceDN/>
              <w:adjustRightInd/>
              <w:ind w:left="0" w:firstLine="0"/>
              <w:jc w:val="left"/>
              <w:rPr>
                <w:snapToGrid w:val="0"/>
                <w:sz w:val="18"/>
              </w:rPr>
            </w:pPr>
            <w:r w:rsidRPr="009F5E32">
              <w:rPr>
                <w:snapToGrid w:val="0"/>
                <w:sz w:val="18"/>
              </w:rPr>
              <w:t xml:space="preserve">Unlined Landfill: (1) at Area A, (1) at Area B.  Minimum 8’ stack height each.  </w:t>
            </w:r>
          </w:p>
        </w:tc>
      </w:tr>
    </w:tbl>
    <w:p w14:paraId="5FFA9A6F" w14:textId="77777777" w:rsidR="00CD25D8" w:rsidRPr="009F5E32" w:rsidRDefault="00CD25D8" w:rsidP="00CD25D8">
      <w:pPr>
        <w:ind w:left="0" w:firstLine="0"/>
      </w:pPr>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305"/>
        <w:gridCol w:w="2250"/>
        <w:gridCol w:w="2085"/>
      </w:tblGrid>
      <w:tr w:rsidR="00CD25D8" w:rsidRPr="009F5E32" w14:paraId="6B2AE229" w14:textId="77777777" w:rsidTr="003B1C58">
        <w:trPr>
          <w:cantSplit/>
          <w:trHeight w:val="323"/>
          <w:tblHeader/>
        </w:trPr>
        <w:tc>
          <w:tcPr>
            <w:tcW w:w="8640" w:type="dxa"/>
            <w:gridSpan w:val="3"/>
            <w:tcBorders>
              <w:top w:val="double" w:sz="4" w:space="0" w:color="auto"/>
            </w:tcBorders>
            <w:shd w:val="clear" w:color="auto" w:fill="F2F2F2" w:themeFill="background1" w:themeFillShade="F2"/>
            <w:vAlign w:val="center"/>
          </w:tcPr>
          <w:p w14:paraId="1CEA7F85" w14:textId="77777777" w:rsidR="00CD25D8" w:rsidRPr="009F5E32" w:rsidRDefault="00CD25D8" w:rsidP="00CD25D8">
            <w:pPr>
              <w:autoSpaceDE/>
              <w:autoSpaceDN/>
              <w:adjustRightInd/>
              <w:ind w:left="0" w:firstLine="0"/>
              <w:jc w:val="center"/>
              <w:rPr>
                <w:b/>
                <w:snapToGrid w:val="0"/>
              </w:rPr>
            </w:pPr>
            <w:r w:rsidRPr="009F5E32">
              <w:rPr>
                <w:b/>
                <w:snapToGrid w:val="0"/>
              </w:rPr>
              <w:t>Landfill Operation - Miscellaneous Equipment</w:t>
            </w:r>
          </w:p>
        </w:tc>
      </w:tr>
      <w:tr w:rsidR="00CD25D8" w:rsidRPr="009F5E32" w14:paraId="5D2341DB" w14:textId="77777777" w:rsidTr="00A80199">
        <w:trPr>
          <w:cantSplit/>
          <w:tblHeader/>
        </w:trPr>
        <w:tc>
          <w:tcPr>
            <w:tcW w:w="4305" w:type="dxa"/>
            <w:tcBorders>
              <w:top w:val="single" w:sz="4" w:space="0" w:color="auto"/>
              <w:bottom w:val="double" w:sz="4" w:space="0" w:color="auto"/>
            </w:tcBorders>
            <w:shd w:val="clear" w:color="auto" w:fill="F2F2F2" w:themeFill="background1" w:themeFillShade="F2"/>
            <w:vAlign w:val="center"/>
          </w:tcPr>
          <w:p w14:paraId="67333EB8"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Equipment</w:t>
            </w:r>
          </w:p>
        </w:tc>
        <w:tc>
          <w:tcPr>
            <w:tcW w:w="2250" w:type="dxa"/>
            <w:tcBorders>
              <w:top w:val="single" w:sz="4" w:space="0" w:color="auto"/>
              <w:bottom w:val="double" w:sz="4" w:space="0" w:color="auto"/>
            </w:tcBorders>
            <w:shd w:val="clear" w:color="auto" w:fill="F2F2F2" w:themeFill="background1" w:themeFillShade="F2"/>
            <w:vAlign w:val="center"/>
          </w:tcPr>
          <w:p w14:paraId="33FA148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Rating</w:t>
            </w:r>
          </w:p>
        </w:tc>
        <w:tc>
          <w:tcPr>
            <w:tcW w:w="2085" w:type="dxa"/>
            <w:tcBorders>
              <w:top w:val="single" w:sz="4" w:space="0" w:color="auto"/>
              <w:bottom w:val="double" w:sz="4" w:space="0" w:color="auto"/>
            </w:tcBorders>
            <w:shd w:val="clear" w:color="auto" w:fill="F2F2F2" w:themeFill="background1" w:themeFillShade="F2"/>
            <w:vAlign w:val="center"/>
          </w:tcPr>
          <w:p w14:paraId="1BF33AC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Location</w:t>
            </w:r>
          </w:p>
        </w:tc>
      </w:tr>
      <w:tr w:rsidR="00CD25D8" w:rsidRPr="009F5E32" w14:paraId="2DF83127" w14:textId="77777777" w:rsidTr="00883656">
        <w:trPr>
          <w:cantSplit/>
        </w:trPr>
        <w:tc>
          <w:tcPr>
            <w:tcW w:w="4305" w:type="dxa"/>
            <w:tcBorders>
              <w:top w:val="double" w:sz="4" w:space="0" w:color="auto"/>
              <w:bottom w:val="single" w:sz="4" w:space="0" w:color="auto"/>
            </w:tcBorders>
          </w:tcPr>
          <w:p w14:paraId="2CA24CA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Two (2) Used oil Furnaces</w:t>
            </w:r>
          </w:p>
        </w:tc>
        <w:tc>
          <w:tcPr>
            <w:tcW w:w="2250" w:type="dxa"/>
            <w:tcBorders>
              <w:top w:val="double" w:sz="4" w:space="0" w:color="auto"/>
              <w:bottom w:val="single" w:sz="4" w:space="0" w:color="auto"/>
            </w:tcBorders>
          </w:tcPr>
          <w:p w14:paraId="69641B5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300,000 Btu/each</w:t>
            </w:r>
          </w:p>
        </w:tc>
        <w:tc>
          <w:tcPr>
            <w:tcW w:w="2085" w:type="dxa"/>
            <w:tcBorders>
              <w:top w:val="double" w:sz="4" w:space="0" w:color="auto"/>
              <w:bottom w:val="single" w:sz="4" w:space="0" w:color="auto"/>
            </w:tcBorders>
          </w:tcPr>
          <w:p w14:paraId="407A46B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Maintenance garage</w:t>
            </w:r>
          </w:p>
        </w:tc>
      </w:tr>
      <w:tr w:rsidR="00CD25D8" w:rsidRPr="009F5E32" w14:paraId="6F2AC594" w14:textId="77777777" w:rsidTr="00883656">
        <w:trPr>
          <w:cantSplit/>
        </w:trPr>
        <w:tc>
          <w:tcPr>
            <w:tcW w:w="4305" w:type="dxa"/>
            <w:tcBorders>
              <w:top w:val="single" w:sz="4" w:space="0" w:color="auto"/>
              <w:bottom w:val="single" w:sz="4" w:space="0" w:color="auto"/>
            </w:tcBorders>
          </w:tcPr>
          <w:p w14:paraId="2582680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Four (4) No. 2 Fuel-oil fired Portable Space Heaters</w:t>
            </w:r>
          </w:p>
        </w:tc>
        <w:tc>
          <w:tcPr>
            <w:tcW w:w="2250" w:type="dxa"/>
            <w:tcBorders>
              <w:top w:val="single" w:sz="4" w:space="0" w:color="auto"/>
              <w:bottom w:val="single" w:sz="4" w:space="0" w:color="auto"/>
            </w:tcBorders>
          </w:tcPr>
          <w:p w14:paraId="16DCC91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 x 110,000 Btu/each</w:t>
            </w:r>
          </w:p>
          <w:p w14:paraId="2F1BC303"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 x 175,000 Btu/each</w:t>
            </w:r>
          </w:p>
          <w:p w14:paraId="57151864"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 x 215,000 Btu/each</w:t>
            </w:r>
          </w:p>
        </w:tc>
        <w:tc>
          <w:tcPr>
            <w:tcW w:w="2085" w:type="dxa"/>
            <w:tcBorders>
              <w:top w:val="single" w:sz="4" w:space="0" w:color="auto"/>
              <w:bottom w:val="single" w:sz="4" w:space="0" w:color="auto"/>
            </w:tcBorders>
          </w:tcPr>
          <w:p w14:paraId="5F55870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Maintenance garage</w:t>
            </w:r>
          </w:p>
        </w:tc>
      </w:tr>
      <w:tr w:rsidR="00CD25D8" w:rsidRPr="009F5E32" w14:paraId="7ECC267B" w14:textId="77777777" w:rsidTr="00883656">
        <w:trPr>
          <w:cantSplit/>
        </w:trPr>
        <w:tc>
          <w:tcPr>
            <w:tcW w:w="4305" w:type="dxa"/>
            <w:tcBorders>
              <w:top w:val="single" w:sz="4" w:space="0" w:color="auto"/>
              <w:bottom w:val="single" w:sz="4" w:space="0" w:color="auto"/>
            </w:tcBorders>
          </w:tcPr>
          <w:p w14:paraId="56EAA006"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One (1) Fuel-oil fired Portable Space Heater</w:t>
            </w:r>
          </w:p>
        </w:tc>
        <w:tc>
          <w:tcPr>
            <w:tcW w:w="2250" w:type="dxa"/>
            <w:tcBorders>
              <w:top w:val="single" w:sz="4" w:space="0" w:color="auto"/>
              <w:bottom w:val="single" w:sz="4" w:space="0" w:color="auto"/>
            </w:tcBorders>
          </w:tcPr>
          <w:p w14:paraId="0209D755"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85,000 Btu/each</w:t>
            </w:r>
          </w:p>
        </w:tc>
        <w:tc>
          <w:tcPr>
            <w:tcW w:w="2085" w:type="dxa"/>
            <w:tcBorders>
              <w:top w:val="single" w:sz="4" w:space="0" w:color="auto"/>
              <w:bottom w:val="single" w:sz="4" w:space="0" w:color="auto"/>
            </w:tcBorders>
          </w:tcPr>
          <w:p w14:paraId="4E96807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Scale house</w:t>
            </w:r>
          </w:p>
        </w:tc>
      </w:tr>
      <w:tr w:rsidR="00CD25D8" w:rsidRPr="009F5E32" w14:paraId="60CD5ED3" w14:textId="77777777" w:rsidTr="00883656">
        <w:trPr>
          <w:cantSplit/>
        </w:trPr>
        <w:tc>
          <w:tcPr>
            <w:tcW w:w="4305" w:type="dxa"/>
            <w:tcBorders>
              <w:top w:val="single" w:sz="4" w:space="0" w:color="auto"/>
              <w:bottom w:val="single" w:sz="4" w:space="0" w:color="auto"/>
            </w:tcBorders>
          </w:tcPr>
          <w:p w14:paraId="78ED432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One (1) Safety-Kleen parts cleaner.</w:t>
            </w:r>
          </w:p>
        </w:tc>
        <w:tc>
          <w:tcPr>
            <w:tcW w:w="2250" w:type="dxa"/>
            <w:tcBorders>
              <w:top w:val="single" w:sz="4" w:space="0" w:color="auto"/>
              <w:bottom w:val="single" w:sz="4" w:space="0" w:color="auto"/>
            </w:tcBorders>
          </w:tcPr>
          <w:p w14:paraId="41371759"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w:t>
            </w:r>
          </w:p>
        </w:tc>
        <w:tc>
          <w:tcPr>
            <w:tcW w:w="2085" w:type="dxa"/>
            <w:tcBorders>
              <w:top w:val="single" w:sz="4" w:space="0" w:color="auto"/>
              <w:bottom w:val="single" w:sz="4" w:space="0" w:color="auto"/>
            </w:tcBorders>
          </w:tcPr>
          <w:p w14:paraId="798790D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Maintenance garage</w:t>
            </w:r>
          </w:p>
        </w:tc>
      </w:tr>
      <w:tr w:rsidR="00CD25D8" w:rsidRPr="009F5E32" w14:paraId="32E89A09" w14:textId="77777777" w:rsidTr="00883656">
        <w:trPr>
          <w:cantSplit/>
        </w:trPr>
        <w:tc>
          <w:tcPr>
            <w:tcW w:w="4305" w:type="dxa"/>
            <w:tcBorders>
              <w:top w:val="single" w:sz="4" w:space="0" w:color="auto"/>
              <w:bottom w:val="single" w:sz="4" w:space="0" w:color="auto"/>
            </w:tcBorders>
          </w:tcPr>
          <w:p w14:paraId="41BBBE43"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One (1) Used Oil Tank</w:t>
            </w:r>
          </w:p>
        </w:tc>
        <w:tc>
          <w:tcPr>
            <w:tcW w:w="2250" w:type="dxa"/>
            <w:tcBorders>
              <w:top w:val="single" w:sz="4" w:space="0" w:color="auto"/>
              <w:bottom w:val="single" w:sz="4" w:space="0" w:color="auto"/>
            </w:tcBorders>
            <w:vAlign w:val="center"/>
          </w:tcPr>
          <w:p w14:paraId="5A7EE29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2,000 gallons</w:t>
            </w:r>
          </w:p>
        </w:tc>
        <w:tc>
          <w:tcPr>
            <w:tcW w:w="2085" w:type="dxa"/>
            <w:tcBorders>
              <w:top w:val="single" w:sz="4" w:space="0" w:color="auto"/>
              <w:bottom w:val="single" w:sz="4" w:space="0" w:color="auto"/>
            </w:tcBorders>
          </w:tcPr>
          <w:p w14:paraId="50C8657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Maintenance garage</w:t>
            </w:r>
          </w:p>
        </w:tc>
      </w:tr>
      <w:tr w:rsidR="00CD25D8" w:rsidRPr="009F5E32" w14:paraId="63337723" w14:textId="77777777" w:rsidTr="00883656">
        <w:trPr>
          <w:cantSplit/>
        </w:trPr>
        <w:tc>
          <w:tcPr>
            <w:tcW w:w="4305" w:type="dxa"/>
            <w:tcBorders>
              <w:top w:val="single" w:sz="4" w:space="0" w:color="auto"/>
              <w:bottom w:val="single" w:sz="4" w:space="0" w:color="auto"/>
            </w:tcBorders>
          </w:tcPr>
          <w:p w14:paraId="206A1A05"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Two (2) Used Oil Tanks</w:t>
            </w:r>
          </w:p>
        </w:tc>
        <w:tc>
          <w:tcPr>
            <w:tcW w:w="2250" w:type="dxa"/>
            <w:tcBorders>
              <w:top w:val="single" w:sz="4" w:space="0" w:color="auto"/>
              <w:bottom w:val="single" w:sz="4" w:space="0" w:color="auto"/>
            </w:tcBorders>
            <w:vAlign w:val="center"/>
          </w:tcPr>
          <w:p w14:paraId="217507F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500 gallons each</w:t>
            </w:r>
          </w:p>
        </w:tc>
        <w:tc>
          <w:tcPr>
            <w:tcW w:w="2085" w:type="dxa"/>
            <w:tcBorders>
              <w:top w:val="single" w:sz="4" w:space="0" w:color="auto"/>
              <w:bottom w:val="single" w:sz="4" w:space="0" w:color="auto"/>
            </w:tcBorders>
          </w:tcPr>
          <w:p w14:paraId="21C0240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Maintenance garage / Scale House</w:t>
            </w:r>
          </w:p>
        </w:tc>
      </w:tr>
      <w:tr w:rsidR="00CD25D8" w:rsidRPr="009F5E32" w14:paraId="6908E415" w14:textId="77777777" w:rsidTr="00883656">
        <w:trPr>
          <w:cantSplit/>
        </w:trPr>
        <w:tc>
          <w:tcPr>
            <w:tcW w:w="4305" w:type="dxa"/>
            <w:tcBorders>
              <w:top w:val="single" w:sz="4" w:space="0" w:color="auto"/>
              <w:bottom w:val="single" w:sz="4" w:space="0" w:color="auto"/>
            </w:tcBorders>
          </w:tcPr>
          <w:p w14:paraId="486E5BF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Two (2) Diesel Fuel Tanks</w:t>
            </w:r>
          </w:p>
        </w:tc>
        <w:tc>
          <w:tcPr>
            <w:tcW w:w="2250" w:type="dxa"/>
            <w:tcBorders>
              <w:top w:val="single" w:sz="4" w:space="0" w:color="auto"/>
              <w:bottom w:val="single" w:sz="4" w:space="0" w:color="auto"/>
            </w:tcBorders>
            <w:vAlign w:val="center"/>
          </w:tcPr>
          <w:p w14:paraId="4CCA31C6"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10,000 gallons each</w:t>
            </w:r>
          </w:p>
        </w:tc>
        <w:tc>
          <w:tcPr>
            <w:tcW w:w="2085" w:type="dxa"/>
            <w:tcBorders>
              <w:top w:val="single" w:sz="4" w:space="0" w:color="auto"/>
              <w:bottom w:val="single" w:sz="4" w:space="0" w:color="auto"/>
            </w:tcBorders>
          </w:tcPr>
          <w:p w14:paraId="03E45120"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Landfill depot / Contractor staging area</w:t>
            </w:r>
          </w:p>
        </w:tc>
      </w:tr>
      <w:tr w:rsidR="00CD25D8" w:rsidRPr="009F5E32" w14:paraId="32A18185" w14:textId="77777777" w:rsidTr="00883656">
        <w:trPr>
          <w:cantSplit/>
        </w:trPr>
        <w:tc>
          <w:tcPr>
            <w:tcW w:w="4305" w:type="dxa"/>
            <w:tcBorders>
              <w:top w:val="single" w:sz="4" w:space="0" w:color="auto"/>
              <w:bottom w:val="single" w:sz="4" w:space="0" w:color="auto"/>
            </w:tcBorders>
          </w:tcPr>
          <w:p w14:paraId="1522E0F5"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Various lubricating oil, hydraulic oil, heating oil and Used oil tanks</w:t>
            </w:r>
          </w:p>
        </w:tc>
        <w:tc>
          <w:tcPr>
            <w:tcW w:w="2250" w:type="dxa"/>
            <w:tcBorders>
              <w:top w:val="single" w:sz="4" w:space="0" w:color="auto"/>
              <w:bottom w:val="single" w:sz="4" w:space="0" w:color="auto"/>
            </w:tcBorders>
            <w:vAlign w:val="center"/>
          </w:tcPr>
          <w:p w14:paraId="761CDCF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&lt;500 gallons each</w:t>
            </w:r>
          </w:p>
        </w:tc>
        <w:tc>
          <w:tcPr>
            <w:tcW w:w="2085" w:type="dxa"/>
            <w:tcBorders>
              <w:top w:val="single" w:sz="4" w:space="0" w:color="auto"/>
              <w:bottom w:val="single" w:sz="4" w:space="0" w:color="auto"/>
            </w:tcBorders>
          </w:tcPr>
          <w:p w14:paraId="4C56A269"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Various</w:t>
            </w:r>
          </w:p>
        </w:tc>
      </w:tr>
      <w:tr w:rsidR="00CD25D8" w:rsidRPr="009F5E32" w14:paraId="05D4BDBC" w14:textId="77777777" w:rsidTr="00883656">
        <w:trPr>
          <w:cantSplit/>
        </w:trPr>
        <w:tc>
          <w:tcPr>
            <w:tcW w:w="4305" w:type="dxa"/>
            <w:tcBorders>
              <w:top w:val="single" w:sz="4" w:space="0" w:color="auto"/>
              <w:bottom w:val="double" w:sz="4" w:space="0" w:color="auto"/>
            </w:tcBorders>
          </w:tcPr>
          <w:p w14:paraId="78F289F4"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Four (4) Leachate storage tanks</w:t>
            </w:r>
          </w:p>
        </w:tc>
        <w:tc>
          <w:tcPr>
            <w:tcW w:w="2250" w:type="dxa"/>
            <w:tcBorders>
              <w:top w:val="single" w:sz="4" w:space="0" w:color="auto"/>
              <w:bottom w:val="double" w:sz="4" w:space="0" w:color="auto"/>
            </w:tcBorders>
          </w:tcPr>
          <w:p w14:paraId="0BA35027"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 xml:space="preserve">1 </w:t>
            </w:r>
            <w:proofErr w:type="gramStart"/>
            <w:r w:rsidRPr="009F5E32">
              <w:rPr>
                <w:snapToGrid w:val="0"/>
                <w:sz w:val="18"/>
                <w:szCs w:val="18"/>
              </w:rPr>
              <w:t>x  20,000</w:t>
            </w:r>
            <w:proofErr w:type="gramEnd"/>
            <w:r w:rsidRPr="009F5E32">
              <w:rPr>
                <w:snapToGrid w:val="0"/>
                <w:sz w:val="18"/>
                <w:szCs w:val="18"/>
              </w:rPr>
              <w:t xml:space="preserve"> gallon each</w:t>
            </w:r>
          </w:p>
          <w:p w14:paraId="13469B0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 x 30,000 gallon each</w:t>
            </w:r>
          </w:p>
          <w:p w14:paraId="16B6DBA7"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 x 438,000 gallon each</w:t>
            </w:r>
          </w:p>
          <w:p w14:paraId="0015434E"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 x 438,000 gallon each</w:t>
            </w:r>
          </w:p>
        </w:tc>
        <w:tc>
          <w:tcPr>
            <w:tcW w:w="2085" w:type="dxa"/>
            <w:tcBorders>
              <w:top w:val="single" w:sz="4" w:space="0" w:color="auto"/>
              <w:bottom w:val="double" w:sz="4" w:space="0" w:color="auto"/>
            </w:tcBorders>
          </w:tcPr>
          <w:p w14:paraId="3F28FCAC" w14:textId="77777777" w:rsidR="0060201D" w:rsidRPr="0060201D" w:rsidRDefault="0060201D" w:rsidP="0060201D">
            <w:pPr>
              <w:autoSpaceDE/>
              <w:autoSpaceDN/>
              <w:adjustRightInd/>
              <w:ind w:left="0" w:firstLine="0"/>
              <w:rPr>
                <w:snapToGrid w:val="0"/>
                <w:sz w:val="18"/>
                <w:szCs w:val="18"/>
              </w:rPr>
            </w:pPr>
            <w:r w:rsidRPr="0060201D">
              <w:rPr>
                <w:snapToGrid w:val="0"/>
                <w:sz w:val="18"/>
                <w:szCs w:val="18"/>
              </w:rPr>
              <w:t>Landfill Operation</w:t>
            </w:r>
          </w:p>
          <w:p w14:paraId="22722C40" w14:textId="77777777" w:rsidR="0060201D" w:rsidRPr="0060201D" w:rsidRDefault="0060201D" w:rsidP="0060201D">
            <w:pPr>
              <w:autoSpaceDE/>
              <w:autoSpaceDN/>
              <w:adjustRightInd/>
              <w:ind w:left="0" w:firstLine="0"/>
              <w:rPr>
                <w:snapToGrid w:val="0"/>
                <w:sz w:val="18"/>
                <w:szCs w:val="18"/>
              </w:rPr>
            </w:pPr>
            <w:r w:rsidRPr="0060201D">
              <w:rPr>
                <w:snapToGrid w:val="0"/>
                <w:sz w:val="18"/>
                <w:szCs w:val="18"/>
              </w:rPr>
              <w:t>Landfill Operation</w:t>
            </w:r>
          </w:p>
          <w:p w14:paraId="11185DF5" w14:textId="77777777" w:rsidR="0060201D" w:rsidRPr="0060201D" w:rsidRDefault="0060201D" w:rsidP="0060201D">
            <w:pPr>
              <w:autoSpaceDE/>
              <w:autoSpaceDN/>
              <w:adjustRightInd/>
              <w:ind w:left="0" w:firstLine="0"/>
              <w:rPr>
                <w:snapToGrid w:val="0"/>
                <w:sz w:val="18"/>
                <w:szCs w:val="18"/>
              </w:rPr>
            </w:pPr>
            <w:r w:rsidRPr="0060201D">
              <w:rPr>
                <w:snapToGrid w:val="0"/>
                <w:sz w:val="18"/>
                <w:szCs w:val="18"/>
              </w:rPr>
              <w:t>Landfill Operation</w:t>
            </w:r>
          </w:p>
          <w:p w14:paraId="6E4C7295" w14:textId="6ED93726" w:rsidR="00CD25D8" w:rsidRPr="009F5E32" w:rsidRDefault="0060201D" w:rsidP="0060201D">
            <w:pPr>
              <w:autoSpaceDE/>
              <w:autoSpaceDN/>
              <w:adjustRightInd/>
              <w:ind w:left="0" w:firstLine="0"/>
              <w:rPr>
                <w:snapToGrid w:val="0"/>
                <w:sz w:val="18"/>
                <w:szCs w:val="18"/>
              </w:rPr>
            </w:pPr>
            <w:r w:rsidRPr="0060201D">
              <w:rPr>
                <w:snapToGrid w:val="0"/>
                <w:sz w:val="18"/>
                <w:szCs w:val="18"/>
              </w:rPr>
              <w:t>Proposed for Phase VI</w:t>
            </w:r>
          </w:p>
        </w:tc>
      </w:tr>
    </w:tbl>
    <w:p w14:paraId="2C0377AE" w14:textId="6B11B8F7" w:rsidR="00CD25D8" w:rsidRPr="009F5E32" w:rsidRDefault="00CD25D8" w:rsidP="00CD25D8">
      <w:pPr>
        <w:ind w:left="0" w:firstLine="0"/>
      </w:pPr>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535"/>
        <w:gridCol w:w="2140"/>
        <w:gridCol w:w="1965"/>
      </w:tblGrid>
      <w:tr w:rsidR="00CD25D8" w:rsidRPr="009F5E32" w14:paraId="49E0231E" w14:textId="77777777" w:rsidTr="00A80199">
        <w:trPr>
          <w:cantSplit/>
          <w:trHeight w:val="251"/>
          <w:tblHeader/>
        </w:trPr>
        <w:tc>
          <w:tcPr>
            <w:tcW w:w="8640" w:type="dxa"/>
            <w:gridSpan w:val="3"/>
            <w:tcBorders>
              <w:top w:val="double" w:sz="4" w:space="0" w:color="auto"/>
              <w:bottom w:val="single" w:sz="4" w:space="0" w:color="auto"/>
            </w:tcBorders>
            <w:shd w:val="clear" w:color="auto" w:fill="F2F2F2" w:themeFill="background1" w:themeFillShade="F2"/>
            <w:vAlign w:val="center"/>
          </w:tcPr>
          <w:p w14:paraId="1791A7D4" w14:textId="77777777" w:rsidR="00CD25D8" w:rsidRPr="009F5E32" w:rsidRDefault="00CD25D8" w:rsidP="00CD25D8">
            <w:pPr>
              <w:autoSpaceDE/>
              <w:autoSpaceDN/>
              <w:adjustRightInd/>
              <w:ind w:left="0" w:firstLine="0"/>
              <w:jc w:val="center"/>
              <w:rPr>
                <w:b/>
                <w:snapToGrid w:val="0"/>
              </w:rPr>
            </w:pPr>
            <w:r w:rsidRPr="009F5E32">
              <w:rPr>
                <w:b/>
                <w:snapToGrid w:val="0"/>
              </w:rPr>
              <w:lastRenderedPageBreak/>
              <w:t>LFGTE Operation - Equipment</w:t>
            </w:r>
          </w:p>
        </w:tc>
      </w:tr>
      <w:tr w:rsidR="00CD25D8" w:rsidRPr="009F5E32" w14:paraId="7C34C5B7" w14:textId="77777777" w:rsidTr="00A80199">
        <w:trPr>
          <w:cantSplit/>
          <w:tblHeader/>
        </w:trPr>
        <w:tc>
          <w:tcPr>
            <w:tcW w:w="4535" w:type="dxa"/>
            <w:tcBorders>
              <w:top w:val="single" w:sz="4" w:space="0" w:color="auto"/>
              <w:bottom w:val="double" w:sz="4" w:space="0" w:color="auto"/>
            </w:tcBorders>
            <w:shd w:val="clear" w:color="auto" w:fill="F2F2F2" w:themeFill="background1" w:themeFillShade="F2"/>
            <w:vAlign w:val="center"/>
          </w:tcPr>
          <w:p w14:paraId="36B00B18"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Equipment</w:t>
            </w:r>
          </w:p>
        </w:tc>
        <w:tc>
          <w:tcPr>
            <w:tcW w:w="2140" w:type="dxa"/>
            <w:tcBorders>
              <w:top w:val="single" w:sz="4" w:space="0" w:color="auto"/>
              <w:bottom w:val="double" w:sz="4" w:space="0" w:color="auto"/>
            </w:tcBorders>
            <w:shd w:val="clear" w:color="auto" w:fill="F2F2F2" w:themeFill="background1" w:themeFillShade="F2"/>
            <w:vAlign w:val="center"/>
          </w:tcPr>
          <w:p w14:paraId="1AA65F5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Rating</w:t>
            </w:r>
          </w:p>
        </w:tc>
        <w:tc>
          <w:tcPr>
            <w:tcW w:w="1965" w:type="dxa"/>
            <w:tcBorders>
              <w:top w:val="single" w:sz="4" w:space="0" w:color="auto"/>
              <w:bottom w:val="double" w:sz="4" w:space="0" w:color="auto"/>
            </w:tcBorders>
            <w:shd w:val="clear" w:color="auto" w:fill="F2F2F2" w:themeFill="background1" w:themeFillShade="F2"/>
            <w:vAlign w:val="center"/>
          </w:tcPr>
          <w:p w14:paraId="7BA4CC0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Location</w:t>
            </w:r>
          </w:p>
        </w:tc>
      </w:tr>
      <w:tr w:rsidR="00CD25D8" w:rsidRPr="009F5E32" w14:paraId="75609A63" w14:textId="77777777" w:rsidTr="00883656">
        <w:trPr>
          <w:cantSplit/>
          <w:trHeight w:val="260"/>
        </w:trPr>
        <w:tc>
          <w:tcPr>
            <w:tcW w:w="4535" w:type="dxa"/>
            <w:tcBorders>
              <w:top w:val="double" w:sz="4" w:space="0" w:color="auto"/>
              <w:bottom w:val="single" w:sz="4" w:space="0" w:color="auto"/>
            </w:tcBorders>
          </w:tcPr>
          <w:p w14:paraId="0F920A46" w14:textId="77777777" w:rsidR="00CD25D8" w:rsidRPr="009F5E32" w:rsidRDefault="00CD25D8" w:rsidP="00CD25D8">
            <w:pPr>
              <w:autoSpaceDE/>
              <w:autoSpaceDN/>
              <w:adjustRightInd/>
              <w:ind w:left="0" w:firstLine="0"/>
              <w:rPr>
                <w:snapToGrid w:val="0"/>
                <w:sz w:val="18"/>
              </w:rPr>
            </w:pPr>
            <w:r w:rsidRPr="009F5E32">
              <w:rPr>
                <w:snapToGrid w:val="0"/>
                <w:sz w:val="18"/>
              </w:rPr>
              <w:t xml:space="preserve">Five (5) CAT G3520C Engines </w:t>
            </w:r>
          </w:p>
          <w:p w14:paraId="70A0DE97" w14:textId="77777777" w:rsidR="00CD25D8" w:rsidRPr="009F5E32" w:rsidRDefault="00CD25D8" w:rsidP="00CD25D8">
            <w:pPr>
              <w:autoSpaceDE/>
              <w:autoSpaceDN/>
              <w:adjustRightInd/>
              <w:ind w:left="0" w:firstLine="0"/>
              <w:rPr>
                <w:snapToGrid w:val="0"/>
                <w:sz w:val="18"/>
              </w:rPr>
            </w:pPr>
          </w:p>
          <w:p w14:paraId="66884BC7" w14:textId="77777777" w:rsidR="00CD25D8" w:rsidRPr="009F5E32" w:rsidRDefault="00CD25D8" w:rsidP="00CD25D8">
            <w:pPr>
              <w:autoSpaceDE/>
              <w:autoSpaceDN/>
              <w:adjustRightInd/>
              <w:ind w:left="0" w:firstLine="0"/>
              <w:rPr>
                <w:iCs/>
                <w:snapToGrid w:val="0"/>
                <w:sz w:val="18"/>
              </w:rPr>
            </w:pPr>
            <w:r w:rsidRPr="009F5E32">
              <w:rPr>
                <w:snapToGrid w:val="0"/>
                <w:sz w:val="18"/>
              </w:rPr>
              <w:t>Engine 1, 2, and 3:  I</w:t>
            </w:r>
            <w:r w:rsidRPr="009F5E32">
              <w:rPr>
                <w:iCs/>
                <w:snapToGrid w:val="0"/>
                <w:sz w:val="18"/>
              </w:rPr>
              <w:t>nstalled March 2005</w:t>
            </w:r>
          </w:p>
          <w:p w14:paraId="15CFF420" w14:textId="77777777" w:rsidR="00CD25D8" w:rsidRPr="009F5E32" w:rsidRDefault="00CD25D8" w:rsidP="00CD25D8">
            <w:pPr>
              <w:autoSpaceDE/>
              <w:autoSpaceDN/>
              <w:adjustRightInd/>
              <w:ind w:left="0" w:firstLine="0"/>
              <w:rPr>
                <w:iCs/>
                <w:snapToGrid w:val="0"/>
                <w:sz w:val="18"/>
              </w:rPr>
            </w:pPr>
            <w:r w:rsidRPr="009F5E32">
              <w:rPr>
                <w:iCs/>
                <w:snapToGrid w:val="0"/>
                <w:sz w:val="18"/>
              </w:rPr>
              <w:t xml:space="preserve">Engine 4: Delivered January 12, 2007  </w:t>
            </w:r>
          </w:p>
          <w:p w14:paraId="65D53981" w14:textId="77777777" w:rsidR="00CD25D8" w:rsidRPr="009F5E32" w:rsidRDefault="00CD25D8" w:rsidP="00CD25D8">
            <w:pPr>
              <w:autoSpaceDE/>
              <w:autoSpaceDN/>
              <w:adjustRightInd/>
              <w:ind w:left="0" w:firstLine="0"/>
              <w:rPr>
                <w:snapToGrid w:val="0"/>
                <w:sz w:val="18"/>
                <w:szCs w:val="18"/>
              </w:rPr>
            </w:pPr>
            <w:r w:rsidRPr="009F5E32">
              <w:rPr>
                <w:iCs/>
                <w:snapToGrid w:val="0"/>
                <w:sz w:val="18"/>
              </w:rPr>
              <w:t>Engine 5:  Delivered on June 17, 2009</w:t>
            </w:r>
          </w:p>
        </w:tc>
        <w:tc>
          <w:tcPr>
            <w:tcW w:w="2140" w:type="dxa"/>
            <w:tcBorders>
              <w:top w:val="double" w:sz="4" w:space="0" w:color="auto"/>
              <w:bottom w:val="single" w:sz="4" w:space="0" w:color="auto"/>
            </w:tcBorders>
          </w:tcPr>
          <w:p w14:paraId="400BE773" w14:textId="77777777" w:rsidR="00CD25D8" w:rsidRPr="009F5E32" w:rsidRDefault="00CD25D8" w:rsidP="00CD25D8">
            <w:pPr>
              <w:autoSpaceDE/>
              <w:autoSpaceDN/>
              <w:adjustRightInd/>
              <w:ind w:left="0" w:firstLine="0"/>
              <w:rPr>
                <w:snapToGrid w:val="0"/>
                <w:sz w:val="18"/>
              </w:rPr>
            </w:pPr>
            <w:r w:rsidRPr="009F5E32">
              <w:rPr>
                <w:snapToGrid w:val="0"/>
                <w:sz w:val="18"/>
              </w:rPr>
              <w:t>2,221 bhp (1,600 kW) each engine</w:t>
            </w:r>
          </w:p>
          <w:p w14:paraId="23BAFB99" w14:textId="77777777" w:rsidR="00CD25D8" w:rsidRPr="009F5E32" w:rsidRDefault="00CD25D8" w:rsidP="00CD25D8">
            <w:pPr>
              <w:autoSpaceDE/>
              <w:autoSpaceDN/>
              <w:adjustRightInd/>
              <w:ind w:left="0" w:firstLine="0"/>
              <w:rPr>
                <w:snapToGrid w:val="0"/>
                <w:sz w:val="12"/>
                <w:szCs w:val="12"/>
              </w:rPr>
            </w:pPr>
          </w:p>
          <w:p w14:paraId="5752E7BC" w14:textId="77777777" w:rsidR="00CD25D8" w:rsidRPr="009F5E32" w:rsidRDefault="00CD25D8" w:rsidP="00CD25D8">
            <w:pPr>
              <w:autoSpaceDE/>
              <w:autoSpaceDN/>
              <w:adjustRightInd/>
              <w:ind w:left="0" w:firstLine="0"/>
              <w:rPr>
                <w:snapToGrid w:val="0"/>
                <w:sz w:val="18"/>
                <w:szCs w:val="18"/>
              </w:rPr>
            </w:pPr>
            <w:r w:rsidRPr="009F5E32">
              <w:rPr>
                <w:snapToGrid w:val="0"/>
                <w:sz w:val="18"/>
              </w:rPr>
              <w:t>507 scfm LFG fuel flow each engine</w:t>
            </w:r>
          </w:p>
        </w:tc>
        <w:tc>
          <w:tcPr>
            <w:tcW w:w="1965" w:type="dxa"/>
            <w:tcBorders>
              <w:top w:val="double" w:sz="4" w:space="0" w:color="auto"/>
              <w:bottom w:val="single" w:sz="4" w:space="0" w:color="auto"/>
            </w:tcBorders>
          </w:tcPr>
          <w:p w14:paraId="2290F842" w14:textId="77777777" w:rsidR="00CD25D8" w:rsidRPr="009F5E32" w:rsidRDefault="00CD25D8" w:rsidP="00CD25D8">
            <w:pPr>
              <w:autoSpaceDE/>
              <w:autoSpaceDN/>
              <w:adjustRightInd/>
              <w:ind w:left="0" w:firstLine="0"/>
              <w:jc w:val="left"/>
              <w:rPr>
                <w:snapToGrid w:val="0"/>
                <w:sz w:val="18"/>
              </w:rPr>
            </w:pPr>
            <w:r w:rsidRPr="009F5E32">
              <w:rPr>
                <w:snapToGrid w:val="0"/>
                <w:sz w:val="18"/>
              </w:rPr>
              <w:t>LFGTE Operation;</w:t>
            </w:r>
          </w:p>
          <w:p w14:paraId="2E90B11A" w14:textId="77777777" w:rsidR="00CD25D8" w:rsidRPr="009F5E32" w:rsidRDefault="00CD25D8" w:rsidP="00CD25D8">
            <w:pPr>
              <w:autoSpaceDE/>
              <w:autoSpaceDN/>
              <w:adjustRightInd/>
              <w:ind w:left="0" w:firstLine="0"/>
              <w:jc w:val="left"/>
              <w:rPr>
                <w:snapToGrid w:val="0"/>
                <w:sz w:val="12"/>
                <w:szCs w:val="12"/>
              </w:rPr>
            </w:pPr>
          </w:p>
          <w:p w14:paraId="7FE703F7" w14:textId="77777777" w:rsidR="00CD25D8" w:rsidRPr="009F5E32" w:rsidRDefault="00CD25D8" w:rsidP="00CD25D8">
            <w:pPr>
              <w:autoSpaceDE/>
              <w:autoSpaceDN/>
              <w:adjustRightInd/>
              <w:ind w:left="0" w:firstLine="0"/>
              <w:jc w:val="left"/>
              <w:rPr>
                <w:snapToGrid w:val="0"/>
                <w:sz w:val="18"/>
              </w:rPr>
            </w:pPr>
            <w:r w:rsidRPr="009F5E32">
              <w:rPr>
                <w:snapToGrid w:val="0"/>
                <w:sz w:val="18"/>
              </w:rPr>
              <w:t>28’ minimum, proposed stack height</w:t>
            </w:r>
          </w:p>
          <w:p w14:paraId="5C900C8C" w14:textId="77777777" w:rsidR="00CD25D8" w:rsidRPr="009F5E32" w:rsidRDefault="00CD25D8" w:rsidP="00CD25D8">
            <w:pPr>
              <w:autoSpaceDE/>
              <w:autoSpaceDN/>
              <w:adjustRightInd/>
              <w:ind w:left="0" w:firstLine="0"/>
              <w:jc w:val="left"/>
              <w:rPr>
                <w:snapToGrid w:val="0"/>
                <w:sz w:val="12"/>
                <w:szCs w:val="12"/>
              </w:rPr>
            </w:pPr>
          </w:p>
          <w:p w14:paraId="1D3E2D67" w14:textId="77777777" w:rsidR="00CD25D8" w:rsidRPr="009F5E32" w:rsidRDefault="00CD25D8" w:rsidP="00CD25D8">
            <w:pPr>
              <w:autoSpaceDE/>
              <w:autoSpaceDN/>
              <w:adjustRightInd/>
              <w:ind w:left="0" w:firstLine="0"/>
              <w:jc w:val="left"/>
              <w:rPr>
                <w:snapToGrid w:val="0"/>
                <w:sz w:val="18"/>
                <w:szCs w:val="18"/>
              </w:rPr>
            </w:pPr>
            <w:r w:rsidRPr="009F5E32">
              <w:rPr>
                <w:snapToGrid w:val="0"/>
                <w:sz w:val="18"/>
              </w:rPr>
              <w:t>34’ minimum installed no later than 12/31/2016.</w:t>
            </w:r>
          </w:p>
        </w:tc>
      </w:tr>
      <w:tr w:rsidR="00CD25D8" w:rsidRPr="009F5E32" w14:paraId="250F68BB" w14:textId="77777777" w:rsidTr="00883656">
        <w:trPr>
          <w:cantSplit/>
          <w:trHeight w:val="260"/>
        </w:trPr>
        <w:tc>
          <w:tcPr>
            <w:tcW w:w="4535" w:type="dxa"/>
            <w:tcBorders>
              <w:top w:val="single" w:sz="4" w:space="0" w:color="auto"/>
              <w:bottom w:val="single" w:sz="4" w:space="0" w:color="auto"/>
            </w:tcBorders>
            <w:vAlign w:val="center"/>
          </w:tcPr>
          <w:p w14:paraId="160FBD3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Two (2) Ethylene Glycol Storage Tanks</w:t>
            </w:r>
          </w:p>
        </w:tc>
        <w:tc>
          <w:tcPr>
            <w:tcW w:w="2140" w:type="dxa"/>
            <w:tcBorders>
              <w:top w:val="single" w:sz="4" w:space="0" w:color="auto"/>
              <w:bottom w:val="single" w:sz="4" w:space="0" w:color="auto"/>
            </w:tcBorders>
            <w:vAlign w:val="center"/>
          </w:tcPr>
          <w:p w14:paraId="74DB3E3F"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1,000 gallons each</w:t>
            </w:r>
          </w:p>
        </w:tc>
        <w:tc>
          <w:tcPr>
            <w:tcW w:w="1965" w:type="dxa"/>
            <w:tcBorders>
              <w:top w:val="single" w:sz="4" w:space="0" w:color="auto"/>
              <w:bottom w:val="single" w:sz="4" w:space="0" w:color="auto"/>
            </w:tcBorders>
            <w:vAlign w:val="center"/>
          </w:tcPr>
          <w:p w14:paraId="19EFF179"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r w:rsidR="00CD25D8" w:rsidRPr="009F5E32" w14:paraId="2CA4FF51" w14:textId="77777777" w:rsidTr="00883656">
        <w:trPr>
          <w:cantSplit/>
          <w:trHeight w:val="190"/>
        </w:trPr>
        <w:tc>
          <w:tcPr>
            <w:tcW w:w="4535" w:type="dxa"/>
            <w:tcBorders>
              <w:top w:val="single" w:sz="4" w:space="0" w:color="auto"/>
              <w:bottom w:val="single" w:sz="4" w:space="0" w:color="auto"/>
            </w:tcBorders>
            <w:vAlign w:val="center"/>
          </w:tcPr>
          <w:p w14:paraId="5B31832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One (1) Used Oil Tank</w:t>
            </w:r>
          </w:p>
        </w:tc>
        <w:tc>
          <w:tcPr>
            <w:tcW w:w="2140" w:type="dxa"/>
            <w:tcBorders>
              <w:top w:val="single" w:sz="4" w:space="0" w:color="auto"/>
              <w:bottom w:val="single" w:sz="4" w:space="0" w:color="auto"/>
            </w:tcBorders>
            <w:vAlign w:val="center"/>
          </w:tcPr>
          <w:p w14:paraId="158087D8"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2,000 gallons</w:t>
            </w:r>
          </w:p>
        </w:tc>
        <w:tc>
          <w:tcPr>
            <w:tcW w:w="1965" w:type="dxa"/>
            <w:tcBorders>
              <w:top w:val="single" w:sz="4" w:space="0" w:color="auto"/>
              <w:bottom w:val="single" w:sz="4" w:space="0" w:color="auto"/>
            </w:tcBorders>
            <w:vAlign w:val="center"/>
          </w:tcPr>
          <w:p w14:paraId="7EE830C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r w:rsidR="00CD25D8" w:rsidRPr="009F5E32" w14:paraId="63240B74" w14:textId="77777777" w:rsidTr="00883656">
        <w:trPr>
          <w:cantSplit/>
          <w:trHeight w:val="217"/>
        </w:trPr>
        <w:tc>
          <w:tcPr>
            <w:tcW w:w="4535" w:type="dxa"/>
            <w:tcBorders>
              <w:top w:val="single" w:sz="4" w:space="0" w:color="auto"/>
              <w:bottom w:val="single" w:sz="4" w:space="0" w:color="auto"/>
            </w:tcBorders>
            <w:vAlign w:val="center"/>
          </w:tcPr>
          <w:p w14:paraId="50E38DF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One (1) Lube Oil Storage Tank</w:t>
            </w:r>
          </w:p>
        </w:tc>
        <w:tc>
          <w:tcPr>
            <w:tcW w:w="2140" w:type="dxa"/>
            <w:tcBorders>
              <w:top w:val="single" w:sz="4" w:space="0" w:color="auto"/>
              <w:bottom w:val="single" w:sz="4" w:space="0" w:color="auto"/>
            </w:tcBorders>
            <w:vAlign w:val="center"/>
          </w:tcPr>
          <w:p w14:paraId="44CAC1EE"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8,000 gallons</w:t>
            </w:r>
          </w:p>
        </w:tc>
        <w:tc>
          <w:tcPr>
            <w:tcW w:w="1965" w:type="dxa"/>
            <w:tcBorders>
              <w:top w:val="single" w:sz="4" w:space="0" w:color="auto"/>
              <w:bottom w:val="single" w:sz="4" w:space="0" w:color="auto"/>
            </w:tcBorders>
            <w:vAlign w:val="center"/>
          </w:tcPr>
          <w:p w14:paraId="317EA8F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r w:rsidR="00CD25D8" w:rsidRPr="009F5E32" w14:paraId="36263D7D" w14:textId="77777777" w:rsidTr="00883656">
        <w:trPr>
          <w:cantSplit/>
        </w:trPr>
        <w:tc>
          <w:tcPr>
            <w:tcW w:w="4535" w:type="dxa"/>
            <w:tcBorders>
              <w:top w:val="single" w:sz="4" w:space="0" w:color="auto"/>
              <w:bottom w:val="single" w:sz="4" w:space="0" w:color="auto"/>
            </w:tcBorders>
            <w:vAlign w:val="center"/>
          </w:tcPr>
          <w:p w14:paraId="78D83C2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 xml:space="preserve">One (1) Olympian DP100P1 100 kW emergency generator powered with a Perkins 1006-6TG manufactured April 28, 2005 </w:t>
            </w:r>
          </w:p>
        </w:tc>
        <w:tc>
          <w:tcPr>
            <w:tcW w:w="2140" w:type="dxa"/>
            <w:tcBorders>
              <w:top w:val="single" w:sz="4" w:space="0" w:color="auto"/>
              <w:bottom w:val="single" w:sz="4" w:space="0" w:color="auto"/>
            </w:tcBorders>
            <w:vAlign w:val="center"/>
          </w:tcPr>
          <w:p w14:paraId="1A897EC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140 bhp</w:t>
            </w:r>
          </w:p>
        </w:tc>
        <w:tc>
          <w:tcPr>
            <w:tcW w:w="1965" w:type="dxa"/>
            <w:tcBorders>
              <w:top w:val="single" w:sz="4" w:space="0" w:color="auto"/>
              <w:bottom w:val="single" w:sz="4" w:space="0" w:color="auto"/>
            </w:tcBorders>
            <w:vAlign w:val="center"/>
          </w:tcPr>
          <w:p w14:paraId="27D1C95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r w:rsidR="00CD25D8" w:rsidRPr="009F5E32" w14:paraId="7027CD93" w14:textId="77777777" w:rsidTr="00883656">
        <w:trPr>
          <w:cantSplit/>
        </w:trPr>
        <w:tc>
          <w:tcPr>
            <w:tcW w:w="4535" w:type="dxa"/>
            <w:tcBorders>
              <w:top w:val="single" w:sz="4" w:space="0" w:color="auto"/>
              <w:bottom w:val="single" w:sz="4" w:space="0" w:color="auto"/>
            </w:tcBorders>
            <w:vAlign w:val="center"/>
          </w:tcPr>
          <w:p w14:paraId="7411BC4C"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 xml:space="preserve">LFG pretreatment system: IES LFG scrubbing system including a demister knock-out vessel, four (4) gas blower units, three (3) gas cooling units with separator knock-out vessel, one (1) mechanical gas chiller for process water. </w:t>
            </w:r>
          </w:p>
        </w:tc>
        <w:tc>
          <w:tcPr>
            <w:tcW w:w="2140" w:type="dxa"/>
            <w:tcBorders>
              <w:top w:val="single" w:sz="4" w:space="0" w:color="auto"/>
              <w:bottom w:val="single" w:sz="4" w:space="0" w:color="auto"/>
            </w:tcBorders>
            <w:vAlign w:val="center"/>
          </w:tcPr>
          <w:p w14:paraId="6771B248"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2,500 scfm</w:t>
            </w:r>
          </w:p>
        </w:tc>
        <w:tc>
          <w:tcPr>
            <w:tcW w:w="1965" w:type="dxa"/>
            <w:tcBorders>
              <w:top w:val="single" w:sz="4" w:space="0" w:color="auto"/>
              <w:bottom w:val="single" w:sz="4" w:space="0" w:color="auto"/>
            </w:tcBorders>
            <w:vAlign w:val="center"/>
          </w:tcPr>
          <w:p w14:paraId="0FD16BF8"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r w:rsidR="00CD25D8" w:rsidRPr="009F5E32" w14:paraId="52B04BD5" w14:textId="77777777" w:rsidTr="00883656">
        <w:trPr>
          <w:cantSplit/>
        </w:trPr>
        <w:tc>
          <w:tcPr>
            <w:tcW w:w="4535" w:type="dxa"/>
            <w:tcBorders>
              <w:top w:val="single" w:sz="4" w:space="0" w:color="auto"/>
              <w:bottom w:val="double" w:sz="4" w:space="0" w:color="auto"/>
            </w:tcBorders>
            <w:vAlign w:val="center"/>
          </w:tcPr>
          <w:p w14:paraId="4206815B"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 Siloxane Removal System (SRS):</w:t>
            </w:r>
          </w:p>
          <w:p w14:paraId="0E9D4AC4" w14:textId="77777777" w:rsidR="00CD25D8" w:rsidRPr="009F5E32" w:rsidRDefault="00CD25D8" w:rsidP="00CD25D8">
            <w:pPr>
              <w:autoSpaceDE/>
              <w:autoSpaceDN/>
              <w:adjustRightInd/>
              <w:ind w:left="0" w:firstLine="0"/>
              <w:rPr>
                <w:snapToGrid w:val="0"/>
                <w:sz w:val="10"/>
                <w:szCs w:val="10"/>
              </w:rPr>
            </w:pPr>
          </w:p>
          <w:p w14:paraId="4349F85A"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Two (2) temperature swing non-carbon adsorptive desiccant media beds, coalescing pre-filter and particulate after-filter, one (1) media regeneration skid with blower and electrically heated desorption hot air system, one (1) Regen Air pre-heater heat exchanger in loop with engine jacket water piping, enclosed ground flare for destruction of desorbed siloxanes, H</w:t>
            </w:r>
            <w:r w:rsidRPr="009F5E32">
              <w:rPr>
                <w:snapToGrid w:val="0"/>
                <w:sz w:val="18"/>
                <w:szCs w:val="18"/>
                <w:vertAlign w:val="subscript"/>
              </w:rPr>
              <w:t>2</w:t>
            </w:r>
            <w:r w:rsidRPr="009F5E32">
              <w:rPr>
                <w:snapToGrid w:val="0"/>
                <w:sz w:val="18"/>
                <w:szCs w:val="18"/>
              </w:rPr>
              <w:t xml:space="preserve">S, and VOCs. </w:t>
            </w:r>
          </w:p>
        </w:tc>
        <w:tc>
          <w:tcPr>
            <w:tcW w:w="2140" w:type="dxa"/>
            <w:tcBorders>
              <w:top w:val="single" w:sz="4" w:space="0" w:color="auto"/>
              <w:bottom w:val="double" w:sz="4" w:space="0" w:color="auto"/>
            </w:tcBorders>
            <w:vAlign w:val="center"/>
          </w:tcPr>
          <w:p w14:paraId="07C9628D"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2,500 scfm LFG inlet,</w:t>
            </w:r>
          </w:p>
          <w:p w14:paraId="53D66422"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200 acfm desorption gas at 300F to be mixed with 100 acfm LFG at flare for combustion.</w:t>
            </w:r>
          </w:p>
        </w:tc>
        <w:tc>
          <w:tcPr>
            <w:tcW w:w="1965" w:type="dxa"/>
            <w:tcBorders>
              <w:top w:val="single" w:sz="4" w:space="0" w:color="auto"/>
              <w:bottom w:val="double" w:sz="4" w:space="0" w:color="auto"/>
            </w:tcBorders>
            <w:vAlign w:val="center"/>
          </w:tcPr>
          <w:p w14:paraId="62CC4CEF" w14:textId="77777777" w:rsidR="00CD25D8" w:rsidRPr="009F5E32" w:rsidRDefault="00CD25D8" w:rsidP="00CD25D8">
            <w:pPr>
              <w:autoSpaceDE/>
              <w:autoSpaceDN/>
              <w:adjustRightInd/>
              <w:ind w:left="0" w:firstLine="0"/>
              <w:rPr>
                <w:snapToGrid w:val="0"/>
                <w:sz w:val="18"/>
                <w:szCs w:val="18"/>
              </w:rPr>
            </w:pPr>
            <w:r w:rsidRPr="009F5E32">
              <w:rPr>
                <w:snapToGrid w:val="0"/>
                <w:sz w:val="18"/>
                <w:szCs w:val="18"/>
              </w:rPr>
              <w:t>LFGTE Operation</w:t>
            </w:r>
          </w:p>
        </w:tc>
      </w:tr>
    </w:tbl>
    <w:p w14:paraId="21F1C4EF" w14:textId="601C5823" w:rsidR="00CD25D8" w:rsidRPr="009F5E32" w:rsidRDefault="00CD25D8" w:rsidP="00CD25D8">
      <w:pPr>
        <w:ind w:left="0" w:firstLine="0"/>
      </w:pPr>
    </w:p>
    <w:p w14:paraId="677CB787" w14:textId="77777777" w:rsidR="00CD25D8" w:rsidRPr="009F5E32" w:rsidRDefault="00CD25D8" w:rsidP="00CD25D8">
      <w:pPr>
        <w:autoSpaceDE/>
        <w:autoSpaceDN/>
        <w:adjustRightInd/>
        <w:ind w:left="720" w:firstLine="0"/>
        <w:rPr>
          <w:snapToGrid w:val="0"/>
          <w:sz w:val="16"/>
        </w:rPr>
      </w:pPr>
      <w:r w:rsidRPr="009F5E32">
        <w:rPr>
          <w:snapToGrid w:val="0"/>
          <w:sz w:val="20"/>
          <w:vertAlign w:val="superscript"/>
        </w:rPr>
        <w:t>1</w:t>
      </w:r>
      <w:r w:rsidRPr="009F5E32">
        <w:rPr>
          <w:snapToGrid w:val="0"/>
          <w:sz w:val="16"/>
        </w:rPr>
        <w:t xml:space="preserve"> Years of operation are approximate and are estimated for Phase IV, V and VI. </w:t>
      </w:r>
    </w:p>
    <w:p w14:paraId="369992A8" w14:textId="4A42EF4B" w:rsidR="00CD25D8" w:rsidRPr="009F5E32" w:rsidRDefault="00CD25D8" w:rsidP="00CD25D8">
      <w:pPr>
        <w:autoSpaceDE/>
        <w:autoSpaceDN/>
        <w:adjustRightInd/>
        <w:ind w:left="720" w:firstLine="0"/>
        <w:rPr>
          <w:snapToGrid w:val="0"/>
          <w:sz w:val="16"/>
        </w:rPr>
      </w:pPr>
      <w:r w:rsidRPr="009F5E32">
        <w:rPr>
          <w:snapToGrid w:val="0"/>
          <w:sz w:val="20"/>
          <w:vertAlign w:val="superscript"/>
        </w:rPr>
        <w:t>2</w:t>
      </w:r>
      <w:r w:rsidRPr="009F5E32">
        <w:rPr>
          <w:snapToGrid w:val="0"/>
          <w:sz w:val="16"/>
        </w:rPr>
        <w:t xml:space="preserve"> Mg – Mega grams.  To convert to English tons, multiply the Mg value by 1.1025. </w:t>
      </w:r>
    </w:p>
    <w:p w14:paraId="3C9BFDFD" w14:textId="02167982" w:rsidR="00CD25D8" w:rsidRPr="009F5E32" w:rsidRDefault="00CD25D8" w:rsidP="0060201D">
      <w:pPr>
        <w:autoSpaceDE/>
        <w:autoSpaceDN/>
        <w:adjustRightInd/>
        <w:ind w:left="864" w:hanging="144"/>
        <w:rPr>
          <w:snapToGrid w:val="0"/>
          <w:sz w:val="16"/>
          <w:szCs w:val="16"/>
        </w:rPr>
      </w:pPr>
      <w:r w:rsidRPr="009F5E32">
        <w:rPr>
          <w:snapToGrid w:val="0"/>
          <w:sz w:val="20"/>
          <w:vertAlign w:val="superscript"/>
        </w:rPr>
        <w:t>3</w:t>
      </w:r>
      <w:r w:rsidRPr="009F5E32">
        <w:rPr>
          <w:snapToGrid w:val="0"/>
          <w:sz w:val="20"/>
        </w:rPr>
        <w:t xml:space="preserve"> </w:t>
      </w:r>
      <w:bookmarkStart w:id="4" w:name="_Hlk500508678"/>
      <w:r w:rsidR="00A02DA4" w:rsidRPr="00A02DA4">
        <w:rPr>
          <w:snapToGrid w:val="0"/>
          <w:sz w:val="16"/>
          <w:szCs w:val="16"/>
        </w:rPr>
        <w:t xml:space="preserve">The Phase V expansion will overlay Areas A and B and encroach into areas included as part of Phases I, II, and III, resulting in a </w:t>
      </w:r>
      <w:r w:rsidR="00F96281" w:rsidRPr="00A02DA4">
        <w:rPr>
          <w:snapToGrid w:val="0"/>
          <w:sz w:val="16"/>
          <w:szCs w:val="16"/>
        </w:rPr>
        <w:t>2.8-acre</w:t>
      </w:r>
      <w:r w:rsidR="00A02DA4" w:rsidRPr="00A02DA4">
        <w:rPr>
          <w:snapToGrid w:val="0"/>
          <w:sz w:val="16"/>
          <w:szCs w:val="16"/>
        </w:rPr>
        <w:t xml:space="preserve"> net increase to the surface area covered by Areas A and B, and Phases I, II, and III.   </w:t>
      </w:r>
      <w:bookmarkEnd w:id="4"/>
      <w:r w:rsidR="0060201D">
        <w:rPr>
          <w:snapToGrid w:val="0"/>
          <w:sz w:val="16"/>
          <w:szCs w:val="16"/>
        </w:rPr>
        <w:t xml:space="preserve"> </w:t>
      </w:r>
    </w:p>
    <w:p w14:paraId="476BAD46" w14:textId="77777777" w:rsidR="00CD25D8" w:rsidRPr="009F5E32" w:rsidRDefault="00CD25D8" w:rsidP="00CD25D8">
      <w:pPr>
        <w:autoSpaceDE/>
        <w:autoSpaceDN/>
        <w:adjustRightInd/>
        <w:ind w:left="720" w:firstLine="0"/>
        <w:rPr>
          <w:snapToGrid w:val="0"/>
          <w:sz w:val="16"/>
        </w:rPr>
      </w:pPr>
      <w:r w:rsidRPr="009F5E32">
        <w:rPr>
          <w:snapToGrid w:val="0"/>
          <w:sz w:val="20"/>
          <w:vertAlign w:val="superscript"/>
        </w:rPr>
        <w:t>4</w:t>
      </w:r>
      <w:r w:rsidRPr="009F5E32">
        <w:rPr>
          <w:snapToGrid w:val="0"/>
          <w:sz w:val="16"/>
        </w:rPr>
        <w:t xml:space="preserve"> bhp – brake horsepower rated output as specified by the manufacturer.  kW - kilowatt electrical output.  </w:t>
      </w:r>
    </w:p>
    <w:p w14:paraId="08E33285" w14:textId="461B09FB" w:rsidR="00CD25D8" w:rsidRPr="009F5E32" w:rsidRDefault="00CD25D8" w:rsidP="00CD25D8">
      <w:pPr>
        <w:autoSpaceDE/>
        <w:autoSpaceDN/>
        <w:adjustRightInd/>
        <w:ind w:left="864" w:hanging="144"/>
        <w:rPr>
          <w:snapToGrid w:val="0"/>
          <w:sz w:val="16"/>
          <w:szCs w:val="16"/>
        </w:rPr>
      </w:pPr>
      <w:r w:rsidRPr="009F5E32">
        <w:rPr>
          <w:snapToGrid w:val="0"/>
          <w:sz w:val="20"/>
          <w:vertAlign w:val="superscript"/>
        </w:rPr>
        <w:t>5</w:t>
      </w:r>
      <w:r w:rsidRPr="009F5E32">
        <w:rPr>
          <w:snapToGrid w:val="0"/>
          <w:sz w:val="16"/>
        </w:rPr>
        <w:t xml:space="preserve"> scfm - standard cubic feet per minute of LFG.  LFG is assumed to contain 40% - 60% methane with the balance predominately carbon dioxide but also includes ~524 ppm nonmethane organic compounds (NMOCs) based on previous LFG sampling and analysis </w:t>
      </w:r>
      <w:r w:rsidR="00955190">
        <w:rPr>
          <w:snapToGrid w:val="0"/>
          <w:sz w:val="16"/>
        </w:rPr>
        <w:t xml:space="preserve">at </w:t>
      </w:r>
      <w:r w:rsidRPr="009F5E32">
        <w:rPr>
          <w:snapToGrid w:val="0"/>
          <w:sz w:val="16"/>
        </w:rPr>
        <w:t xml:space="preserve">the Landfill.  The maximum LFG generation rate is predicted to be 5,436 scfm in 2036 based on the LandGEM model ver. 3.02 with </w:t>
      </w:r>
      <w:bookmarkStart w:id="5" w:name="_Hlk492477641"/>
      <w:r w:rsidRPr="009F5E32">
        <w:rPr>
          <w:snapToGrid w:val="0"/>
          <w:sz w:val="16"/>
        </w:rPr>
        <w:t>values of L</w:t>
      </w:r>
      <w:r w:rsidRPr="009F5E32">
        <w:rPr>
          <w:snapToGrid w:val="0"/>
          <w:sz w:val="16"/>
          <w:vertAlign w:val="subscript"/>
        </w:rPr>
        <w:t>o</w:t>
      </w:r>
      <w:r w:rsidRPr="009F5E32">
        <w:rPr>
          <w:snapToGrid w:val="0"/>
          <w:sz w:val="16"/>
        </w:rPr>
        <w:t xml:space="preserve"> of 120 M</w:t>
      </w:r>
      <w:r w:rsidRPr="009F5E32">
        <w:rPr>
          <w:snapToGrid w:val="0"/>
          <w:sz w:val="20"/>
          <w:vertAlign w:val="superscript"/>
        </w:rPr>
        <w:t>3</w:t>
      </w:r>
      <w:r w:rsidRPr="009F5E32">
        <w:rPr>
          <w:snapToGrid w:val="0"/>
          <w:sz w:val="16"/>
        </w:rPr>
        <w:t xml:space="preserve"> / Mg and k of 0.06 yr</w:t>
      </w:r>
      <w:r w:rsidRPr="009F5E32">
        <w:rPr>
          <w:snapToGrid w:val="0"/>
          <w:sz w:val="20"/>
          <w:vertAlign w:val="superscript"/>
        </w:rPr>
        <w:t>-1</w:t>
      </w:r>
      <w:r w:rsidRPr="009F5E32">
        <w:rPr>
          <w:snapToGrid w:val="0"/>
          <w:sz w:val="16"/>
        </w:rPr>
        <w:t xml:space="preserve"> </w:t>
      </w:r>
      <w:bookmarkEnd w:id="5"/>
      <w:r w:rsidRPr="009F5E32">
        <w:rPr>
          <w:snapToGrid w:val="0"/>
          <w:sz w:val="16"/>
        </w:rPr>
        <w:t>from present to 2020.  Assumed values of L</w:t>
      </w:r>
      <w:r w:rsidRPr="009F5E32">
        <w:rPr>
          <w:snapToGrid w:val="0"/>
          <w:sz w:val="16"/>
          <w:vertAlign w:val="subscript"/>
        </w:rPr>
        <w:t>o</w:t>
      </w:r>
      <w:r w:rsidRPr="009F5E32">
        <w:rPr>
          <w:snapToGrid w:val="0"/>
          <w:sz w:val="16"/>
        </w:rPr>
        <w:t xml:space="preserve"> of 100 M</w:t>
      </w:r>
      <w:r w:rsidRPr="009F5E32">
        <w:rPr>
          <w:snapToGrid w:val="0"/>
          <w:sz w:val="20"/>
          <w:vertAlign w:val="superscript"/>
        </w:rPr>
        <w:t>3</w:t>
      </w:r>
      <w:r w:rsidRPr="009F5E32">
        <w:rPr>
          <w:snapToGrid w:val="0"/>
          <w:sz w:val="16"/>
        </w:rPr>
        <w:t xml:space="preserve"> / Mg and k of 0.05 yr</w:t>
      </w:r>
      <w:r w:rsidRPr="009F5E32">
        <w:rPr>
          <w:snapToGrid w:val="0"/>
          <w:sz w:val="20"/>
          <w:vertAlign w:val="superscript"/>
        </w:rPr>
        <w:t>-1</w:t>
      </w:r>
      <w:r w:rsidRPr="009F5E32">
        <w:rPr>
          <w:snapToGrid w:val="0"/>
          <w:sz w:val="16"/>
          <w:szCs w:val="16"/>
          <w:vertAlign w:val="superscript"/>
        </w:rPr>
        <w:t xml:space="preserve"> </w:t>
      </w:r>
      <w:r w:rsidRPr="009F5E32">
        <w:rPr>
          <w:snapToGrid w:val="0"/>
          <w:sz w:val="16"/>
          <w:szCs w:val="16"/>
        </w:rPr>
        <w:t>were assumed for the years 2021 and beyond to account for the change in refuse composition from the full implementation of Vermont’s Universal Recycling Law (ACT 148)</w:t>
      </w:r>
      <w:r w:rsidRPr="009F5E32">
        <w:rPr>
          <w:snapToGrid w:val="0"/>
          <w:sz w:val="16"/>
        </w:rPr>
        <w:t xml:space="preserve">.  LFG capture efficiency is assumed to be 85% over the life of the Landfill.  Collected gas volumes have been conservatively assumed to not exceed 5,000 scfm.  </w:t>
      </w:r>
    </w:p>
    <w:p w14:paraId="745C4292" w14:textId="77777777" w:rsidR="00CD25D8" w:rsidRPr="009F5E32" w:rsidRDefault="00CD25D8" w:rsidP="00CD25D8">
      <w:pPr>
        <w:ind w:left="0" w:firstLine="0"/>
      </w:pPr>
    </w:p>
    <w:bookmarkEnd w:id="3"/>
    <w:p w14:paraId="5324A9A9" w14:textId="77777777" w:rsidR="005E20C5" w:rsidRPr="009F5E32" w:rsidRDefault="005E20C5" w:rsidP="009F5824"/>
    <w:p w14:paraId="408D9502" w14:textId="77777777" w:rsidR="005E20C5" w:rsidRPr="009F5E32" w:rsidRDefault="005E20C5" w:rsidP="009F5824">
      <w:pPr>
        <w:rPr>
          <w:b/>
        </w:rPr>
      </w:pPr>
      <w:r w:rsidRPr="009F5E32">
        <w:rPr>
          <w:b/>
        </w:rPr>
        <w:lastRenderedPageBreak/>
        <w:t>3.0</w:t>
      </w:r>
      <w:r w:rsidRPr="009F5E32">
        <w:rPr>
          <w:b/>
        </w:rPr>
        <w:tab/>
      </w:r>
      <w:r w:rsidRPr="009F5E32">
        <w:rPr>
          <w:b/>
        </w:rPr>
        <w:tab/>
        <w:t>QUANTIFICATION OF POLLUTANTS</w:t>
      </w:r>
    </w:p>
    <w:p w14:paraId="129A34B0" w14:textId="77777777" w:rsidR="005E20C5" w:rsidRPr="009F5E32" w:rsidRDefault="005E20C5" w:rsidP="00A80566"/>
    <w:p w14:paraId="40E3F7F0" w14:textId="01F034E9" w:rsidR="005E20C5" w:rsidRPr="009F5E32" w:rsidRDefault="005E20C5" w:rsidP="00BD144F">
      <w:pPr>
        <w:ind w:left="720" w:firstLine="0"/>
      </w:pPr>
      <w:r w:rsidRPr="009F5E32">
        <w:t xml:space="preserve">The quantification of emissions from a stationary source is necessary </w:t>
      </w:r>
      <w:proofErr w:type="gramStart"/>
      <w:r w:rsidRPr="009F5E32">
        <w:t>in order to</w:t>
      </w:r>
      <w:proofErr w:type="gramEnd"/>
      <w:r w:rsidRPr="009F5E32">
        <w:t xml:space="preserve"> establish the </w:t>
      </w:r>
      <w:r w:rsidR="00AC699C" w:rsidRPr="009F5E32">
        <w:t>appropriate regulatory</w:t>
      </w:r>
      <w:r w:rsidRPr="009F5E32">
        <w:t xml:space="preserve"> review process for the operating permit application and to determine applicability with various air pollution control requirements.  These determinations are normally based upon allowable emissions.  Allowable emission</w:t>
      </w:r>
      <w:r w:rsidR="00790E76" w:rsidRPr="009F5E32">
        <w:t>s are</w:t>
      </w:r>
      <w:r w:rsidRPr="009F5E32">
        <w:t xml:space="preserve"> defined as the emission rate calculated using the maximum rated capacity of the source and, if applicable, either: (a) the applicable emission standard contained in the </w:t>
      </w:r>
      <w:r w:rsidRPr="009F5E32">
        <w:rPr>
          <w:i/>
        </w:rPr>
        <w:t>Regulations</w:t>
      </w:r>
      <w:r w:rsidRPr="009F5E32">
        <w:t xml:space="preserve">, if any, or (b) the emission rate or design, operational or equipment standard specified in any order or agreement issued under the </w:t>
      </w:r>
      <w:r w:rsidRPr="009F5E32">
        <w:rPr>
          <w:i/>
        </w:rPr>
        <w:t>Regulations</w:t>
      </w:r>
      <w:r w:rsidRPr="009F5E32">
        <w:t xml:space="preserve"> that is state and federally enforceable.  An applicant may impose in its application an emission rate or design, or an operational or equipment limitation which may be incorporated in the Permit to restrict operation to a lower level.  </w:t>
      </w:r>
      <w:r w:rsidR="00EB5494" w:rsidRPr="009F5E32">
        <w:t>Examples of s</w:t>
      </w:r>
      <w:r w:rsidRPr="009F5E32">
        <w:t>uch limitations may include</w:t>
      </w:r>
      <w:r w:rsidR="00EB5494" w:rsidRPr="009F5E32">
        <w:t>, but are not limited to,</w:t>
      </w:r>
      <w:r w:rsidRPr="009F5E32">
        <w:t xml:space="preserve"> fuel restrictions or production limits</w:t>
      </w:r>
    </w:p>
    <w:p w14:paraId="04AB8E47" w14:textId="77777777" w:rsidR="005E20C5" w:rsidRPr="009F5E32" w:rsidRDefault="005E20C5" w:rsidP="009D1B9B">
      <w:pPr>
        <w:ind w:left="0" w:firstLine="0"/>
      </w:pPr>
    </w:p>
    <w:p w14:paraId="447DF656" w14:textId="77777777" w:rsidR="005E20C5" w:rsidRPr="009F5E32" w:rsidRDefault="001D5F00" w:rsidP="00BD144F">
      <w:pPr>
        <w:ind w:left="720" w:firstLine="0"/>
      </w:pPr>
      <w:r w:rsidRPr="009F5E32">
        <w:t xml:space="preserve">Activities at the </w:t>
      </w:r>
      <w:r w:rsidR="005E20C5" w:rsidRPr="009F5E32">
        <w:t xml:space="preserve">Facility </w:t>
      </w:r>
      <w:r w:rsidRPr="009F5E32">
        <w:t xml:space="preserve">with </w:t>
      </w:r>
      <w:r w:rsidR="005E20C5" w:rsidRPr="009F5E32">
        <w:t xml:space="preserve">emissions </w:t>
      </w:r>
      <w:r w:rsidRPr="009F5E32">
        <w:t>that are not insignificant or exempt include the following</w:t>
      </w:r>
      <w:r w:rsidR="005E20C5" w:rsidRPr="009F5E32">
        <w:t xml:space="preserve">:  </w:t>
      </w:r>
    </w:p>
    <w:p w14:paraId="2F601217" w14:textId="77777777" w:rsidR="005E20C5" w:rsidRPr="009F5E32" w:rsidRDefault="005E20C5" w:rsidP="0049699A">
      <w:pPr>
        <w:ind w:left="0" w:firstLine="0"/>
      </w:pPr>
    </w:p>
    <w:p w14:paraId="13A2D5D3" w14:textId="0142E657" w:rsidR="00B74851" w:rsidRPr="009F5E32" w:rsidRDefault="00B74851" w:rsidP="009D1B9B">
      <w:pPr>
        <w:pStyle w:val="ListParagraph"/>
        <w:numPr>
          <w:ilvl w:val="0"/>
          <w:numId w:val="28"/>
        </w:numPr>
      </w:pPr>
      <w:r w:rsidRPr="009F5E32">
        <w:t>Fugitive</w:t>
      </w:r>
      <w:r w:rsidR="001D5F00" w:rsidRPr="009F5E32">
        <w:t xml:space="preserve"> emissions from </w:t>
      </w:r>
      <w:r w:rsidR="00EB5494" w:rsidRPr="009F5E32">
        <w:t xml:space="preserve">the Landfill Operation </w:t>
      </w:r>
      <w:r w:rsidR="001D5F00" w:rsidRPr="009F5E32">
        <w:t xml:space="preserve">that are not captured by the </w:t>
      </w:r>
      <w:r w:rsidR="00BE256A" w:rsidRPr="009F5E32">
        <w:t>LFG</w:t>
      </w:r>
      <w:r w:rsidR="001D5F00" w:rsidRPr="009F5E32">
        <w:t xml:space="preserve"> collection system.  </w:t>
      </w:r>
      <w:r w:rsidR="00191B1E" w:rsidRPr="009F5E32">
        <w:t xml:space="preserve">These emissions consist of NMOCs </w:t>
      </w:r>
      <w:r w:rsidR="005F712A" w:rsidRPr="009F5E32">
        <w:t xml:space="preserve">and hydrogen sulfide </w:t>
      </w:r>
      <w:r w:rsidR="00191B1E" w:rsidRPr="009F5E32">
        <w:t xml:space="preserve">that are present in the LFG.  </w:t>
      </w:r>
    </w:p>
    <w:p w14:paraId="68F1AE7B" w14:textId="39695EA0" w:rsidR="003E57E4" w:rsidRPr="009F5E32" w:rsidRDefault="003E57E4" w:rsidP="009D1B9B">
      <w:pPr>
        <w:pStyle w:val="ListParagraph"/>
        <w:numPr>
          <w:ilvl w:val="0"/>
          <w:numId w:val="28"/>
        </w:numPr>
      </w:pPr>
      <w:r w:rsidRPr="009F5E32">
        <w:t xml:space="preserve">Emissions of combustion byproducts from </w:t>
      </w:r>
      <w:r w:rsidR="00AC46D9" w:rsidRPr="009F5E32">
        <w:t xml:space="preserve">destruction of </w:t>
      </w:r>
      <w:r w:rsidR="00BE256A" w:rsidRPr="009F5E32">
        <w:t>LFG</w:t>
      </w:r>
      <w:r w:rsidR="00AC46D9" w:rsidRPr="009F5E32">
        <w:t xml:space="preserve"> in </w:t>
      </w:r>
      <w:r w:rsidRPr="009F5E32">
        <w:t>the four (4) open utility flares</w:t>
      </w:r>
      <w:r w:rsidR="00C41D4A" w:rsidRPr="009F5E32">
        <w:t xml:space="preserve">, </w:t>
      </w:r>
      <w:r w:rsidRPr="009F5E32">
        <w:t xml:space="preserve">two which are located at the lined </w:t>
      </w:r>
      <w:r w:rsidR="008069C5" w:rsidRPr="009F5E32">
        <w:t>area of the L</w:t>
      </w:r>
      <w:r w:rsidRPr="009F5E32">
        <w:t xml:space="preserve">andfill </w:t>
      </w:r>
      <w:r w:rsidR="008069C5" w:rsidRPr="009F5E32">
        <w:t xml:space="preserve">Operation </w:t>
      </w:r>
      <w:r w:rsidRPr="009F5E32">
        <w:t>and two at the unlined</w:t>
      </w:r>
      <w:r w:rsidR="008069C5" w:rsidRPr="009F5E32">
        <w:t xml:space="preserve"> area of the</w:t>
      </w:r>
      <w:r w:rsidRPr="009F5E32">
        <w:t xml:space="preserve"> </w:t>
      </w:r>
      <w:r w:rsidR="008069C5" w:rsidRPr="009F5E32">
        <w:t>L</w:t>
      </w:r>
      <w:r w:rsidRPr="009F5E32">
        <w:t>andfill</w:t>
      </w:r>
      <w:r w:rsidR="008069C5" w:rsidRPr="009F5E32">
        <w:t xml:space="preserve"> Operation</w:t>
      </w:r>
      <w:r w:rsidRPr="009F5E32">
        <w:t>.  After the Phase V relocation of waste</w:t>
      </w:r>
      <w:r w:rsidR="008069C5" w:rsidRPr="009F5E32">
        <w:t xml:space="preserve"> from the unlined area of the Landfill Operation</w:t>
      </w:r>
      <w:r w:rsidRPr="009F5E32">
        <w:t xml:space="preserve">, there will be two (2) flares remaining at the lined landfill.  </w:t>
      </w:r>
      <w:r w:rsidR="005F712A" w:rsidRPr="009F5E32">
        <w:t xml:space="preserve">The flares on the lined landfill are currently used as </w:t>
      </w:r>
      <w:r w:rsidR="008069C5" w:rsidRPr="009F5E32">
        <w:t xml:space="preserve">a </w:t>
      </w:r>
      <w:r w:rsidR="005F712A" w:rsidRPr="009F5E32">
        <w:t xml:space="preserve">backup </w:t>
      </w:r>
      <w:r w:rsidR="008069C5" w:rsidRPr="009F5E32">
        <w:t xml:space="preserve">combustion device for the engines in the LFGTE Operation.  </w:t>
      </w:r>
      <w:r w:rsidR="00A15F2C" w:rsidRPr="009F5E32">
        <w:t xml:space="preserve">The </w:t>
      </w:r>
      <w:r w:rsidR="005F712A" w:rsidRPr="009F5E32">
        <w:t xml:space="preserve">flares </w:t>
      </w:r>
      <w:r w:rsidR="008069C5" w:rsidRPr="009F5E32">
        <w:t>at</w:t>
      </w:r>
      <w:r w:rsidR="005F712A" w:rsidRPr="009F5E32">
        <w:t xml:space="preserve"> the </w:t>
      </w:r>
      <w:r w:rsidR="008069C5" w:rsidRPr="009F5E32">
        <w:t>unlined area of the Landfill Operation</w:t>
      </w:r>
      <w:r w:rsidR="008069C5" w:rsidRPr="009F5E32" w:rsidDel="008069C5">
        <w:t xml:space="preserve"> </w:t>
      </w:r>
      <w:r w:rsidR="00A15F2C" w:rsidRPr="009F5E32">
        <w:t>operate</w:t>
      </w:r>
      <w:r w:rsidR="005F712A" w:rsidRPr="009F5E32">
        <w:t xml:space="preserve"> continuously</w:t>
      </w:r>
      <w:r w:rsidR="00EA1609" w:rsidRPr="009F5E32">
        <w:t xml:space="preserve"> and independently of the LFGTE Operation</w:t>
      </w:r>
      <w:r w:rsidR="005F712A" w:rsidRPr="009F5E32">
        <w:t>.</w:t>
      </w:r>
    </w:p>
    <w:p w14:paraId="1ABF92AE" w14:textId="50BB582F" w:rsidR="005E20C5" w:rsidRPr="009F5E32" w:rsidRDefault="00AC46D9" w:rsidP="009D1B9B">
      <w:pPr>
        <w:pStyle w:val="ListParagraph"/>
        <w:numPr>
          <w:ilvl w:val="0"/>
          <w:numId w:val="28"/>
        </w:numPr>
      </w:pPr>
      <w:r w:rsidRPr="009F5E32">
        <w:t xml:space="preserve">Emissions of combustion byproducts from destruction of </w:t>
      </w:r>
      <w:r w:rsidR="00BE256A" w:rsidRPr="009F5E32">
        <w:t>LFG</w:t>
      </w:r>
      <w:r w:rsidRPr="009F5E32">
        <w:t xml:space="preserve"> in the five (5) </w:t>
      </w:r>
      <w:r w:rsidR="00373B10" w:rsidRPr="009F5E32">
        <w:t xml:space="preserve">CAT </w:t>
      </w:r>
      <w:r w:rsidR="00626D8E" w:rsidRPr="009F5E32">
        <w:t xml:space="preserve">G3520C </w:t>
      </w:r>
      <w:r w:rsidR="00373B10" w:rsidRPr="009F5E32">
        <w:t>e</w:t>
      </w:r>
      <w:r w:rsidR="00626D8E" w:rsidRPr="009F5E32">
        <w:t>ngines</w:t>
      </w:r>
      <w:r w:rsidR="008069C5" w:rsidRPr="009F5E32">
        <w:t xml:space="preserve"> at the LFGTE Operation</w:t>
      </w:r>
      <w:r w:rsidR="00B74851" w:rsidRPr="009F5E32">
        <w:t>.</w:t>
      </w:r>
      <w:r w:rsidR="00B96BBB" w:rsidRPr="009F5E32">
        <w:t xml:space="preserve">  </w:t>
      </w:r>
      <w:r w:rsidR="008069C5" w:rsidRPr="009F5E32">
        <w:t xml:space="preserve">Combustion byproducts include both criteria pollutants and VOCs formed by incomplete combustion.  </w:t>
      </w:r>
    </w:p>
    <w:p w14:paraId="3A08AAEC" w14:textId="77D8B3F7" w:rsidR="00A15F2C" w:rsidRPr="009F5E32" w:rsidRDefault="00A15F2C" w:rsidP="009D1B9B">
      <w:pPr>
        <w:pStyle w:val="ListParagraph"/>
        <w:numPr>
          <w:ilvl w:val="0"/>
          <w:numId w:val="28"/>
        </w:numPr>
      </w:pPr>
      <w:r w:rsidRPr="009F5E32">
        <w:t xml:space="preserve">Emissions of combustion byproducts from operation of the SRS flare used to treat offgas from the SRS.  </w:t>
      </w:r>
    </w:p>
    <w:p w14:paraId="1D758759" w14:textId="7AC4FB64" w:rsidR="00B96BBB" w:rsidRPr="009F5E32" w:rsidRDefault="00B96BBB" w:rsidP="009D1B9B">
      <w:pPr>
        <w:pStyle w:val="ListParagraph"/>
        <w:numPr>
          <w:ilvl w:val="0"/>
          <w:numId w:val="28"/>
        </w:numPr>
      </w:pPr>
      <w:r w:rsidRPr="009F5E32">
        <w:t xml:space="preserve">Emissions of uncombusted </w:t>
      </w:r>
      <w:r w:rsidR="00B34FD9" w:rsidRPr="009F5E32">
        <w:t>NMOCs</w:t>
      </w:r>
      <w:r w:rsidRPr="009F5E32">
        <w:t xml:space="preserve"> from the flares and engines at the Facility.  </w:t>
      </w:r>
      <w:r w:rsidR="00EA1609" w:rsidRPr="009F5E32">
        <w:t>These combustion devices</w:t>
      </w:r>
      <w:r w:rsidRPr="009F5E32">
        <w:t xml:space="preserve"> are not 100 percent effective in controlling NMOCs, and it is assumed that approximately 2 percent of the NMCOCs that pass through these devices are emitted to the ambient air.  </w:t>
      </w:r>
    </w:p>
    <w:p w14:paraId="10349713" w14:textId="3627F589" w:rsidR="00E90C6F" w:rsidRPr="009F5E32" w:rsidRDefault="00515473" w:rsidP="009D1B9B">
      <w:pPr>
        <w:pStyle w:val="ListParagraph"/>
        <w:numPr>
          <w:ilvl w:val="0"/>
          <w:numId w:val="28"/>
        </w:numPr>
      </w:pPr>
      <w:r w:rsidRPr="009F5E32">
        <w:t>Emissions from the emergency generator at the LFGTE Operation.</w:t>
      </w:r>
      <w:r w:rsidR="00125750" w:rsidRPr="009F5E32">
        <w:t xml:space="preserve">  </w:t>
      </w:r>
    </w:p>
    <w:p w14:paraId="6257B595" w14:textId="40A2D3CE" w:rsidR="00515473" w:rsidRPr="009F5E32" w:rsidRDefault="00E90C6F" w:rsidP="009D1B9B">
      <w:pPr>
        <w:pStyle w:val="ListParagraph"/>
        <w:numPr>
          <w:ilvl w:val="0"/>
          <w:numId w:val="28"/>
        </w:numPr>
      </w:pPr>
      <w:r w:rsidRPr="009F5E32">
        <w:t xml:space="preserve">Emissions from non-road engines used </w:t>
      </w:r>
      <w:r w:rsidR="00125750" w:rsidRPr="009F5E32">
        <w:t>for equipment support and waste and cover material placement and compaction at the Landfill Operation</w:t>
      </w:r>
      <w:r w:rsidR="00515473" w:rsidRPr="009F5E32">
        <w:t xml:space="preserve">  </w:t>
      </w:r>
    </w:p>
    <w:p w14:paraId="426AE990" w14:textId="77777777" w:rsidR="005E20C5" w:rsidRPr="009F5E32" w:rsidRDefault="005E20C5" w:rsidP="00B74851">
      <w:pPr>
        <w:pStyle w:val="ListParagraph"/>
        <w:ind w:left="0" w:firstLine="0"/>
      </w:pPr>
    </w:p>
    <w:p w14:paraId="1A8F16AD" w14:textId="62B4CAD9" w:rsidR="005E20C5" w:rsidRPr="009F5E32" w:rsidRDefault="00BF26D9" w:rsidP="00BD144F">
      <w:pPr>
        <w:ind w:left="720" w:firstLine="0"/>
      </w:pPr>
      <w:r w:rsidRPr="009F5E32">
        <w:t>Emissions were estimated on a Facility</w:t>
      </w:r>
      <w:r w:rsidR="00FB2520">
        <w:t>-wide</w:t>
      </w:r>
      <w:r w:rsidRPr="009F5E32">
        <w:t xml:space="preserve"> basis.  The individual Permittees at this Facility will each be responsible for estimating their components of overall Facility emissions.  </w:t>
      </w:r>
      <w:r w:rsidR="005E20C5" w:rsidRPr="009F5E32">
        <w:t>The estimation of potential to emit and allowable emissions of particulate matter (PM/PM</w:t>
      </w:r>
      <w:r w:rsidR="005E20C5" w:rsidRPr="009F5E32">
        <w:rPr>
          <w:vertAlign w:val="subscript"/>
        </w:rPr>
        <w:t>10</w:t>
      </w:r>
      <w:r w:rsidR="00760BB8" w:rsidRPr="009F5E32">
        <w:t>/PM</w:t>
      </w:r>
      <w:r w:rsidR="00760BB8" w:rsidRPr="009F5E32">
        <w:rPr>
          <w:vertAlign w:val="subscript"/>
        </w:rPr>
        <w:t>2.5</w:t>
      </w:r>
      <w:r w:rsidR="005E20C5" w:rsidRPr="009F5E32">
        <w:t>), sulfur dioxide (SO</w:t>
      </w:r>
      <w:r w:rsidR="005E20C5" w:rsidRPr="009F5E32">
        <w:rPr>
          <w:vertAlign w:val="subscript"/>
        </w:rPr>
        <w:t>2</w:t>
      </w:r>
      <w:r w:rsidR="005E20C5" w:rsidRPr="009F5E32">
        <w:t>), oxides of nitrogen (NO</w:t>
      </w:r>
      <w:r w:rsidR="005E20C5" w:rsidRPr="009F5E32">
        <w:rPr>
          <w:vertAlign w:val="subscript"/>
        </w:rPr>
        <w:t>x</w:t>
      </w:r>
      <w:r w:rsidR="005E20C5" w:rsidRPr="009F5E32">
        <w:t xml:space="preserve">), carbon monoxide (CO), volatile organic compounds (VOCs), hazardous air pollutants (HAPs) and hazardous air contaminants (HACs) from these sources are </w:t>
      </w:r>
      <w:r w:rsidR="00EA1609" w:rsidRPr="009F5E32">
        <w:t>described below</w:t>
      </w:r>
      <w:r w:rsidR="005E20C5" w:rsidRPr="009F5E32">
        <w:t>.</w:t>
      </w:r>
    </w:p>
    <w:p w14:paraId="7E65AAC2" w14:textId="77777777" w:rsidR="005E20C5" w:rsidRPr="009F5E32" w:rsidRDefault="005E20C5" w:rsidP="009D468E"/>
    <w:p w14:paraId="1D54D25C" w14:textId="71AC42D4" w:rsidR="005E20C5" w:rsidRPr="009F5E32" w:rsidRDefault="005E20C5" w:rsidP="009545AA">
      <w:pPr>
        <w:outlineLvl w:val="0"/>
      </w:pPr>
      <w:r w:rsidRPr="009F5E32">
        <w:rPr>
          <w:rFonts w:cs="Arial"/>
          <w:b/>
          <w:bCs/>
          <w:szCs w:val="22"/>
        </w:rPr>
        <w:lastRenderedPageBreak/>
        <w:t>3.1</w:t>
      </w:r>
      <w:r w:rsidR="006877D0" w:rsidRPr="009F5E32">
        <w:rPr>
          <w:rFonts w:cs="Arial"/>
          <w:b/>
          <w:bCs/>
          <w:szCs w:val="22"/>
        </w:rPr>
        <w:tab/>
      </w:r>
      <w:r w:rsidRPr="009F5E32">
        <w:rPr>
          <w:rFonts w:cs="Arial"/>
          <w:b/>
          <w:bCs/>
          <w:szCs w:val="22"/>
        </w:rPr>
        <w:tab/>
      </w:r>
      <w:r w:rsidR="00E83ED0" w:rsidRPr="009F5E32">
        <w:rPr>
          <w:rFonts w:cs="Arial"/>
          <w:b/>
          <w:bCs/>
          <w:szCs w:val="22"/>
        </w:rPr>
        <w:t>LFG</w:t>
      </w:r>
      <w:r w:rsidR="00C41D4A" w:rsidRPr="009F5E32">
        <w:rPr>
          <w:rFonts w:cs="Arial"/>
          <w:b/>
          <w:bCs/>
          <w:szCs w:val="22"/>
        </w:rPr>
        <w:t xml:space="preserve"> </w:t>
      </w:r>
      <w:r w:rsidRPr="009F5E32">
        <w:rPr>
          <w:rFonts w:cs="Arial"/>
          <w:b/>
          <w:bCs/>
          <w:szCs w:val="22"/>
        </w:rPr>
        <w:t>Emissions</w:t>
      </w:r>
      <w:r w:rsidRPr="009F5E32">
        <w:t xml:space="preserve">:  </w:t>
      </w:r>
    </w:p>
    <w:p w14:paraId="5A16CCE4" w14:textId="77777777" w:rsidR="005E20C5" w:rsidRPr="009F5E32" w:rsidRDefault="005E20C5" w:rsidP="001723CE">
      <w:pPr>
        <w:ind w:left="0" w:firstLine="0"/>
        <w:rPr>
          <w:szCs w:val="22"/>
        </w:rPr>
      </w:pPr>
    </w:p>
    <w:p w14:paraId="37BF2CE2" w14:textId="67BAD4FE" w:rsidR="009A571B" w:rsidRPr="009F5E32" w:rsidRDefault="00E23326" w:rsidP="006877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 xml:space="preserve">The total amount of </w:t>
      </w:r>
      <w:r w:rsidR="00191B1E" w:rsidRPr="009F5E32">
        <w:rPr>
          <w:rFonts w:cs="Arial"/>
          <w:szCs w:val="22"/>
        </w:rPr>
        <w:t>LFG</w:t>
      </w:r>
      <w:r w:rsidRPr="009F5E32">
        <w:rPr>
          <w:rFonts w:cs="Arial"/>
          <w:szCs w:val="22"/>
        </w:rPr>
        <w:t xml:space="preserve"> generated </w:t>
      </w:r>
      <w:r w:rsidR="00AD70F2" w:rsidRPr="009F5E32">
        <w:rPr>
          <w:rFonts w:cs="Arial"/>
          <w:szCs w:val="22"/>
        </w:rPr>
        <w:t xml:space="preserve">annually </w:t>
      </w:r>
      <w:r w:rsidRPr="009F5E32">
        <w:rPr>
          <w:rFonts w:cs="Arial"/>
          <w:szCs w:val="22"/>
        </w:rPr>
        <w:t xml:space="preserve">by the Landfill </w:t>
      </w:r>
      <w:r w:rsidR="00EB5494" w:rsidRPr="009F5E32">
        <w:rPr>
          <w:rFonts w:cs="Arial"/>
          <w:szCs w:val="22"/>
        </w:rPr>
        <w:t xml:space="preserve">Operation </w:t>
      </w:r>
      <w:r w:rsidRPr="009F5E32">
        <w:rPr>
          <w:rFonts w:cs="Arial"/>
          <w:szCs w:val="22"/>
        </w:rPr>
        <w:t xml:space="preserve">was </w:t>
      </w:r>
      <w:r w:rsidR="00207E84" w:rsidRPr="009F5E32">
        <w:rPr>
          <w:rFonts w:cs="Arial"/>
          <w:szCs w:val="22"/>
        </w:rPr>
        <w:t xml:space="preserve">estimated by </w:t>
      </w:r>
      <w:r w:rsidR="00EB5494" w:rsidRPr="009F5E32">
        <w:rPr>
          <w:rFonts w:cs="Arial"/>
          <w:szCs w:val="22"/>
        </w:rPr>
        <w:t xml:space="preserve">NEWSVT </w:t>
      </w:r>
      <w:r w:rsidR="00207E84" w:rsidRPr="009F5E32">
        <w:rPr>
          <w:rFonts w:cs="Arial"/>
          <w:szCs w:val="22"/>
        </w:rPr>
        <w:t xml:space="preserve">with </w:t>
      </w:r>
      <w:r w:rsidR="001C2E28" w:rsidRPr="009F5E32">
        <w:rPr>
          <w:rFonts w:cs="Arial"/>
          <w:szCs w:val="22"/>
        </w:rPr>
        <w:t xml:space="preserve">Version 3.02 of </w:t>
      </w:r>
      <w:r w:rsidR="00207E84" w:rsidRPr="009F5E32">
        <w:rPr>
          <w:rFonts w:cs="Arial"/>
          <w:szCs w:val="22"/>
        </w:rPr>
        <w:t xml:space="preserve">EPA’s </w:t>
      </w:r>
      <w:r w:rsidR="001C2E28" w:rsidRPr="009F5E32">
        <w:rPr>
          <w:rFonts w:cs="Arial"/>
          <w:szCs w:val="22"/>
        </w:rPr>
        <w:t>Landfill Gas Emission Model (</w:t>
      </w:r>
      <w:r w:rsidR="00207E84" w:rsidRPr="009F5E32">
        <w:rPr>
          <w:rFonts w:cs="Arial"/>
          <w:szCs w:val="22"/>
        </w:rPr>
        <w:t>LandGEM</w:t>
      </w:r>
      <w:r w:rsidR="001C2E28" w:rsidRPr="009F5E32">
        <w:rPr>
          <w:rFonts w:cs="Arial"/>
          <w:szCs w:val="22"/>
        </w:rPr>
        <w:t xml:space="preserve">) model.  The LandGEM model </w:t>
      </w:r>
      <w:r w:rsidR="00207E84" w:rsidRPr="009F5E32">
        <w:rPr>
          <w:rFonts w:cs="Arial"/>
          <w:szCs w:val="22"/>
        </w:rPr>
        <w:t>us</w:t>
      </w:r>
      <w:r w:rsidR="001C2E28" w:rsidRPr="009F5E32">
        <w:rPr>
          <w:rFonts w:cs="Arial"/>
          <w:szCs w:val="22"/>
        </w:rPr>
        <w:t xml:space="preserve">es a first order decay equation identified in 40 Code of Federal Regulations (CFR) Part 60.754 to estimate </w:t>
      </w:r>
      <w:r w:rsidR="00191B1E" w:rsidRPr="009F5E32">
        <w:rPr>
          <w:rFonts w:cs="Arial"/>
          <w:szCs w:val="22"/>
        </w:rPr>
        <w:t>LFG generation</w:t>
      </w:r>
      <w:r w:rsidR="001C2E28" w:rsidRPr="009F5E32">
        <w:rPr>
          <w:rFonts w:cs="Arial"/>
          <w:szCs w:val="22"/>
        </w:rPr>
        <w:t>.</w:t>
      </w:r>
      <w:r w:rsidRPr="009F5E32">
        <w:rPr>
          <w:rFonts w:cs="Arial"/>
          <w:szCs w:val="22"/>
        </w:rPr>
        <w:t xml:space="preserve"> </w:t>
      </w:r>
      <w:r w:rsidR="001C2E28" w:rsidRPr="009F5E32">
        <w:rPr>
          <w:rFonts w:cs="Arial"/>
          <w:szCs w:val="22"/>
        </w:rPr>
        <w:t xml:space="preserve"> Variables used in the equation include </w:t>
      </w:r>
      <w:r w:rsidR="00207E84" w:rsidRPr="009F5E32">
        <w:rPr>
          <w:rFonts w:cs="Arial"/>
          <w:szCs w:val="22"/>
        </w:rPr>
        <w:t>historical waste acceptance rates, proposed future waste acceptance rates, a</w:t>
      </w:r>
      <w:r w:rsidR="001C2E28" w:rsidRPr="009F5E32">
        <w:rPr>
          <w:rFonts w:cs="Arial"/>
          <w:szCs w:val="22"/>
        </w:rPr>
        <w:t xml:space="preserve"> methane generation rate constant and the methane generation potential of the waste.  </w:t>
      </w:r>
    </w:p>
    <w:p w14:paraId="3C299CB7" w14:textId="77777777" w:rsidR="009A571B" w:rsidRPr="009F5E32" w:rsidRDefault="009A571B" w:rsidP="009A57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55C2B96" w14:textId="079F51AF" w:rsidR="00645E12" w:rsidRPr="009F5E32" w:rsidRDefault="00802E83"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To account for the anti</w:t>
      </w:r>
      <w:r w:rsidR="00645E12" w:rsidRPr="009F5E32">
        <w:rPr>
          <w:rFonts w:cs="Arial"/>
          <w:szCs w:val="22"/>
        </w:rPr>
        <w:t>ci</w:t>
      </w:r>
      <w:r w:rsidRPr="009F5E32">
        <w:rPr>
          <w:rFonts w:cs="Arial"/>
          <w:szCs w:val="22"/>
        </w:rPr>
        <w:t>pated changes in LFG generation at the Landfill Operation, s</w:t>
      </w:r>
      <w:r w:rsidR="009A571B" w:rsidRPr="009F5E32">
        <w:rPr>
          <w:rFonts w:cs="Arial"/>
          <w:szCs w:val="22"/>
        </w:rPr>
        <w:t xml:space="preserve">ite-specific modeling parameters were used by </w:t>
      </w:r>
      <w:r w:rsidR="00EB5494" w:rsidRPr="009F5E32">
        <w:rPr>
          <w:rFonts w:cs="Arial"/>
          <w:szCs w:val="22"/>
        </w:rPr>
        <w:t>NEWSVT</w:t>
      </w:r>
      <w:r w:rsidR="009A571B" w:rsidRPr="009F5E32">
        <w:rPr>
          <w:rFonts w:cs="Arial"/>
          <w:szCs w:val="22"/>
        </w:rPr>
        <w:t xml:space="preserve"> to provide a likely estimate of gas generation rates from the landfill</w:t>
      </w:r>
      <w:r w:rsidR="00745F7D" w:rsidRPr="009F5E32">
        <w:rPr>
          <w:rFonts w:cs="Arial"/>
          <w:szCs w:val="22"/>
        </w:rPr>
        <w:t>, both with the current refuse composition, and with the likely future refuse composition</w:t>
      </w:r>
      <w:r w:rsidR="009A571B" w:rsidRPr="009F5E32">
        <w:rPr>
          <w:rFonts w:cs="Arial"/>
          <w:szCs w:val="22"/>
        </w:rPr>
        <w:t xml:space="preserve">.  </w:t>
      </w:r>
      <w:r w:rsidR="00645E12" w:rsidRPr="009F5E32">
        <w:rPr>
          <w:rFonts w:cs="Arial"/>
          <w:szCs w:val="22"/>
        </w:rPr>
        <w:t xml:space="preserve">NEWSVT does not anticipate that there will </w:t>
      </w:r>
      <w:r w:rsidR="001A2FB1">
        <w:rPr>
          <w:rFonts w:cs="Arial"/>
          <w:szCs w:val="22"/>
        </w:rPr>
        <w:t xml:space="preserve">be </w:t>
      </w:r>
      <w:r w:rsidR="00645E12" w:rsidRPr="009F5E32">
        <w:rPr>
          <w:rFonts w:cs="Arial"/>
          <w:szCs w:val="22"/>
        </w:rPr>
        <w:t xml:space="preserve">an increase in LFG generation associated with the proposed Phase VI expansion at the Landfill Operation.  The composition of the waste received by the Landfill Operation likely will change in the immediate future, as Act 148 is phased in.  Act 148 bans disposal of recyclables (metal, glass, plastics #1 &amp; #2, and paper/cardboard) by </w:t>
      </w:r>
      <w:r w:rsidR="00645E12" w:rsidRPr="009F5E32">
        <w:rPr>
          <w:rFonts w:cs="Arial"/>
          <w:bCs/>
          <w:szCs w:val="22"/>
        </w:rPr>
        <w:t>July 1, 2015</w:t>
      </w:r>
      <w:r w:rsidR="00645E12" w:rsidRPr="009F5E32">
        <w:rPr>
          <w:rFonts w:cs="Arial"/>
          <w:szCs w:val="22"/>
        </w:rPr>
        <w:t xml:space="preserve">; leaf and yard debris and clean wood by </w:t>
      </w:r>
      <w:r w:rsidR="00645E12" w:rsidRPr="009F5E32">
        <w:rPr>
          <w:rFonts w:cs="Arial"/>
          <w:bCs/>
          <w:szCs w:val="22"/>
        </w:rPr>
        <w:t>July 1, 2016</w:t>
      </w:r>
      <w:r w:rsidR="00645E12" w:rsidRPr="009F5E32">
        <w:rPr>
          <w:rFonts w:cs="Arial"/>
          <w:szCs w:val="22"/>
        </w:rPr>
        <w:t xml:space="preserve">; and food scraps by </w:t>
      </w:r>
      <w:r w:rsidR="00645E12" w:rsidRPr="009F5E32">
        <w:rPr>
          <w:rFonts w:cs="Arial"/>
          <w:bCs/>
          <w:szCs w:val="22"/>
        </w:rPr>
        <w:t>July 1, 2020</w:t>
      </w:r>
      <w:r w:rsidR="00645E12" w:rsidRPr="009F5E32">
        <w:rPr>
          <w:rFonts w:cs="Arial"/>
          <w:szCs w:val="22"/>
        </w:rPr>
        <w:t xml:space="preserve">.  The decreasing amounts of decomposable material in the </w:t>
      </w:r>
      <w:r w:rsidR="00C7340E" w:rsidRPr="009F5E32">
        <w:rPr>
          <w:rFonts w:cs="Arial"/>
          <w:szCs w:val="22"/>
        </w:rPr>
        <w:t>refuse</w:t>
      </w:r>
      <w:r w:rsidR="00645E12" w:rsidRPr="009F5E32">
        <w:rPr>
          <w:rFonts w:cs="Arial"/>
          <w:szCs w:val="22"/>
        </w:rPr>
        <w:t xml:space="preserve"> are anticipated to result in lower rates of LFG generation.</w:t>
      </w:r>
    </w:p>
    <w:p w14:paraId="4F9F8535" w14:textId="77777777" w:rsidR="00645E12" w:rsidRPr="009F5E32" w:rsidRDefault="00645E12" w:rsidP="00C734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236DDE51" w14:textId="0D05F513" w:rsidR="009A571B" w:rsidRPr="009F5E32" w:rsidRDefault="00745F7D"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 xml:space="preserve">Based on historical </w:t>
      </w:r>
      <w:r w:rsidR="00C7340E" w:rsidRPr="009F5E32">
        <w:rPr>
          <w:rFonts w:cs="Arial"/>
          <w:szCs w:val="22"/>
        </w:rPr>
        <w:t>LFG</w:t>
      </w:r>
      <w:r w:rsidRPr="009F5E32">
        <w:rPr>
          <w:rFonts w:cs="Arial"/>
          <w:szCs w:val="22"/>
        </w:rPr>
        <w:t xml:space="preserve"> generation </w:t>
      </w:r>
      <w:r w:rsidR="00C7340E" w:rsidRPr="009F5E32">
        <w:rPr>
          <w:rFonts w:cs="Arial"/>
          <w:szCs w:val="22"/>
        </w:rPr>
        <w:t>information</w:t>
      </w:r>
      <w:r w:rsidRPr="009F5E32">
        <w:rPr>
          <w:rFonts w:cs="Arial"/>
          <w:szCs w:val="22"/>
        </w:rPr>
        <w:t>, t</w:t>
      </w:r>
      <w:r w:rsidR="009A571B" w:rsidRPr="009F5E32">
        <w:rPr>
          <w:rFonts w:cs="Arial"/>
          <w:szCs w:val="22"/>
        </w:rPr>
        <w:t xml:space="preserve">he methane generation potential </w:t>
      </w:r>
      <w:r w:rsidR="00C7340E" w:rsidRPr="009F5E32">
        <w:rPr>
          <w:rFonts w:cs="Arial"/>
          <w:szCs w:val="22"/>
        </w:rPr>
        <w:t>(L</w:t>
      </w:r>
      <w:r w:rsidR="00C7340E" w:rsidRPr="009F5E32">
        <w:rPr>
          <w:rFonts w:cs="Arial"/>
          <w:szCs w:val="22"/>
          <w:vertAlign w:val="subscript"/>
        </w:rPr>
        <w:t>0</w:t>
      </w:r>
      <w:r w:rsidR="00C7340E" w:rsidRPr="009F5E32">
        <w:rPr>
          <w:rFonts w:cs="Arial"/>
          <w:szCs w:val="22"/>
        </w:rPr>
        <w:t xml:space="preserve">) </w:t>
      </w:r>
      <w:r w:rsidR="009A571B" w:rsidRPr="009F5E32">
        <w:rPr>
          <w:rFonts w:cs="Arial"/>
          <w:szCs w:val="22"/>
        </w:rPr>
        <w:t xml:space="preserve">of the </w:t>
      </w:r>
      <w:r w:rsidRPr="009F5E32">
        <w:rPr>
          <w:rFonts w:cs="Arial"/>
          <w:szCs w:val="22"/>
        </w:rPr>
        <w:t xml:space="preserve">refuse in the Landfill Operation </w:t>
      </w:r>
      <w:r w:rsidR="009A571B" w:rsidRPr="009F5E32">
        <w:rPr>
          <w:rFonts w:cs="Arial"/>
          <w:szCs w:val="22"/>
        </w:rPr>
        <w:t xml:space="preserve">was </w:t>
      </w:r>
      <w:r w:rsidR="00C7340E" w:rsidRPr="009F5E32">
        <w:rPr>
          <w:rFonts w:cs="Arial"/>
          <w:szCs w:val="22"/>
        </w:rPr>
        <w:t>established as</w:t>
      </w:r>
      <w:r w:rsidR="009A571B" w:rsidRPr="009F5E32">
        <w:rPr>
          <w:rFonts w:cs="Arial"/>
          <w:szCs w:val="22"/>
        </w:rPr>
        <w:t xml:space="preserve"> </w:t>
      </w:r>
      <w:r w:rsidRPr="009F5E32">
        <w:rPr>
          <w:rFonts w:cs="Arial"/>
          <w:szCs w:val="22"/>
        </w:rPr>
        <w:t xml:space="preserve">120 </w:t>
      </w:r>
      <w:r w:rsidR="009A571B" w:rsidRPr="009F5E32">
        <w:rPr>
          <w:rFonts w:cs="Arial"/>
          <w:szCs w:val="22"/>
        </w:rPr>
        <w:t>cubic meters/megagram</w:t>
      </w:r>
      <w:r w:rsidRPr="009F5E32">
        <w:rPr>
          <w:rFonts w:cs="Arial"/>
          <w:szCs w:val="22"/>
        </w:rPr>
        <w:t xml:space="preserve"> (m</w:t>
      </w:r>
      <w:r w:rsidRPr="009F5E32">
        <w:rPr>
          <w:rFonts w:cs="Arial"/>
          <w:szCs w:val="22"/>
          <w:vertAlign w:val="superscript"/>
        </w:rPr>
        <w:t>3</w:t>
      </w:r>
      <w:r w:rsidRPr="009F5E32">
        <w:rPr>
          <w:rFonts w:cs="Arial"/>
          <w:szCs w:val="22"/>
        </w:rPr>
        <w:t>/Mg)</w:t>
      </w:r>
      <w:r w:rsidR="009A571B" w:rsidRPr="009F5E32">
        <w:rPr>
          <w:rFonts w:cs="Arial"/>
          <w:szCs w:val="22"/>
        </w:rPr>
        <w:t>, and the methane generation rate constant</w:t>
      </w:r>
      <w:r w:rsidR="001F36FD" w:rsidRPr="009F5E32">
        <w:rPr>
          <w:rFonts w:cs="Arial"/>
          <w:szCs w:val="22"/>
        </w:rPr>
        <w:t xml:space="preserve"> (k)</w:t>
      </w:r>
      <w:r w:rsidR="009A571B" w:rsidRPr="009F5E32">
        <w:rPr>
          <w:rFonts w:cs="Arial"/>
          <w:szCs w:val="22"/>
        </w:rPr>
        <w:t xml:space="preserve"> for the waste was established </w:t>
      </w:r>
      <w:r w:rsidR="00C7340E" w:rsidRPr="009F5E32">
        <w:rPr>
          <w:rFonts w:cs="Arial"/>
          <w:szCs w:val="22"/>
        </w:rPr>
        <w:t xml:space="preserve">as </w:t>
      </w:r>
      <w:r w:rsidR="009A571B" w:rsidRPr="009F5E32">
        <w:rPr>
          <w:rFonts w:cs="Arial"/>
          <w:szCs w:val="22"/>
        </w:rPr>
        <w:t>0.06</w:t>
      </w:r>
      <w:r w:rsidRPr="009F5E32">
        <w:rPr>
          <w:rFonts w:cs="Arial"/>
          <w:szCs w:val="22"/>
        </w:rPr>
        <w:t xml:space="preserve"> </w:t>
      </w:r>
      <w:r w:rsidR="009A571B" w:rsidRPr="009F5E32">
        <w:rPr>
          <w:rFonts w:cs="Arial"/>
          <w:szCs w:val="22"/>
        </w:rPr>
        <w:t>year</w:t>
      </w:r>
      <w:r w:rsidRPr="009F5E32">
        <w:rPr>
          <w:rFonts w:cs="Arial"/>
          <w:szCs w:val="22"/>
          <w:vertAlign w:val="superscript"/>
        </w:rPr>
        <w:t>-1</w:t>
      </w:r>
      <w:r w:rsidRPr="009F5E32">
        <w:rPr>
          <w:rFonts w:cs="Arial"/>
          <w:szCs w:val="22"/>
        </w:rPr>
        <w:t xml:space="preserve"> up until </w:t>
      </w:r>
      <w:r w:rsidR="00C21096" w:rsidRPr="009F5E32">
        <w:rPr>
          <w:rFonts w:cs="Arial"/>
          <w:szCs w:val="22"/>
        </w:rPr>
        <w:t xml:space="preserve">the beginning of </w:t>
      </w:r>
      <w:r w:rsidRPr="009F5E32">
        <w:rPr>
          <w:rFonts w:cs="Arial"/>
          <w:szCs w:val="22"/>
        </w:rPr>
        <w:t>202</w:t>
      </w:r>
      <w:r w:rsidR="00C21096" w:rsidRPr="009F5E32">
        <w:rPr>
          <w:rFonts w:cs="Arial"/>
          <w:szCs w:val="22"/>
        </w:rPr>
        <w:t>1</w:t>
      </w:r>
      <w:r w:rsidR="009A571B" w:rsidRPr="009F5E32">
        <w:rPr>
          <w:rFonts w:cs="Arial"/>
          <w:szCs w:val="22"/>
        </w:rPr>
        <w:t xml:space="preserve">.  </w:t>
      </w:r>
      <w:r w:rsidR="00EC608E" w:rsidRPr="009F5E32">
        <w:rPr>
          <w:rFonts w:cs="Arial"/>
          <w:szCs w:val="22"/>
        </w:rPr>
        <w:t xml:space="preserve">After the full implementation of Act 148 in 2020, </w:t>
      </w:r>
      <w:r w:rsidR="00C21096" w:rsidRPr="009F5E32">
        <w:rPr>
          <w:rFonts w:cs="Arial"/>
          <w:szCs w:val="22"/>
        </w:rPr>
        <w:t xml:space="preserve">the </w:t>
      </w:r>
      <w:r w:rsidR="00EC608E" w:rsidRPr="009F5E32">
        <w:rPr>
          <w:rFonts w:cs="Arial"/>
          <w:szCs w:val="22"/>
        </w:rPr>
        <w:t>L</w:t>
      </w:r>
      <w:r w:rsidR="00EC608E" w:rsidRPr="009F5E32">
        <w:rPr>
          <w:rFonts w:cs="Arial"/>
          <w:szCs w:val="22"/>
          <w:vertAlign w:val="subscript"/>
        </w:rPr>
        <w:t>0</w:t>
      </w:r>
      <w:r w:rsidR="00EC608E" w:rsidRPr="009F5E32">
        <w:rPr>
          <w:rFonts w:cs="Arial"/>
          <w:szCs w:val="22"/>
        </w:rPr>
        <w:t xml:space="preserve"> of the refuse in the Landfill Operation was </w:t>
      </w:r>
      <w:r w:rsidR="00C21096" w:rsidRPr="009F5E32">
        <w:rPr>
          <w:rFonts w:cs="Arial"/>
          <w:szCs w:val="22"/>
        </w:rPr>
        <w:t xml:space="preserve">assumed to be </w:t>
      </w:r>
      <w:r w:rsidR="00EC608E" w:rsidRPr="009F5E32">
        <w:rPr>
          <w:rFonts w:cs="Arial"/>
          <w:szCs w:val="22"/>
        </w:rPr>
        <w:t>1</w:t>
      </w:r>
      <w:r w:rsidR="00C21096" w:rsidRPr="009F5E32">
        <w:rPr>
          <w:rFonts w:cs="Arial"/>
          <w:szCs w:val="22"/>
        </w:rPr>
        <w:t>0</w:t>
      </w:r>
      <w:r w:rsidR="00EC608E" w:rsidRPr="009F5E32">
        <w:rPr>
          <w:rFonts w:cs="Arial"/>
          <w:szCs w:val="22"/>
        </w:rPr>
        <w:t>0 m</w:t>
      </w:r>
      <w:r w:rsidR="00EC608E" w:rsidRPr="009F5E32">
        <w:rPr>
          <w:rFonts w:cs="Arial"/>
          <w:szCs w:val="22"/>
          <w:vertAlign w:val="superscript"/>
        </w:rPr>
        <w:t>3</w:t>
      </w:r>
      <w:r w:rsidR="00EC608E" w:rsidRPr="009F5E32">
        <w:rPr>
          <w:rFonts w:cs="Arial"/>
          <w:szCs w:val="22"/>
        </w:rPr>
        <w:t>/</w:t>
      </w:r>
      <w:r w:rsidR="00C21096" w:rsidRPr="009F5E32">
        <w:rPr>
          <w:rFonts w:cs="Arial"/>
          <w:szCs w:val="22"/>
        </w:rPr>
        <w:t>Mg</w:t>
      </w:r>
      <w:r w:rsidR="00EC608E" w:rsidRPr="009F5E32">
        <w:rPr>
          <w:rFonts w:cs="Arial"/>
          <w:szCs w:val="22"/>
        </w:rPr>
        <w:t>, and k for the waste was established as 0.0</w:t>
      </w:r>
      <w:r w:rsidR="00C21096" w:rsidRPr="009F5E32">
        <w:rPr>
          <w:rFonts w:cs="Arial"/>
          <w:szCs w:val="22"/>
        </w:rPr>
        <w:t>5</w:t>
      </w:r>
      <w:r w:rsidR="00EC608E" w:rsidRPr="009F5E32">
        <w:rPr>
          <w:rFonts w:cs="Arial"/>
          <w:szCs w:val="22"/>
        </w:rPr>
        <w:t xml:space="preserve"> year</w:t>
      </w:r>
      <w:r w:rsidR="00EC608E" w:rsidRPr="009F5E32">
        <w:rPr>
          <w:rFonts w:cs="Arial"/>
          <w:szCs w:val="22"/>
          <w:vertAlign w:val="superscript"/>
        </w:rPr>
        <w:t>-1</w:t>
      </w:r>
      <w:r w:rsidR="00EC608E" w:rsidRPr="009F5E32">
        <w:rPr>
          <w:rFonts w:cs="Arial"/>
          <w:szCs w:val="22"/>
        </w:rPr>
        <w:t xml:space="preserve"> </w:t>
      </w:r>
      <w:r w:rsidR="00C21096" w:rsidRPr="009F5E32">
        <w:rPr>
          <w:rFonts w:cs="Arial"/>
          <w:szCs w:val="22"/>
        </w:rPr>
        <w:t>from</w:t>
      </w:r>
      <w:r w:rsidR="00EC608E" w:rsidRPr="009F5E32">
        <w:rPr>
          <w:rFonts w:cs="Arial"/>
          <w:szCs w:val="22"/>
        </w:rPr>
        <w:t xml:space="preserve"> 2021</w:t>
      </w:r>
      <w:r w:rsidR="00C21096" w:rsidRPr="009F5E32">
        <w:rPr>
          <w:rFonts w:cs="Arial"/>
          <w:szCs w:val="22"/>
        </w:rPr>
        <w:t xml:space="preserve"> until anticipated closure in 2035.</w:t>
      </w:r>
      <w:r w:rsidR="00EC608E" w:rsidRPr="009F5E32">
        <w:rPr>
          <w:rFonts w:cs="Arial"/>
          <w:szCs w:val="22"/>
        </w:rPr>
        <w:t xml:space="preserve">  </w:t>
      </w:r>
      <w:r w:rsidR="00202541" w:rsidRPr="009F5E32">
        <w:rPr>
          <w:rFonts w:cs="Arial"/>
          <w:szCs w:val="22"/>
        </w:rPr>
        <w:t>The future waste acceptance rate at the Landfill was assumed to be</w:t>
      </w:r>
      <w:r w:rsidRPr="009F5E32">
        <w:rPr>
          <w:rFonts w:cs="Arial"/>
          <w:szCs w:val="22"/>
        </w:rPr>
        <w:t xml:space="preserve"> the maximum permitted acceptance rate of</w:t>
      </w:r>
      <w:r w:rsidR="00202541" w:rsidRPr="009F5E32">
        <w:rPr>
          <w:rFonts w:cs="Arial"/>
          <w:szCs w:val="22"/>
        </w:rPr>
        <w:t xml:space="preserve"> 600,000 tons per year</w:t>
      </w:r>
      <w:r w:rsidR="00EC608E" w:rsidRPr="009F5E32">
        <w:rPr>
          <w:rFonts w:cs="Arial"/>
          <w:szCs w:val="22"/>
        </w:rPr>
        <w:t xml:space="preserve"> from 2017 to 2035.  </w:t>
      </w:r>
      <w:r w:rsidR="006B5061" w:rsidRPr="009F5E32">
        <w:rPr>
          <w:rFonts w:cs="Arial"/>
          <w:szCs w:val="22"/>
        </w:rPr>
        <w:t xml:space="preserve">Using these factors, the maximum methane generation from the Landfill Operation was estimated as </w:t>
      </w:r>
      <w:r w:rsidR="001B750D" w:rsidRPr="009F5E32">
        <w:rPr>
          <w:rFonts w:cs="Arial"/>
          <w:szCs w:val="22"/>
        </w:rPr>
        <w:t>5,436 standard cubic feet per minute (scfm) in 2036.  The maximum amount of LFG collected was estimated as</w:t>
      </w:r>
      <w:r w:rsidR="004E6E8F">
        <w:rPr>
          <w:rFonts w:cs="Arial"/>
          <w:szCs w:val="22"/>
        </w:rPr>
        <w:t xml:space="preserve"> </w:t>
      </w:r>
      <w:r w:rsidR="001B750D" w:rsidRPr="009F5E32">
        <w:rPr>
          <w:rFonts w:cs="Arial"/>
          <w:szCs w:val="22"/>
        </w:rPr>
        <w:t xml:space="preserve">4,620 scfm assuming an 85 percent collection efficiency.  </w:t>
      </w:r>
    </w:p>
    <w:p w14:paraId="62A4160D" w14:textId="77777777" w:rsidR="00802E83" w:rsidRPr="009F5E32" w:rsidRDefault="00802E83" w:rsidP="009A57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74B6E450" w14:textId="30EDE4E4" w:rsidR="00C96D75" w:rsidRPr="009F5E32" w:rsidRDefault="00B2396B"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The</w:t>
      </w:r>
      <w:r w:rsidR="00734767" w:rsidRPr="009F5E32">
        <w:rPr>
          <w:rFonts w:cs="Arial"/>
          <w:szCs w:val="22"/>
        </w:rPr>
        <w:t xml:space="preserve"> previous</w:t>
      </w:r>
      <w:r w:rsidRPr="009F5E32">
        <w:rPr>
          <w:rFonts w:cs="Arial"/>
          <w:szCs w:val="22"/>
        </w:rPr>
        <w:t xml:space="preserve"> </w:t>
      </w:r>
      <w:r w:rsidR="00A33B70" w:rsidRPr="009F5E32">
        <w:rPr>
          <w:rFonts w:cs="Arial"/>
          <w:szCs w:val="22"/>
        </w:rPr>
        <w:t xml:space="preserve">determination of allowable emissions </w:t>
      </w:r>
      <w:r w:rsidR="002F7920" w:rsidRPr="009F5E32">
        <w:rPr>
          <w:rFonts w:cs="Arial"/>
          <w:szCs w:val="22"/>
        </w:rPr>
        <w:t>for</w:t>
      </w:r>
      <w:r w:rsidR="00A33B70" w:rsidRPr="009F5E32">
        <w:rPr>
          <w:rFonts w:cs="Arial"/>
          <w:szCs w:val="22"/>
        </w:rPr>
        <w:t xml:space="preserve"> </w:t>
      </w:r>
      <w:r w:rsidR="00A33B70" w:rsidRPr="009F5E32">
        <w:rPr>
          <w:rFonts w:cs="Arial"/>
          <w:szCs w:val="22"/>
          <w:vertAlign w:val="superscript"/>
        </w:rPr>
        <w:t>#</w:t>
      </w:r>
      <w:r w:rsidR="00A33B70" w:rsidRPr="009F5E32">
        <w:rPr>
          <w:rFonts w:cs="Arial"/>
          <w:szCs w:val="22"/>
        </w:rPr>
        <w:t>AOP-14-034</w:t>
      </w:r>
      <w:r w:rsidRPr="009F5E32">
        <w:rPr>
          <w:rFonts w:cs="Arial"/>
          <w:szCs w:val="22"/>
        </w:rPr>
        <w:t xml:space="preserve"> was based on a</w:t>
      </w:r>
      <w:r w:rsidR="009A571B" w:rsidRPr="009F5E32">
        <w:rPr>
          <w:rFonts w:cs="Arial"/>
          <w:szCs w:val="22"/>
        </w:rPr>
        <w:t xml:space="preserve"> maximum </w:t>
      </w:r>
      <w:r w:rsidR="000D2A68" w:rsidRPr="009F5E32">
        <w:rPr>
          <w:rFonts w:cs="Arial"/>
          <w:szCs w:val="22"/>
        </w:rPr>
        <w:t xml:space="preserve">LFG </w:t>
      </w:r>
      <w:r w:rsidR="009A571B" w:rsidRPr="009F5E32">
        <w:rPr>
          <w:rFonts w:cs="Arial"/>
          <w:szCs w:val="22"/>
        </w:rPr>
        <w:t xml:space="preserve">generation rate estimated at </w:t>
      </w:r>
      <w:r w:rsidR="00CA4366" w:rsidRPr="009F5E32">
        <w:rPr>
          <w:rFonts w:cs="Arial"/>
          <w:szCs w:val="22"/>
        </w:rPr>
        <w:t>5,</w:t>
      </w:r>
      <w:r w:rsidR="000D2A68" w:rsidRPr="009F5E32">
        <w:rPr>
          <w:rFonts w:cs="Arial"/>
          <w:szCs w:val="22"/>
        </w:rPr>
        <w:t>545</w:t>
      </w:r>
      <w:r w:rsidR="009A571B" w:rsidRPr="009F5E32">
        <w:rPr>
          <w:rFonts w:cs="Arial"/>
          <w:szCs w:val="22"/>
        </w:rPr>
        <w:t xml:space="preserve"> </w:t>
      </w:r>
      <w:r w:rsidR="009D2B86" w:rsidRPr="009F5E32">
        <w:rPr>
          <w:rFonts w:cs="Arial"/>
          <w:szCs w:val="22"/>
        </w:rPr>
        <w:t xml:space="preserve">standard </w:t>
      </w:r>
      <w:r w:rsidR="009A571B" w:rsidRPr="009F5E32">
        <w:rPr>
          <w:rFonts w:cs="Arial"/>
          <w:szCs w:val="22"/>
        </w:rPr>
        <w:t>cubic</w:t>
      </w:r>
      <w:r w:rsidR="00087C26" w:rsidRPr="009F5E32">
        <w:rPr>
          <w:rFonts w:cs="Arial"/>
          <w:szCs w:val="22"/>
        </w:rPr>
        <w:t xml:space="preserve"> </w:t>
      </w:r>
      <w:r w:rsidR="009A571B" w:rsidRPr="009F5E32">
        <w:rPr>
          <w:rFonts w:cs="Arial"/>
          <w:szCs w:val="22"/>
        </w:rPr>
        <w:t>feet</w:t>
      </w:r>
      <w:r w:rsidR="009D2B86" w:rsidRPr="009F5E32">
        <w:rPr>
          <w:rFonts w:cs="Arial"/>
          <w:szCs w:val="22"/>
        </w:rPr>
        <w:t xml:space="preserve"> per minute (scfm)</w:t>
      </w:r>
      <w:r w:rsidR="009A571B" w:rsidRPr="009F5E32">
        <w:rPr>
          <w:rFonts w:cs="Arial"/>
          <w:szCs w:val="22"/>
        </w:rPr>
        <w:t xml:space="preserve"> of </w:t>
      </w:r>
      <w:r w:rsidR="000D2A68" w:rsidRPr="009F5E32">
        <w:rPr>
          <w:rFonts w:cs="Arial"/>
          <w:szCs w:val="22"/>
        </w:rPr>
        <w:t>LFG</w:t>
      </w:r>
      <w:r w:rsidR="00C96D75" w:rsidRPr="009F5E32">
        <w:rPr>
          <w:rFonts w:cs="Arial"/>
          <w:szCs w:val="22"/>
        </w:rPr>
        <w:t xml:space="preserve">.  </w:t>
      </w:r>
      <w:r w:rsidR="00087C26" w:rsidRPr="009F5E32">
        <w:rPr>
          <w:rFonts w:cs="Arial"/>
          <w:szCs w:val="22"/>
        </w:rPr>
        <w:t>T</w:t>
      </w:r>
      <w:r w:rsidR="00C96D75" w:rsidRPr="009F5E32">
        <w:rPr>
          <w:rFonts w:cs="Arial"/>
          <w:szCs w:val="22"/>
        </w:rPr>
        <w:t xml:space="preserve">he landfill cover and gas collection system </w:t>
      </w:r>
      <w:r w:rsidR="00734767" w:rsidRPr="009F5E32">
        <w:rPr>
          <w:rFonts w:cs="Arial"/>
          <w:szCs w:val="22"/>
        </w:rPr>
        <w:t xml:space="preserve">had been </w:t>
      </w:r>
      <w:r w:rsidR="00C96D75" w:rsidRPr="009F5E32">
        <w:rPr>
          <w:rFonts w:cs="Arial"/>
          <w:szCs w:val="22"/>
        </w:rPr>
        <w:t xml:space="preserve">estimated to collect approximately 85 percent of the </w:t>
      </w:r>
      <w:r w:rsidR="00734767" w:rsidRPr="009F5E32">
        <w:rPr>
          <w:rFonts w:cs="Arial"/>
          <w:szCs w:val="22"/>
        </w:rPr>
        <w:t xml:space="preserve">generated </w:t>
      </w:r>
      <w:r w:rsidR="00C96D75" w:rsidRPr="009F5E32">
        <w:rPr>
          <w:rFonts w:cs="Arial"/>
          <w:szCs w:val="22"/>
        </w:rPr>
        <w:t xml:space="preserve">LFG over the life of the landfill.  </w:t>
      </w:r>
      <w:r w:rsidR="002F7920" w:rsidRPr="009F5E32">
        <w:rPr>
          <w:rFonts w:cs="Arial"/>
          <w:szCs w:val="22"/>
        </w:rPr>
        <w:t>Collection of LFG was estimated to be approximately 4,700 scfm, based on t</w:t>
      </w:r>
      <w:r w:rsidR="00734767" w:rsidRPr="009F5E32">
        <w:rPr>
          <w:rFonts w:cs="Arial"/>
          <w:szCs w:val="22"/>
        </w:rPr>
        <w:t xml:space="preserve">he </w:t>
      </w:r>
      <w:r w:rsidR="00E96732" w:rsidRPr="009F5E32">
        <w:rPr>
          <w:rFonts w:cs="Arial"/>
          <w:szCs w:val="22"/>
        </w:rPr>
        <w:t xml:space="preserve">estimated maximum LFG generation rate of </w:t>
      </w:r>
      <w:r w:rsidR="00734767" w:rsidRPr="009F5E32">
        <w:rPr>
          <w:rFonts w:cs="Arial"/>
          <w:szCs w:val="22"/>
        </w:rPr>
        <w:t>5,545 scfm</w:t>
      </w:r>
      <w:r w:rsidR="00C96D75" w:rsidRPr="009F5E32">
        <w:rPr>
          <w:rFonts w:cs="Arial"/>
          <w:szCs w:val="22"/>
        </w:rPr>
        <w:t xml:space="preserve"> </w:t>
      </w:r>
      <w:r w:rsidR="002F7920" w:rsidRPr="009F5E32">
        <w:rPr>
          <w:rFonts w:cs="Arial"/>
          <w:szCs w:val="22"/>
        </w:rPr>
        <w:t xml:space="preserve">and the assumed </w:t>
      </w:r>
      <w:r w:rsidR="00C96D75" w:rsidRPr="009F5E32">
        <w:rPr>
          <w:rFonts w:cs="Arial"/>
          <w:szCs w:val="22"/>
        </w:rPr>
        <w:t>85 percent collection efficiency</w:t>
      </w:r>
      <w:r w:rsidR="002F7920" w:rsidRPr="009F5E32">
        <w:rPr>
          <w:rFonts w:cs="Arial"/>
          <w:szCs w:val="22"/>
        </w:rPr>
        <w:t xml:space="preserve">.  </w:t>
      </w:r>
    </w:p>
    <w:p w14:paraId="51470672" w14:textId="77777777" w:rsidR="00C96D75" w:rsidRPr="009F5E32" w:rsidRDefault="00C96D75" w:rsidP="00C96D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01B56F7" w14:textId="66D97C9B" w:rsidR="00EC3F1C" w:rsidRPr="009F5E32" w:rsidRDefault="001B750D"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C</w:t>
      </w:r>
      <w:r w:rsidR="00C96D75" w:rsidRPr="009F5E32">
        <w:rPr>
          <w:rFonts w:cs="Arial"/>
          <w:szCs w:val="22"/>
        </w:rPr>
        <w:t>ombustion emissions</w:t>
      </w:r>
      <w:r w:rsidR="00EC627E" w:rsidRPr="009F5E32">
        <w:rPr>
          <w:rFonts w:cs="Arial"/>
          <w:szCs w:val="22"/>
        </w:rPr>
        <w:t xml:space="preserve"> </w:t>
      </w:r>
      <w:r w:rsidR="00C00B28" w:rsidRPr="009F5E32">
        <w:rPr>
          <w:rFonts w:cs="Arial"/>
          <w:szCs w:val="22"/>
        </w:rPr>
        <w:t>in</w:t>
      </w:r>
      <w:r w:rsidR="00EC627E" w:rsidRPr="009F5E32">
        <w:rPr>
          <w:rFonts w:cs="Arial"/>
          <w:szCs w:val="22"/>
        </w:rPr>
        <w:t xml:space="preserve"> the previous permits for the Facility (</w:t>
      </w:r>
      <w:r w:rsidR="00EC627E" w:rsidRPr="009F5E32">
        <w:rPr>
          <w:rFonts w:cs="Arial"/>
          <w:szCs w:val="22"/>
          <w:vertAlign w:val="superscript"/>
        </w:rPr>
        <w:t>#</w:t>
      </w:r>
      <w:r w:rsidR="00EC627E" w:rsidRPr="009F5E32">
        <w:rPr>
          <w:rFonts w:cs="Arial"/>
          <w:szCs w:val="22"/>
        </w:rPr>
        <w:t xml:space="preserve">AOP-14-034 and </w:t>
      </w:r>
      <w:r w:rsidR="00EC627E" w:rsidRPr="009F5E32">
        <w:rPr>
          <w:rFonts w:cs="Arial"/>
          <w:szCs w:val="22"/>
          <w:vertAlign w:val="superscript"/>
        </w:rPr>
        <w:t>#</w:t>
      </w:r>
      <w:r w:rsidR="00EC627E" w:rsidRPr="009F5E32">
        <w:rPr>
          <w:rFonts w:cs="Arial"/>
          <w:szCs w:val="22"/>
        </w:rPr>
        <w:t>AOP-15- 032)</w:t>
      </w:r>
      <w:r w:rsidR="00C96D75" w:rsidRPr="009F5E32">
        <w:rPr>
          <w:rFonts w:cs="Arial"/>
          <w:szCs w:val="22"/>
        </w:rPr>
        <w:t xml:space="preserve">, </w:t>
      </w:r>
      <w:r w:rsidRPr="009F5E32">
        <w:rPr>
          <w:rFonts w:cs="Arial"/>
          <w:szCs w:val="22"/>
        </w:rPr>
        <w:t>were based on an</w:t>
      </w:r>
      <w:r w:rsidR="00C96D75" w:rsidRPr="009F5E32">
        <w:rPr>
          <w:rFonts w:cs="Arial"/>
          <w:szCs w:val="22"/>
        </w:rPr>
        <w:t xml:space="preserve"> assumed maximum LFG collection rate </w:t>
      </w:r>
      <w:r w:rsidRPr="009F5E32">
        <w:rPr>
          <w:rFonts w:cs="Arial"/>
          <w:szCs w:val="22"/>
        </w:rPr>
        <w:t xml:space="preserve">of </w:t>
      </w:r>
      <w:r w:rsidR="00C96D75" w:rsidRPr="009F5E32">
        <w:rPr>
          <w:rFonts w:cs="Arial"/>
          <w:szCs w:val="22"/>
        </w:rPr>
        <w:t xml:space="preserve">5,000 scfm rather than 4,700 scfm.  This assumption </w:t>
      </w:r>
      <w:r w:rsidR="00EB5494" w:rsidRPr="009F5E32">
        <w:rPr>
          <w:rFonts w:cs="Arial"/>
          <w:szCs w:val="22"/>
        </w:rPr>
        <w:t xml:space="preserve">was </w:t>
      </w:r>
      <w:r w:rsidR="00C96D75" w:rsidRPr="009F5E32">
        <w:rPr>
          <w:rFonts w:cs="Arial"/>
          <w:szCs w:val="22"/>
        </w:rPr>
        <w:t>intended to provide conservatively high</w:t>
      </w:r>
      <w:r w:rsidR="00EC3F1C" w:rsidRPr="009F5E32">
        <w:rPr>
          <w:rFonts w:cs="Arial"/>
          <w:szCs w:val="22"/>
        </w:rPr>
        <w:t xml:space="preserve"> combustion</w:t>
      </w:r>
      <w:r w:rsidR="00C96D75" w:rsidRPr="009F5E32">
        <w:rPr>
          <w:rFonts w:cs="Arial"/>
          <w:szCs w:val="22"/>
        </w:rPr>
        <w:t xml:space="preserve"> emission estimates.  </w:t>
      </w:r>
      <w:r w:rsidR="00EC627E" w:rsidRPr="009F5E32">
        <w:rPr>
          <w:rFonts w:cs="Arial"/>
          <w:szCs w:val="22"/>
        </w:rPr>
        <w:t xml:space="preserve">However, </w:t>
      </w:r>
      <w:r w:rsidR="00EC3F1C" w:rsidRPr="009F5E32">
        <w:rPr>
          <w:rFonts w:cs="Arial"/>
          <w:szCs w:val="22"/>
        </w:rPr>
        <w:t>fugitive emissions</w:t>
      </w:r>
      <w:r w:rsidR="00EC627E" w:rsidRPr="009F5E32">
        <w:rPr>
          <w:rFonts w:cs="Arial"/>
          <w:szCs w:val="22"/>
        </w:rPr>
        <w:t xml:space="preserve"> from the Landfill Operation were based on </w:t>
      </w:r>
      <w:r w:rsidR="00EC3F1C" w:rsidRPr="009F5E32">
        <w:rPr>
          <w:rFonts w:cs="Arial"/>
          <w:szCs w:val="22"/>
        </w:rPr>
        <w:t xml:space="preserve">15 percent of the maximum LFG generation rate of </w:t>
      </w:r>
      <w:r w:rsidR="00E43B91" w:rsidRPr="009F5E32">
        <w:rPr>
          <w:rFonts w:cs="Arial"/>
          <w:szCs w:val="22"/>
        </w:rPr>
        <w:t xml:space="preserve">5,545 </w:t>
      </w:r>
      <w:r w:rsidR="00EC3F1C" w:rsidRPr="009F5E32">
        <w:rPr>
          <w:rFonts w:cs="Arial"/>
          <w:szCs w:val="22"/>
        </w:rPr>
        <w:t xml:space="preserve">scfm.  The emission rate for fugitive LFG estimated in this fashion is approximately 832 scfm.  </w:t>
      </w:r>
    </w:p>
    <w:p w14:paraId="408E24F1" w14:textId="13F0DE74" w:rsidR="00E96732" w:rsidRDefault="00E96732" w:rsidP="00E96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A92B28D" w14:textId="77777777" w:rsidR="005A5A0B" w:rsidRPr="009F5E32" w:rsidRDefault="005A5A0B" w:rsidP="00E96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46DD01E9" w14:textId="40706DD0" w:rsidR="00E96732" w:rsidRPr="009F5E32" w:rsidRDefault="00E96732"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lastRenderedPageBreak/>
        <w:t xml:space="preserve">Given that the estimated LFG generation rate in the Application is slightly lower than for the previous permits for the Facility, and there have been no changes to the combustion equipment at the Facility, the Agency has determined that the allowable emissions for the Facility contained in </w:t>
      </w:r>
      <w:r w:rsidRPr="009F5E32">
        <w:rPr>
          <w:rFonts w:cs="Arial"/>
          <w:szCs w:val="22"/>
          <w:vertAlign w:val="superscript"/>
        </w:rPr>
        <w:t>#</w:t>
      </w:r>
      <w:r w:rsidRPr="009F5E32">
        <w:rPr>
          <w:rFonts w:cs="Arial"/>
          <w:szCs w:val="22"/>
        </w:rPr>
        <w:t xml:space="preserve">AOP-14-034 and </w:t>
      </w:r>
      <w:r w:rsidRPr="009F5E32">
        <w:rPr>
          <w:rFonts w:cs="Arial"/>
          <w:szCs w:val="22"/>
          <w:vertAlign w:val="superscript"/>
        </w:rPr>
        <w:t>#</w:t>
      </w:r>
      <w:r w:rsidRPr="009F5E32">
        <w:rPr>
          <w:rFonts w:cs="Arial"/>
          <w:szCs w:val="22"/>
        </w:rPr>
        <w:t xml:space="preserve">AOP-15- 032 are a conservative representation of air emissions from the Facility, including the Phase VI expansion.  </w:t>
      </w:r>
    </w:p>
    <w:p w14:paraId="32ABEE92" w14:textId="77777777" w:rsidR="00EC3F1C" w:rsidRPr="009F5E32" w:rsidRDefault="00EC3F1C" w:rsidP="00EC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2E55669" w14:textId="2D260100" w:rsidR="00CE09C0" w:rsidRPr="009F5E32" w:rsidRDefault="007251C5" w:rsidP="00821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 xml:space="preserve">LFG contains NMOCs, </w:t>
      </w:r>
      <w:r w:rsidR="00A435D4" w:rsidRPr="009F5E32">
        <w:rPr>
          <w:rFonts w:cs="Arial"/>
          <w:szCs w:val="22"/>
        </w:rPr>
        <w:t xml:space="preserve">and the individual compounds comprising NMOCs may also be </w:t>
      </w:r>
      <w:r w:rsidRPr="009F5E32">
        <w:rPr>
          <w:rFonts w:cs="Arial"/>
          <w:szCs w:val="22"/>
        </w:rPr>
        <w:t xml:space="preserve">classified as </w:t>
      </w:r>
      <w:r w:rsidR="00CE09C0" w:rsidRPr="009F5E32">
        <w:rPr>
          <w:rFonts w:cs="Arial"/>
          <w:szCs w:val="22"/>
        </w:rPr>
        <w:t>volatile organic compounds (</w:t>
      </w:r>
      <w:r w:rsidRPr="009F5E32">
        <w:rPr>
          <w:rFonts w:cs="Arial"/>
          <w:szCs w:val="22"/>
        </w:rPr>
        <w:t>VOCs</w:t>
      </w:r>
      <w:r w:rsidR="00CE09C0" w:rsidRPr="009F5E32">
        <w:rPr>
          <w:rFonts w:cs="Arial"/>
          <w:szCs w:val="22"/>
        </w:rPr>
        <w:t>)</w:t>
      </w:r>
      <w:r w:rsidRPr="009F5E32">
        <w:rPr>
          <w:rFonts w:cs="Arial"/>
          <w:szCs w:val="22"/>
        </w:rPr>
        <w:t xml:space="preserve"> and/or </w:t>
      </w:r>
      <w:r w:rsidR="00CE09C0" w:rsidRPr="009F5E32">
        <w:rPr>
          <w:rFonts w:cs="Arial"/>
          <w:szCs w:val="22"/>
        </w:rPr>
        <w:t>hazardous air pollutants (</w:t>
      </w:r>
      <w:r w:rsidRPr="009F5E32">
        <w:rPr>
          <w:rFonts w:cs="Arial"/>
          <w:szCs w:val="22"/>
        </w:rPr>
        <w:t>HAPs</w:t>
      </w:r>
      <w:r w:rsidR="00CE09C0" w:rsidRPr="009F5E32">
        <w:rPr>
          <w:rFonts w:cs="Arial"/>
          <w:szCs w:val="22"/>
        </w:rPr>
        <w:t xml:space="preserve">) </w:t>
      </w:r>
      <w:r w:rsidR="00A435D4" w:rsidRPr="009F5E32">
        <w:rPr>
          <w:rFonts w:cs="Arial"/>
          <w:szCs w:val="22"/>
        </w:rPr>
        <w:t>and</w:t>
      </w:r>
      <w:r w:rsidRPr="009F5E32">
        <w:rPr>
          <w:rFonts w:cs="Arial"/>
          <w:szCs w:val="22"/>
        </w:rPr>
        <w:t>/</w:t>
      </w:r>
      <w:r w:rsidR="00A435D4" w:rsidRPr="009F5E32">
        <w:rPr>
          <w:rFonts w:cs="Arial"/>
          <w:szCs w:val="22"/>
        </w:rPr>
        <w:t>or</w:t>
      </w:r>
      <w:r w:rsidR="00CE09C0" w:rsidRPr="009F5E32">
        <w:rPr>
          <w:rFonts w:cs="Arial"/>
          <w:szCs w:val="22"/>
        </w:rPr>
        <w:t xml:space="preserve"> hazardous air contaminants (</w:t>
      </w:r>
      <w:r w:rsidRPr="009F5E32">
        <w:rPr>
          <w:rFonts w:cs="Arial"/>
          <w:szCs w:val="22"/>
        </w:rPr>
        <w:t>HACs</w:t>
      </w:r>
      <w:r w:rsidR="00CE09C0" w:rsidRPr="009F5E32">
        <w:rPr>
          <w:rFonts w:cs="Arial"/>
          <w:szCs w:val="22"/>
        </w:rPr>
        <w:t>)</w:t>
      </w:r>
      <w:r w:rsidR="00A435D4" w:rsidRPr="009F5E32">
        <w:rPr>
          <w:rFonts w:cs="Arial"/>
          <w:szCs w:val="22"/>
        </w:rPr>
        <w:t xml:space="preserve">.  </w:t>
      </w:r>
      <w:r w:rsidR="00CE09C0" w:rsidRPr="009F5E32">
        <w:rPr>
          <w:rFonts w:cs="Arial"/>
          <w:szCs w:val="22"/>
        </w:rPr>
        <w:t xml:space="preserve">The concentration of NMOCs in </w:t>
      </w:r>
      <w:r w:rsidR="00A435D4" w:rsidRPr="009F5E32">
        <w:rPr>
          <w:rFonts w:cs="Arial"/>
          <w:szCs w:val="22"/>
        </w:rPr>
        <w:t>LFG</w:t>
      </w:r>
      <w:r w:rsidR="00CE09C0" w:rsidRPr="009F5E32">
        <w:rPr>
          <w:rFonts w:cs="Arial"/>
          <w:szCs w:val="22"/>
        </w:rPr>
        <w:t xml:space="preserve"> was estimated from </w:t>
      </w:r>
      <w:r w:rsidR="00A435D4" w:rsidRPr="009F5E32">
        <w:rPr>
          <w:rFonts w:cs="Arial"/>
          <w:szCs w:val="22"/>
        </w:rPr>
        <w:t>LFG</w:t>
      </w:r>
      <w:r w:rsidR="00CE09C0" w:rsidRPr="009F5E32">
        <w:rPr>
          <w:rFonts w:cs="Arial"/>
          <w:szCs w:val="22"/>
        </w:rPr>
        <w:t xml:space="preserve"> samples that were collected and analyzed for NMOCs in June 2002.  These NMOC concentrations were reported as 561 parts per million by volume (ppmv) as hexane, and this value was used for subsequent estimates involving NMOCs</w:t>
      </w:r>
      <w:r w:rsidR="00194500" w:rsidRPr="009F5E32">
        <w:rPr>
          <w:rFonts w:cs="Arial"/>
          <w:szCs w:val="22"/>
        </w:rPr>
        <w:t xml:space="preserve">.  </w:t>
      </w:r>
    </w:p>
    <w:p w14:paraId="54FEC82C" w14:textId="77777777" w:rsidR="00CE09C0" w:rsidRPr="009F5E32" w:rsidRDefault="00CE09C0" w:rsidP="00CE0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3B078D14" w14:textId="60E37134" w:rsidR="0082121F" w:rsidRPr="009F5E32" w:rsidRDefault="00194500" w:rsidP="008212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The concentrations of VOCs contained in LFG were estimated</w:t>
      </w:r>
      <w:r w:rsidR="0082121F" w:rsidRPr="009F5E32">
        <w:rPr>
          <w:rFonts w:cs="Arial"/>
          <w:szCs w:val="22"/>
        </w:rPr>
        <w:t xml:space="preserve"> by using waste acceptance records, an understanding of the landfill’s operational and waste acceptance history, and the previously discussed NMOC concentration </w:t>
      </w:r>
      <w:r w:rsidR="00314F62" w:rsidRPr="009F5E32">
        <w:rPr>
          <w:rFonts w:cs="Arial"/>
          <w:szCs w:val="22"/>
        </w:rPr>
        <w:t xml:space="preserve">in LFG </w:t>
      </w:r>
      <w:r w:rsidR="0082121F" w:rsidRPr="009F5E32">
        <w:rPr>
          <w:rFonts w:cs="Arial"/>
          <w:szCs w:val="22"/>
        </w:rPr>
        <w:t xml:space="preserve">of 561 ppmv as hexane.  This evaluation indicated that the landfill likely contained only MSW or contained very little organic commercial/industrial wastes.  Accordingly, it is likely that co-disposal did not occur at the landfill.  Guidance </w:t>
      </w:r>
      <w:r w:rsidR="004730B6" w:rsidRPr="009F5E32">
        <w:rPr>
          <w:rFonts w:cs="Arial"/>
          <w:szCs w:val="22"/>
        </w:rPr>
        <w:t xml:space="preserve">published by the U.S. EPA in </w:t>
      </w:r>
      <w:r w:rsidR="004730B6" w:rsidRPr="009F5E32">
        <w:rPr>
          <w:rFonts w:cs="Arial"/>
          <w:i/>
          <w:iCs/>
          <w:szCs w:val="22"/>
        </w:rPr>
        <w:t>Compilation of Air Pollutant Emission Factors, Volume I:  Stationary Point and Area Sources</w:t>
      </w:r>
      <w:r w:rsidR="004730B6" w:rsidRPr="009F5E32">
        <w:rPr>
          <w:rFonts w:cs="Arial"/>
          <w:i/>
          <w:szCs w:val="22"/>
        </w:rPr>
        <w:t xml:space="preserve"> (5th Edition including Supplements A, B and C), </w:t>
      </w:r>
      <w:r w:rsidR="004730B6" w:rsidRPr="009F5E32">
        <w:rPr>
          <w:rFonts w:cs="Arial"/>
          <w:i/>
          <w:iCs/>
          <w:szCs w:val="22"/>
        </w:rPr>
        <w:t>AP-42</w:t>
      </w:r>
      <w:r w:rsidR="004730B6" w:rsidRPr="009F5E32">
        <w:rPr>
          <w:rFonts w:cs="Arial"/>
          <w:i/>
          <w:szCs w:val="22"/>
        </w:rPr>
        <w:t xml:space="preserve">, Office of Air Quality Planning and Standards, </w:t>
      </w:r>
      <w:r w:rsidR="004730B6" w:rsidRPr="009F5E32">
        <w:rPr>
          <w:rFonts w:cs="Arial"/>
          <w:szCs w:val="22"/>
        </w:rPr>
        <w:t>(AP-42),</w:t>
      </w:r>
      <w:r w:rsidR="0082121F" w:rsidRPr="009F5E32">
        <w:rPr>
          <w:rFonts w:cs="Arial"/>
          <w:szCs w:val="22"/>
        </w:rPr>
        <w:t xml:space="preserve"> Chapter 2:  Solid Waste Disposal, Section 2.4, Municipal Solid Waste Landfills, Table 2.4-2 (11/1998) indicates that an appropriate VOC concentration in </w:t>
      </w:r>
      <w:r w:rsidR="000C1AFA" w:rsidRPr="009F5E32">
        <w:rPr>
          <w:rFonts w:cs="Arial"/>
          <w:szCs w:val="22"/>
        </w:rPr>
        <w:t>LFG</w:t>
      </w:r>
      <w:r w:rsidR="0082121F" w:rsidRPr="009F5E32">
        <w:rPr>
          <w:rFonts w:cs="Arial"/>
          <w:szCs w:val="22"/>
        </w:rPr>
        <w:t xml:space="preserve"> for landfills without co-disposal is 39% of the NMOC concentration in </w:t>
      </w:r>
      <w:r w:rsidR="005711F5" w:rsidRPr="009F5E32">
        <w:rPr>
          <w:rFonts w:cs="Arial"/>
          <w:szCs w:val="22"/>
        </w:rPr>
        <w:t>LFG</w:t>
      </w:r>
      <w:r w:rsidR="0082121F" w:rsidRPr="009F5E32">
        <w:rPr>
          <w:rFonts w:cs="Arial"/>
          <w:szCs w:val="22"/>
        </w:rPr>
        <w:t xml:space="preserve">.  </w:t>
      </w:r>
    </w:p>
    <w:p w14:paraId="1D4E0676" w14:textId="77777777" w:rsidR="0082121F" w:rsidRPr="009F5E32" w:rsidRDefault="0082121F" w:rsidP="009D2B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5B22E48" w14:textId="7301269C" w:rsidR="00CB3BAC" w:rsidRPr="009F5E32" w:rsidRDefault="000C1AFA"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 xml:space="preserve">The concentrations of HAPs/HACs in LFG were based on analytical results from Tier 2 testing performed by </w:t>
      </w:r>
      <w:r w:rsidR="00D540FE" w:rsidRPr="009F5E32">
        <w:rPr>
          <w:rFonts w:cs="Arial"/>
          <w:szCs w:val="22"/>
        </w:rPr>
        <w:t xml:space="preserve">New England Air Quality Testing (NEAQT) at the </w:t>
      </w:r>
      <w:r w:rsidRPr="009F5E32">
        <w:rPr>
          <w:rFonts w:cs="Arial"/>
          <w:szCs w:val="22"/>
        </w:rPr>
        <w:t>Landfill</w:t>
      </w:r>
      <w:r w:rsidR="00D540FE" w:rsidRPr="009F5E32">
        <w:rPr>
          <w:rFonts w:cs="Arial"/>
          <w:szCs w:val="22"/>
        </w:rPr>
        <w:t xml:space="preserve"> </w:t>
      </w:r>
      <w:r w:rsidRPr="009F5E32">
        <w:rPr>
          <w:rFonts w:cs="Arial"/>
          <w:szCs w:val="22"/>
        </w:rPr>
        <w:t>in August 1993</w:t>
      </w:r>
      <w:r w:rsidR="00D540FE" w:rsidRPr="009F5E32">
        <w:rPr>
          <w:rFonts w:cs="Arial"/>
          <w:szCs w:val="22"/>
        </w:rPr>
        <w:t xml:space="preserve">. </w:t>
      </w:r>
      <w:r w:rsidR="00F95D80" w:rsidRPr="009F5E32">
        <w:rPr>
          <w:rFonts w:cs="Arial"/>
          <w:szCs w:val="22"/>
        </w:rPr>
        <w:t xml:space="preserve"> </w:t>
      </w:r>
      <w:r w:rsidR="00D540FE" w:rsidRPr="009F5E32">
        <w:rPr>
          <w:rFonts w:cs="Arial"/>
          <w:szCs w:val="22"/>
        </w:rPr>
        <w:t xml:space="preserve">Concentration data for 12 of the 14 HACs included in NEAQT’s report were used to calculate emission rates. </w:t>
      </w:r>
      <w:r w:rsidRPr="009F5E32">
        <w:rPr>
          <w:rFonts w:cs="Arial"/>
          <w:szCs w:val="22"/>
        </w:rPr>
        <w:t xml:space="preserve"> </w:t>
      </w:r>
      <w:r w:rsidR="00D540FE" w:rsidRPr="009F5E32">
        <w:rPr>
          <w:rFonts w:cs="Arial"/>
          <w:szCs w:val="22"/>
        </w:rPr>
        <w:t xml:space="preserve">Non-detectable concentrations for two of the HACs (carbon tetrachloride and chloroform) were reported at each test probe during Tier 2 sampling by NEAQT. </w:t>
      </w:r>
      <w:r w:rsidR="00F95D80" w:rsidRPr="009F5E32">
        <w:rPr>
          <w:rFonts w:cs="Arial"/>
          <w:szCs w:val="22"/>
        </w:rPr>
        <w:t xml:space="preserve"> </w:t>
      </w:r>
      <w:r w:rsidR="00D540FE" w:rsidRPr="009F5E32">
        <w:rPr>
          <w:rFonts w:cs="Arial"/>
          <w:szCs w:val="22"/>
        </w:rPr>
        <w:t xml:space="preserve">Therefore, the AP-42 default values for carbon tetrachloride, chloroform, and the remaining 19 HACs for which site-specific data were not available were used to calculate the HAC emission rates.  </w:t>
      </w:r>
    </w:p>
    <w:p w14:paraId="10E4D6BE" w14:textId="77777777" w:rsidR="00F03182" w:rsidRPr="009F5E32" w:rsidRDefault="00F03182" w:rsidP="00F031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360EF2F8" w14:textId="0AAB8BF2" w:rsidR="00971EEE" w:rsidRDefault="00F03182" w:rsidP="001723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9F5E32">
        <w:rPr>
          <w:rFonts w:cs="Arial"/>
          <w:szCs w:val="22"/>
        </w:rPr>
        <w:t>Estimated fugitive emissions are summarized in the following table.</w:t>
      </w:r>
      <w:r w:rsidR="00821333" w:rsidRPr="009F5E32">
        <w:rPr>
          <w:rFonts w:cs="Arial"/>
          <w:szCs w:val="22"/>
        </w:rPr>
        <w:t xml:space="preserve">  These are based on the </w:t>
      </w:r>
      <w:r w:rsidR="00F95D80" w:rsidRPr="009F5E32">
        <w:rPr>
          <w:rFonts w:cs="Arial"/>
          <w:szCs w:val="22"/>
        </w:rPr>
        <w:t>measured concentrations</w:t>
      </w:r>
      <w:r w:rsidR="00821333" w:rsidRPr="009F5E32">
        <w:rPr>
          <w:rFonts w:cs="Arial"/>
          <w:szCs w:val="22"/>
        </w:rPr>
        <w:t xml:space="preserve"> discussed above and 15% of the maximum</w:t>
      </w:r>
      <w:r w:rsidRPr="009F5E32">
        <w:rPr>
          <w:rFonts w:cs="Arial"/>
          <w:szCs w:val="22"/>
        </w:rPr>
        <w:t xml:space="preserve"> </w:t>
      </w:r>
      <w:r w:rsidR="00821333" w:rsidRPr="009F5E32">
        <w:rPr>
          <w:rFonts w:cs="Arial"/>
          <w:szCs w:val="22"/>
        </w:rPr>
        <w:t>5</w:t>
      </w:r>
      <w:r w:rsidR="00570A58" w:rsidRPr="009F5E32">
        <w:rPr>
          <w:rFonts w:cs="Arial"/>
          <w:szCs w:val="22"/>
        </w:rPr>
        <w:t>,</w:t>
      </w:r>
      <w:r w:rsidR="00B85E83">
        <w:rPr>
          <w:rFonts w:cs="Arial"/>
          <w:szCs w:val="22"/>
        </w:rPr>
        <w:t>5</w:t>
      </w:r>
      <w:r w:rsidR="00B85E83" w:rsidRPr="009F5E32">
        <w:rPr>
          <w:rFonts w:cs="Arial"/>
          <w:szCs w:val="22"/>
        </w:rPr>
        <w:t xml:space="preserve">45 </w:t>
      </w:r>
      <w:r w:rsidR="00821333" w:rsidRPr="009F5E32">
        <w:rPr>
          <w:rFonts w:cs="Arial"/>
          <w:szCs w:val="22"/>
        </w:rPr>
        <w:t>scfm LFG generation</w:t>
      </w:r>
      <w:r w:rsidR="00F95D80" w:rsidRPr="009F5E32">
        <w:rPr>
          <w:rFonts w:cs="Arial"/>
          <w:szCs w:val="22"/>
        </w:rPr>
        <w:t xml:space="preserve"> being emitted fugitively from the Landfill</w:t>
      </w:r>
      <w:r w:rsidR="00821333" w:rsidRPr="009F5E32">
        <w:rPr>
          <w:rFonts w:cs="Arial"/>
          <w:szCs w:val="22"/>
        </w:rPr>
        <w:t>.</w:t>
      </w:r>
      <w:r w:rsidR="00F95D80" w:rsidRPr="009F5E32">
        <w:rPr>
          <w:rFonts w:cs="Arial"/>
          <w:szCs w:val="22"/>
        </w:rPr>
        <w:t xml:space="preserve"> </w:t>
      </w:r>
      <w:r w:rsidRPr="009F5E32">
        <w:rPr>
          <w:rFonts w:cs="Arial"/>
          <w:szCs w:val="22"/>
        </w:rPr>
        <w:t xml:space="preserve"> As the fugitive LFG emissions </w:t>
      </w:r>
      <w:r w:rsidR="00F25032" w:rsidRPr="009F5E32">
        <w:rPr>
          <w:rFonts w:cs="Arial"/>
          <w:szCs w:val="22"/>
        </w:rPr>
        <w:t xml:space="preserve">consist of </w:t>
      </w:r>
      <w:r w:rsidRPr="009F5E32">
        <w:rPr>
          <w:rFonts w:cs="Arial"/>
          <w:szCs w:val="22"/>
        </w:rPr>
        <w:t>uncombusted LFG, it has been assumed that there are no combustion emissions (SO</w:t>
      </w:r>
      <w:r w:rsidRPr="009F5E32">
        <w:rPr>
          <w:rFonts w:cs="Arial"/>
          <w:szCs w:val="22"/>
          <w:vertAlign w:val="subscript"/>
        </w:rPr>
        <w:t>2</w:t>
      </w:r>
      <w:r w:rsidRPr="009F5E32">
        <w:rPr>
          <w:rFonts w:cs="Arial"/>
          <w:szCs w:val="22"/>
        </w:rPr>
        <w:t xml:space="preserve"> NOx, PM, and CO) associated with this emissions source.  </w:t>
      </w:r>
    </w:p>
    <w:p w14:paraId="50BBF1B4" w14:textId="77777777" w:rsidR="00A748D0" w:rsidRDefault="00A748D0">
      <w:pPr>
        <w:widowControl/>
        <w:autoSpaceDE/>
        <w:autoSpaceDN/>
        <w:adjustRightInd/>
        <w:ind w:left="0" w:firstLine="0"/>
        <w:jc w:val="left"/>
        <w:rPr>
          <w:rFonts w:cs="Arial"/>
          <w:szCs w:val="22"/>
        </w:rPr>
      </w:pPr>
    </w:p>
    <w:p w14:paraId="070DE836" w14:textId="77777777" w:rsidR="00A748D0" w:rsidRDefault="00A748D0" w:rsidP="004A6239">
      <w:pPr>
        <w:ind w:left="0" w:firstLine="0"/>
        <w:rPr>
          <w:rFonts w:cs="Arial"/>
          <w:b/>
          <w:bCs/>
          <w:szCs w:val="22"/>
        </w:rPr>
        <w:sectPr w:rsidR="00A748D0" w:rsidSect="00A955C5">
          <w:headerReference w:type="even" r:id="rId8"/>
          <w:headerReference w:type="default" r:id="rId9"/>
          <w:footerReference w:type="default" r:id="rId10"/>
          <w:headerReference w:type="first" r:id="rId11"/>
          <w:footnotePr>
            <w:numRestart w:val="eachSect"/>
          </w:footnotePr>
          <w:endnotePr>
            <w:numFmt w:val="decimal"/>
          </w:endnotePr>
          <w:pgSz w:w="12240" w:h="15840"/>
          <w:pgMar w:top="1440" w:right="1440" w:bottom="1440" w:left="1440" w:header="1440" w:footer="720" w:gutter="0"/>
          <w:cols w:space="720"/>
          <w:noEndnote/>
          <w:titlePg/>
          <w:docGrid w:linePitch="360"/>
        </w:sectPr>
      </w:pPr>
    </w:p>
    <w:tbl>
      <w:tblPr>
        <w:tblW w:w="15015" w:type="dxa"/>
        <w:tblLayout w:type="fixed"/>
        <w:tblLook w:val="04A0" w:firstRow="1" w:lastRow="0" w:firstColumn="1" w:lastColumn="0" w:noHBand="0" w:noVBand="1"/>
      </w:tblPr>
      <w:tblGrid>
        <w:gridCol w:w="2055"/>
        <w:gridCol w:w="630"/>
        <w:gridCol w:w="630"/>
        <w:gridCol w:w="630"/>
        <w:gridCol w:w="4590"/>
        <w:gridCol w:w="900"/>
        <w:gridCol w:w="1080"/>
        <w:gridCol w:w="1170"/>
        <w:gridCol w:w="990"/>
        <w:gridCol w:w="990"/>
        <w:gridCol w:w="1350"/>
      </w:tblGrid>
      <w:tr w:rsidR="00A748D0" w:rsidRPr="009F5E32" w14:paraId="2D42B04F" w14:textId="77777777" w:rsidTr="00A80199">
        <w:trPr>
          <w:trHeight w:val="330"/>
        </w:trPr>
        <w:tc>
          <w:tcPr>
            <w:tcW w:w="15015" w:type="dxa"/>
            <w:gridSpan w:val="11"/>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24439C" w14:textId="77777777" w:rsidR="00A748D0" w:rsidRPr="005A5A0B" w:rsidRDefault="00A748D0" w:rsidP="00A748D0">
            <w:pPr>
              <w:widowControl/>
              <w:autoSpaceDE/>
              <w:autoSpaceDN/>
              <w:adjustRightInd/>
              <w:ind w:left="0" w:firstLine="0"/>
              <w:jc w:val="center"/>
              <w:rPr>
                <w:rFonts w:cs="Arial"/>
                <w:b/>
                <w:bCs/>
                <w:sz w:val="10"/>
                <w:szCs w:val="10"/>
              </w:rPr>
            </w:pPr>
            <w:r w:rsidRPr="005A5A0B">
              <w:rPr>
                <w:rFonts w:cs="Arial"/>
                <w:b/>
                <w:color w:val="000000"/>
                <w:sz w:val="20"/>
              </w:rPr>
              <w:lastRenderedPageBreak/>
              <w:t>Table 3-1 Fugitive Emissions from Landfill</w:t>
            </w:r>
          </w:p>
        </w:tc>
      </w:tr>
      <w:tr w:rsidR="00A748D0" w:rsidRPr="009F5E32" w14:paraId="40F0F474" w14:textId="77777777" w:rsidTr="00A80199">
        <w:trPr>
          <w:trHeight w:val="225"/>
        </w:trPr>
        <w:tc>
          <w:tcPr>
            <w:tcW w:w="8535" w:type="dxa"/>
            <w:gridSpan w:val="5"/>
            <w:vMerge w:val="restart"/>
            <w:tcBorders>
              <w:top w:val="single" w:sz="4" w:space="0" w:color="auto"/>
              <w:left w:val="double" w:sz="4" w:space="0" w:color="auto"/>
              <w:right w:val="nil"/>
            </w:tcBorders>
            <w:shd w:val="clear" w:color="auto" w:fill="F2F2F2" w:themeFill="background1" w:themeFillShade="F2"/>
            <w:vAlign w:val="center"/>
          </w:tcPr>
          <w:p w14:paraId="72728B41" w14:textId="77777777" w:rsidR="00A748D0" w:rsidRPr="005A5A0B" w:rsidRDefault="00A748D0" w:rsidP="00A748D0">
            <w:pPr>
              <w:widowControl/>
              <w:autoSpaceDE/>
              <w:autoSpaceDN/>
              <w:adjustRightInd/>
              <w:ind w:left="0" w:firstLine="0"/>
              <w:jc w:val="left"/>
              <w:rPr>
                <w:rFonts w:cs="Arial"/>
                <w:color w:val="000000"/>
                <w:sz w:val="16"/>
                <w:szCs w:val="16"/>
              </w:rPr>
            </w:pPr>
            <w:r w:rsidRPr="005A5A0B">
              <w:rPr>
                <w:rFonts w:cs="Arial"/>
                <w:b/>
                <w:bCs/>
                <w:sz w:val="16"/>
                <w:szCs w:val="16"/>
              </w:rPr>
              <w:t>Parameter</w:t>
            </w:r>
          </w:p>
        </w:tc>
        <w:tc>
          <w:tcPr>
            <w:tcW w:w="4140" w:type="dxa"/>
            <w:gridSpan w:val="4"/>
            <w:tcBorders>
              <w:top w:val="single" w:sz="4" w:space="0" w:color="auto"/>
              <w:left w:val="double" w:sz="6" w:space="0" w:color="000000"/>
              <w:bottom w:val="single" w:sz="4" w:space="0" w:color="auto"/>
              <w:right w:val="single" w:sz="4" w:space="0" w:color="auto"/>
            </w:tcBorders>
            <w:shd w:val="clear" w:color="auto" w:fill="F2F2F2" w:themeFill="background1" w:themeFillShade="F2"/>
            <w:vAlign w:val="center"/>
          </w:tcPr>
          <w:p w14:paraId="2F554489"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Landfill Gas Generation</w:t>
            </w:r>
          </w:p>
        </w:tc>
        <w:tc>
          <w:tcPr>
            <w:tcW w:w="2340" w:type="dxa"/>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533026D"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Fugitive Emissions</w:t>
            </w:r>
          </w:p>
        </w:tc>
      </w:tr>
      <w:tr w:rsidR="00A80199" w:rsidRPr="009F5E32" w14:paraId="38448627" w14:textId="77777777" w:rsidTr="00A80199">
        <w:trPr>
          <w:trHeight w:val="630"/>
        </w:trPr>
        <w:tc>
          <w:tcPr>
            <w:tcW w:w="8535" w:type="dxa"/>
            <w:gridSpan w:val="5"/>
            <w:vMerge/>
            <w:tcBorders>
              <w:left w:val="double" w:sz="4" w:space="0" w:color="auto"/>
              <w:bottom w:val="double" w:sz="4" w:space="0" w:color="auto"/>
              <w:right w:val="nil"/>
            </w:tcBorders>
            <w:shd w:val="clear" w:color="auto" w:fill="F2F2F2" w:themeFill="background1" w:themeFillShade="F2"/>
            <w:vAlign w:val="center"/>
            <w:hideMark/>
          </w:tcPr>
          <w:p w14:paraId="76DECC7F" w14:textId="77777777" w:rsidR="00A748D0" w:rsidRPr="005A5A0B" w:rsidRDefault="00A748D0" w:rsidP="00A748D0">
            <w:pPr>
              <w:widowControl/>
              <w:autoSpaceDE/>
              <w:autoSpaceDN/>
              <w:adjustRightInd/>
              <w:ind w:left="0" w:firstLine="0"/>
              <w:jc w:val="left"/>
              <w:rPr>
                <w:rFonts w:cs="Arial"/>
                <w:color w:val="000000"/>
                <w:sz w:val="14"/>
                <w:szCs w:val="14"/>
              </w:rPr>
            </w:pPr>
          </w:p>
        </w:tc>
        <w:tc>
          <w:tcPr>
            <w:tcW w:w="900" w:type="dxa"/>
            <w:tcBorders>
              <w:top w:val="single" w:sz="4" w:space="0" w:color="auto"/>
              <w:left w:val="double" w:sz="6" w:space="0" w:color="000000"/>
              <w:bottom w:val="double" w:sz="4" w:space="0" w:color="auto"/>
              <w:right w:val="single" w:sz="4" w:space="0" w:color="000000"/>
            </w:tcBorders>
            <w:shd w:val="clear" w:color="auto" w:fill="F2F2F2" w:themeFill="background1" w:themeFillShade="F2"/>
            <w:vAlign w:val="center"/>
            <w:hideMark/>
          </w:tcPr>
          <w:p w14:paraId="5C58137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b/>
                <w:bCs/>
                <w:sz w:val="14"/>
                <w:szCs w:val="14"/>
              </w:rPr>
              <w:t>Molecular Weight</w:t>
            </w:r>
          </w:p>
        </w:tc>
        <w:tc>
          <w:tcPr>
            <w:tcW w:w="1080" w:type="dxa"/>
            <w:tcBorders>
              <w:top w:val="single" w:sz="4" w:space="0" w:color="auto"/>
              <w:left w:val="nil"/>
              <w:bottom w:val="double" w:sz="4" w:space="0" w:color="auto"/>
              <w:right w:val="single" w:sz="4" w:space="0" w:color="000000"/>
            </w:tcBorders>
            <w:shd w:val="clear" w:color="auto" w:fill="F2F2F2" w:themeFill="background1" w:themeFillShade="F2"/>
            <w:vAlign w:val="center"/>
            <w:hideMark/>
          </w:tcPr>
          <w:p w14:paraId="39F02C87"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Concentration in LFG</w:t>
            </w:r>
          </w:p>
          <w:p w14:paraId="4DE8FE86"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 xml:space="preserve"> (ppmv)</w:t>
            </w:r>
          </w:p>
        </w:tc>
        <w:tc>
          <w:tcPr>
            <w:tcW w:w="1170" w:type="dxa"/>
            <w:tcBorders>
              <w:top w:val="nil"/>
              <w:left w:val="single" w:sz="4" w:space="0" w:color="000000"/>
              <w:bottom w:val="double" w:sz="4" w:space="0" w:color="auto"/>
              <w:right w:val="single" w:sz="4" w:space="0" w:color="000000"/>
            </w:tcBorders>
            <w:shd w:val="clear" w:color="auto" w:fill="F2F2F2" w:themeFill="background1" w:themeFillShade="F2"/>
            <w:vAlign w:val="center"/>
            <w:hideMark/>
          </w:tcPr>
          <w:p w14:paraId="7E793F74"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Landfill Generation (lb/scf)</w:t>
            </w:r>
          </w:p>
        </w:tc>
        <w:tc>
          <w:tcPr>
            <w:tcW w:w="990" w:type="dxa"/>
            <w:tcBorders>
              <w:top w:val="nil"/>
              <w:left w:val="single" w:sz="4" w:space="0" w:color="000000"/>
              <w:bottom w:val="double" w:sz="4" w:space="0" w:color="auto"/>
              <w:right w:val="single" w:sz="4" w:space="0" w:color="auto"/>
            </w:tcBorders>
            <w:shd w:val="clear" w:color="auto" w:fill="F2F2F2" w:themeFill="background1" w:themeFillShade="F2"/>
            <w:vAlign w:val="center"/>
            <w:hideMark/>
          </w:tcPr>
          <w:p w14:paraId="0C84511C"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Landfill Generation (lb/hr)</w:t>
            </w:r>
          </w:p>
        </w:tc>
        <w:tc>
          <w:tcPr>
            <w:tcW w:w="990" w:type="dxa"/>
            <w:tcBorders>
              <w:top w:val="nil"/>
              <w:left w:val="single" w:sz="4" w:space="0" w:color="auto"/>
              <w:bottom w:val="double" w:sz="4" w:space="0" w:color="auto"/>
              <w:right w:val="single" w:sz="4" w:space="0" w:color="auto"/>
            </w:tcBorders>
            <w:shd w:val="clear" w:color="auto" w:fill="F2F2F2" w:themeFill="background1" w:themeFillShade="F2"/>
            <w:vAlign w:val="center"/>
            <w:hideMark/>
          </w:tcPr>
          <w:p w14:paraId="4B285E56"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Fugitive Emissions (lb/hr)</w:t>
            </w:r>
          </w:p>
        </w:tc>
        <w:tc>
          <w:tcPr>
            <w:tcW w:w="1350" w:type="dxa"/>
            <w:tcBorders>
              <w:top w:val="nil"/>
              <w:left w:val="single" w:sz="4" w:space="0" w:color="auto"/>
              <w:bottom w:val="double" w:sz="4" w:space="0" w:color="auto"/>
              <w:right w:val="double" w:sz="4" w:space="0" w:color="auto"/>
            </w:tcBorders>
            <w:shd w:val="clear" w:color="auto" w:fill="F2F2F2" w:themeFill="background1" w:themeFillShade="F2"/>
            <w:vAlign w:val="center"/>
            <w:hideMark/>
          </w:tcPr>
          <w:p w14:paraId="66B7E7CD"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 xml:space="preserve">Fugitive Emissions (ton/year) </w:t>
            </w:r>
          </w:p>
        </w:tc>
      </w:tr>
      <w:tr w:rsidR="00A748D0" w:rsidRPr="009F5E32" w14:paraId="154F68B7" w14:textId="77777777" w:rsidTr="00A748D0">
        <w:trPr>
          <w:trHeight w:val="162"/>
        </w:trPr>
        <w:tc>
          <w:tcPr>
            <w:tcW w:w="8535" w:type="dxa"/>
            <w:gridSpan w:val="5"/>
            <w:tcBorders>
              <w:top w:val="double" w:sz="4" w:space="0" w:color="auto"/>
              <w:left w:val="double" w:sz="4" w:space="0" w:color="auto"/>
              <w:bottom w:val="single" w:sz="4" w:space="0" w:color="000000"/>
              <w:right w:val="nil"/>
            </w:tcBorders>
            <w:shd w:val="clear" w:color="auto" w:fill="auto"/>
            <w:vAlign w:val="bottom"/>
            <w:hideMark/>
          </w:tcPr>
          <w:p w14:paraId="37DB687A"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 xml:space="preserve">NMOC </w:t>
            </w:r>
          </w:p>
        </w:tc>
        <w:tc>
          <w:tcPr>
            <w:tcW w:w="900" w:type="dxa"/>
            <w:tcBorders>
              <w:top w:val="double" w:sz="4" w:space="0" w:color="auto"/>
              <w:left w:val="double" w:sz="6" w:space="0" w:color="000000"/>
              <w:bottom w:val="single" w:sz="4" w:space="0" w:color="000000"/>
              <w:right w:val="single" w:sz="4" w:space="0" w:color="000000"/>
            </w:tcBorders>
            <w:shd w:val="clear" w:color="auto" w:fill="auto"/>
            <w:vAlign w:val="bottom"/>
            <w:hideMark/>
          </w:tcPr>
          <w:p w14:paraId="7743CFC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86.18</w:t>
            </w:r>
          </w:p>
        </w:tc>
        <w:tc>
          <w:tcPr>
            <w:tcW w:w="1080" w:type="dxa"/>
            <w:tcBorders>
              <w:top w:val="double" w:sz="4" w:space="0" w:color="auto"/>
              <w:left w:val="nil"/>
              <w:bottom w:val="single" w:sz="4" w:space="0" w:color="000000"/>
              <w:right w:val="single" w:sz="4" w:space="0" w:color="000000"/>
            </w:tcBorders>
            <w:shd w:val="clear" w:color="auto" w:fill="auto"/>
            <w:vAlign w:val="bottom"/>
            <w:hideMark/>
          </w:tcPr>
          <w:p w14:paraId="7F87261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 xml:space="preserve">561 </w:t>
            </w:r>
          </w:p>
        </w:tc>
        <w:tc>
          <w:tcPr>
            <w:tcW w:w="1170" w:type="dxa"/>
            <w:tcBorders>
              <w:top w:val="double" w:sz="4" w:space="0" w:color="auto"/>
              <w:left w:val="nil"/>
              <w:bottom w:val="single" w:sz="4" w:space="0" w:color="000000"/>
              <w:right w:val="single" w:sz="4" w:space="0" w:color="000000"/>
            </w:tcBorders>
            <w:shd w:val="clear" w:color="auto" w:fill="auto"/>
            <w:vAlign w:val="bottom"/>
            <w:hideMark/>
          </w:tcPr>
          <w:p w14:paraId="7ECD12B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0.000128</w:t>
            </w:r>
          </w:p>
        </w:tc>
        <w:tc>
          <w:tcPr>
            <w:tcW w:w="990" w:type="dxa"/>
            <w:tcBorders>
              <w:top w:val="double" w:sz="4" w:space="0" w:color="auto"/>
              <w:left w:val="nil"/>
              <w:bottom w:val="single" w:sz="4" w:space="0" w:color="000000"/>
              <w:right w:val="single" w:sz="4" w:space="0" w:color="auto"/>
            </w:tcBorders>
            <w:shd w:val="clear" w:color="auto" w:fill="auto"/>
            <w:vAlign w:val="bottom"/>
            <w:hideMark/>
          </w:tcPr>
          <w:p w14:paraId="1C534ED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42.52</w:t>
            </w:r>
          </w:p>
        </w:tc>
        <w:tc>
          <w:tcPr>
            <w:tcW w:w="990" w:type="dxa"/>
            <w:tcBorders>
              <w:top w:val="double" w:sz="4" w:space="0" w:color="auto"/>
              <w:left w:val="single" w:sz="4" w:space="0" w:color="auto"/>
              <w:bottom w:val="single" w:sz="4" w:space="0" w:color="000000"/>
              <w:right w:val="single" w:sz="4" w:space="0" w:color="000000"/>
            </w:tcBorders>
            <w:shd w:val="clear" w:color="auto" w:fill="auto"/>
            <w:vAlign w:val="bottom"/>
            <w:hideMark/>
          </w:tcPr>
          <w:p w14:paraId="43048B0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6.381</w:t>
            </w:r>
          </w:p>
        </w:tc>
        <w:tc>
          <w:tcPr>
            <w:tcW w:w="1350" w:type="dxa"/>
            <w:tcBorders>
              <w:top w:val="double" w:sz="4" w:space="0" w:color="auto"/>
              <w:left w:val="nil"/>
              <w:bottom w:val="single" w:sz="4" w:space="0" w:color="000000"/>
              <w:right w:val="double" w:sz="4" w:space="0" w:color="auto"/>
            </w:tcBorders>
            <w:shd w:val="clear" w:color="auto" w:fill="auto"/>
            <w:vAlign w:val="bottom"/>
            <w:hideMark/>
          </w:tcPr>
          <w:p w14:paraId="2055C41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27.95</w:t>
            </w:r>
          </w:p>
        </w:tc>
      </w:tr>
      <w:tr w:rsidR="00A748D0" w:rsidRPr="009F5E32" w14:paraId="67AB59F7" w14:textId="77777777" w:rsidTr="00A748D0">
        <w:trPr>
          <w:trHeight w:val="162"/>
        </w:trPr>
        <w:tc>
          <w:tcPr>
            <w:tcW w:w="8535" w:type="dxa"/>
            <w:gridSpan w:val="5"/>
            <w:tcBorders>
              <w:top w:val="nil"/>
              <w:left w:val="double" w:sz="4" w:space="0" w:color="auto"/>
              <w:bottom w:val="single" w:sz="4" w:space="0" w:color="000000"/>
              <w:right w:val="double" w:sz="6" w:space="0" w:color="000000"/>
            </w:tcBorders>
            <w:shd w:val="clear" w:color="auto" w:fill="auto"/>
            <w:vAlign w:val="bottom"/>
            <w:hideMark/>
          </w:tcPr>
          <w:p w14:paraId="2270F239"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Estimated Fugitive VOC Emissions from Landfill</w:t>
            </w:r>
          </w:p>
        </w:tc>
        <w:tc>
          <w:tcPr>
            <w:tcW w:w="900" w:type="dxa"/>
            <w:tcBorders>
              <w:top w:val="nil"/>
              <w:left w:val="nil"/>
              <w:bottom w:val="single" w:sz="4" w:space="0" w:color="000000"/>
              <w:right w:val="single" w:sz="4" w:space="0" w:color="000000"/>
            </w:tcBorders>
            <w:shd w:val="clear" w:color="auto" w:fill="auto"/>
            <w:vAlign w:val="bottom"/>
            <w:hideMark/>
          </w:tcPr>
          <w:p w14:paraId="620941F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86.18</w:t>
            </w:r>
          </w:p>
        </w:tc>
        <w:tc>
          <w:tcPr>
            <w:tcW w:w="1080" w:type="dxa"/>
            <w:tcBorders>
              <w:top w:val="nil"/>
              <w:left w:val="nil"/>
              <w:bottom w:val="single" w:sz="4" w:space="0" w:color="000000"/>
              <w:right w:val="single" w:sz="4" w:space="0" w:color="000000"/>
            </w:tcBorders>
            <w:shd w:val="clear" w:color="auto" w:fill="auto"/>
            <w:vAlign w:val="bottom"/>
            <w:hideMark/>
          </w:tcPr>
          <w:p w14:paraId="1834384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219</w:t>
            </w:r>
          </w:p>
        </w:tc>
        <w:tc>
          <w:tcPr>
            <w:tcW w:w="1170" w:type="dxa"/>
            <w:tcBorders>
              <w:top w:val="nil"/>
              <w:left w:val="nil"/>
              <w:bottom w:val="single" w:sz="4" w:space="0" w:color="000000"/>
              <w:right w:val="single" w:sz="4" w:space="0" w:color="000000"/>
            </w:tcBorders>
            <w:shd w:val="clear" w:color="auto" w:fill="auto"/>
            <w:vAlign w:val="bottom"/>
            <w:hideMark/>
          </w:tcPr>
          <w:p w14:paraId="265F172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4.989E-05</w:t>
            </w:r>
          </w:p>
        </w:tc>
        <w:tc>
          <w:tcPr>
            <w:tcW w:w="990" w:type="dxa"/>
            <w:tcBorders>
              <w:top w:val="nil"/>
              <w:left w:val="nil"/>
              <w:bottom w:val="single" w:sz="4" w:space="0" w:color="000000"/>
              <w:right w:val="single" w:sz="4" w:space="0" w:color="auto"/>
            </w:tcBorders>
            <w:shd w:val="clear" w:color="auto" w:fill="auto"/>
            <w:vAlign w:val="bottom"/>
            <w:hideMark/>
          </w:tcPr>
          <w:p w14:paraId="2908824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16.60</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467A6D0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2.491</w:t>
            </w:r>
          </w:p>
        </w:tc>
        <w:tc>
          <w:tcPr>
            <w:tcW w:w="1350" w:type="dxa"/>
            <w:tcBorders>
              <w:top w:val="nil"/>
              <w:left w:val="nil"/>
              <w:bottom w:val="single" w:sz="4" w:space="0" w:color="000000"/>
              <w:right w:val="double" w:sz="4" w:space="0" w:color="auto"/>
            </w:tcBorders>
            <w:shd w:val="clear" w:color="auto" w:fill="auto"/>
            <w:vAlign w:val="bottom"/>
            <w:hideMark/>
          </w:tcPr>
          <w:p w14:paraId="61B49455" w14:textId="77777777" w:rsidR="00A748D0" w:rsidRPr="005A5A0B" w:rsidRDefault="00A748D0" w:rsidP="00A748D0">
            <w:pPr>
              <w:widowControl/>
              <w:autoSpaceDE/>
              <w:autoSpaceDN/>
              <w:adjustRightInd/>
              <w:ind w:left="0" w:firstLine="0"/>
              <w:jc w:val="right"/>
              <w:rPr>
                <w:rFonts w:cs="Arial"/>
                <w:b/>
                <w:color w:val="000000"/>
                <w:sz w:val="14"/>
                <w:szCs w:val="14"/>
              </w:rPr>
            </w:pPr>
            <w:r w:rsidRPr="005A5A0B">
              <w:rPr>
                <w:rFonts w:cs="Arial"/>
                <w:b/>
                <w:color w:val="000000"/>
                <w:sz w:val="14"/>
                <w:szCs w:val="14"/>
              </w:rPr>
              <w:t>10.91</w:t>
            </w:r>
          </w:p>
        </w:tc>
      </w:tr>
      <w:tr w:rsidR="00A748D0" w:rsidRPr="009F5E32" w14:paraId="79C06043" w14:textId="77777777" w:rsidTr="00A748D0">
        <w:trPr>
          <w:trHeight w:val="162"/>
        </w:trPr>
        <w:tc>
          <w:tcPr>
            <w:tcW w:w="8535" w:type="dxa"/>
            <w:gridSpan w:val="5"/>
            <w:tcBorders>
              <w:top w:val="nil"/>
              <w:left w:val="double" w:sz="4" w:space="0" w:color="auto"/>
              <w:bottom w:val="single" w:sz="4" w:space="0" w:color="000000"/>
              <w:right w:val="nil"/>
            </w:tcBorders>
            <w:shd w:val="clear" w:color="auto" w:fill="auto"/>
            <w:hideMark/>
          </w:tcPr>
          <w:p w14:paraId="33A757CF" w14:textId="77777777" w:rsidR="00A748D0" w:rsidRPr="005A5A0B" w:rsidRDefault="00A748D0" w:rsidP="00A748D0">
            <w:pPr>
              <w:widowControl/>
              <w:autoSpaceDE/>
              <w:autoSpaceDN/>
              <w:adjustRightInd/>
              <w:ind w:left="0" w:firstLine="0"/>
              <w:jc w:val="left"/>
              <w:rPr>
                <w:rFonts w:cs="Arial"/>
                <w:color w:val="000000"/>
                <w:sz w:val="14"/>
                <w:szCs w:val="14"/>
              </w:rPr>
            </w:pPr>
          </w:p>
        </w:tc>
        <w:tc>
          <w:tcPr>
            <w:tcW w:w="900" w:type="dxa"/>
            <w:tcBorders>
              <w:top w:val="nil"/>
              <w:left w:val="double" w:sz="6" w:space="0" w:color="000000"/>
              <w:bottom w:val="single" w:sz="4" w:space="0" w:color="000000"/>
              <w:right w:val="single" w:sz="4" w:space="0" w:color="000000"/>
            </w:tcBorders>
            <w:shd w:val="clear" w:color="auto" w:fill="auto"/>
            <w:vAlign w:val="bottom"/>
          </w:tcPr>
          <w:p w14:paraId="35E07C70"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080" w:type="dxa"/>
            <w:tcBorders>
              <w:top w:val="nil"/>
              <w:left w:val="nil"/>
              <w:bottom w:val="single" w:sz="4" w:space="0" w:color="000000"/>
              <w:right w:val="single" w:sz="4" w:space="0" w:color="000000"/>
            </w:tcBorders>
            <w:shd w:val="clear" w:color="auto" w:fill="auto"/>
            <w:vAlign w:val="bottom"/>
          </w:tcPr>
          <w:p w14:paraId="00129F2C"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170" w:type="dxa"/>
            <w:tcBorders>
              <w:top w:val="nil"/>
              <w:left w:val="nil"/>
              <w:bottom w:val="single" w:sz="4" w:space="0" w:color="000000"/>
              <w:right w:val="single" w:sz="4" w:space="0" w:color="000000"/>
            </w:tcBorders>
            <w:shd w:val="clear" w:color="auto" w:fill="auto"/>
            <w:vAlign w:val="bottom"/>
          </w:tcPr>
          <w:p w14:paraId="6570FD3A"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990" w:type="dxa"/>
            <w:tcBorders>
              <w:top w:val="nil"/>
              <w:left w:val="nil"/>
              <w:bottom w:val="single" w:sz="4" w:space="0" w:color="000000"/>
              <w:right w:val="single" w:sz="4" w:space="0" w:color="auto"/>
            </w:tcBorders>
            <w:shd w:val="clear" w:color="auto" w:fill="auto"/>
            <w:vAlign w:val="bottom"/>
          </w:tcPr>
          <w:p w14:paraId="3AAF7449"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990" w:type="dxa"/>
            <w:tcBorders>
              <w:top w:val="nil"/>
              <w:left w:val="single" w:sz="4" w:space="0" w:color="auto"/>
              <w:bottom w:val="single" w:sz="4" w:space="0" w:color="000000"/>
              <w:right w:val="single" w:sz="4" w:space="0" w:color="000000"/>
            </w:tcBorders>
            <w:shd w:val="clear" w:color="auto" w:fill="auto"/>
            <w:vAlign w:val="bottom"/>
          </w:tcPr>
          <w:p w14:paraId="780CF04E"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350" w:type="dxa"/>
            <w:tcBorders>
              <w:top w:val="nil"/>
              <w:left w:val="nil"/>
              <w:bottom w:val="single" w:sz="4" w:space="0" w:color="000000"/>
              <w:right w:val="double" w:sz="4" w:space="0" w:color="auto"/>
            </w:tcBorders>
            <w:shd w:val="clear" w:color="auto" w:fill="auto"/>
            <w:vAlign w:val="bottom"/>
          </w:tcPr>
          <w:p w14:paraId="236BCDBC" w14:textId="77777777" w:rsidR="00A748D0" w:rsidRPr="005A5A0B" w:rsidRDefault="00A748D0" w:rsidP="00A748D0">
            <w:pPr>
              <w:widowControl/>
              <w:autoSpaceDE/>
              <w:autoSpaceDN/>
              <w:adjustRightInd/>
              <w:ind w:left="0" w:firstLine="0"/>
              <w:jc w:val="right"/>
              <w:rPr>
                <w:rFonts w:cs="Arial"/>
                <w:color w:val="000000"/>
                <w:sz w:val="14"/>
                <w:szCs w:val="14"/>
              </w:rPr>
            </w:pPr>
          </w:p>
        </w:tc>
      </w:tr>
      <w:tr w:rsidR="00A748D0" w:rsidRPr="009F5E32" w14:paraId="5D02DB85" w14:textId="77777777" w:rsidTr="00A748D0">
        <w:trPr>
          <w:trHeight w:val="375"/>
        </w:trPr>
        <w:tc>
          <w:tcPr>
            <w:tcW w:w="2055" w:type="dxa"/>
            <w:tcBorders>
              <w:top w:val="nil"/>
              <w:left w:val="double" w:sz="4" w:space="0" w:color="auto"/>
              <w:bottom w:val="single" w:sz="4" w:space="0" w:color="000000"/>
              <w:right w:val="single" w:sz="4" w:space="0" w:color="000000"/>
            </w:tcBorders>
            <w:shd w:val="clear" w:color="auto" w:fill="auto"/>
            <w:vAlign w:val="bottom"/>
            <w:hideMark/>
          </w:tcPr>
          <w:p w14:paraId="6439E8AB" w14:textId="77777777" w:rsidR="00A748D0" w:rsidRPr="005A5A0B" w:rsidRDefault="00A748D0" w:rsidP="00A748D0">
            <w:pPr>
              <w:widowControl/>
              <w:autoSpaceDE/>
              <w:autoSpaceDN/>
              <w:adjustRightInd/>
              <w:ind w:left="0" w:firstLine="0"/>
              <w:jc w:val="center"/>
              <w:rPr>
                <w:rFonts w:cs="Arial"/>
                <w:b/>
                <w:bCs/>
                <w:sz w:val="14"/>
                <w:szCs w:val="14"/>
              </w:rPr>
            </w:pPr>
            <w:r w:rsidRPr="005A5A0B">
              <w:rPr>
                <w:rFonts w:cs="Arial"/>
                <w:b/>
                <w:bCs/>
                <w:sz w:val="14"/>
                <w:szCs w:val="14"/>
              </w:rPr>
              <w:t>CAS No.</w:t>
            </w:r>
          </w:p>
        </w:tc>
        <w:tc>
          <w:tcPr>
            <w:tcW w:w="630" w:type="dxa"/>
            <w:tcBorders>
              <w:top w:val="nil"/>
              <w:left w:val="nil"/>
              <w:bottom w:val="single" w:sz="4" w:space="0" w:color="000000"/>
              <w:right w:val="single" w:sz="4" w:space="0" w:color="000000"/>
            </w:tcBorders>
            <w:shd w:val="clear" w:color="auto" w:fill="auto"/>
            <w:vAlign w:val="bottom"/>
            <w:hideMark/>
          </w:tcPr>
          <w:p w14:paraId="1C9FCB8E" w14:textId="77777777" w:rsidR="00A748D0" w:rsidRPr="005A5A0B" w:rsidRDefault="00A748D0" w:rsidP="00A748D0">
            <w:pPr>
              <w:widowControl/>
              <w:autoSpaceDE/>
              <w:autoSpaceDN/>
              <w:adjustRightInd/>
              <w:ind w:left="0" w:firstLine="0"/>
              <w:jc w:val="center"/>
              <w:rPr>
                <w:rFonts w:cs="Arial"/>
                <w:b/>
                <w:bCs/>
                <w:color w:val="000000"/>
                <w:sz w:val="14"/>
                <w:szCs w:val="14"/>
              </w:rPr>
            </w:pPr>
            <w:r w:rsidRPr="005A5A0B">
              <w:rPr>
                <w:rFonts w:cs="Arial"/>
                <w:b/>
                <w:bCs/>
                <w:color w:val="000000"/>
                <w:sz w:val="14"/>
                <w:szCs w:val="14"/>
              </w:rPr>
              <w:t>VOC (Y/N)</w:t>
            </w:r>
          </w:p>
        </w:tc>
        <w:tc>
          <w:tcPr>
            <w:tcW w:w="630" w:type="dxa"/>
            <w:tcBorders>
              <w:top w:val="nil"/>
              <w:left w:val="nil"/>
              <w:bottom w:val="single" w:sz="4" w:space="0" w:color="000000"/>
              <w:right w:val="single" w:sz="4" w:space="0" w:color="000000"/>
            </w:tcBorders>
            <w:shd w:val="clear" w:color="auto" w:fill="auto"/>
            <w:vAlign w:val="bottom"/>
            <w:hideMark/>
          </w:tcPr>
          <w:p w14:paraId="3950BB7C" w14:textId="77777777" w:rsidR="00A748D0" w:rsidRPr="005A5A0B" w:rsidRDefault="00A748D0" w:rsidP="00A748D0">
            <w:pPr>
              <w:widowControl/>
              <w:autoSpaceDE/>
              <w:autoSpaceDN/>
              <w:adjustRightInd/>
              <w:ind w:left="0" w:firstLine="0"/>
              <w:jc w:val="center"/>
              <w:rPr>
                <w:rFonts w:cs="Arial"/>
                <w:b/>
                <w:bCs/>
                <w:color w:val="000000"/>
                <w:sz w:val="14"/>
                <w:szCs w:val="14"/>
              </w:rPr>
            </w:pPr>
            <w:r w:rsidRPr="005A5A0B">
              <w:rPr>
                <w:rFonts w:cs="Arial"/>
                <w:b/>
                <w:bCs/>
                <w:color w:val="000000"/>
                <w:sz w:val="14"/>
                <w:szCs w:val="14"/>
              </w:rPr>
              <w:t>HAP (Y/N)</w:t>
            </w:r>
          </w:p>
        </w:tc>
        <w:tc>
          <w:tcPr>
            <w:tcW w:w="630" w:type="dxa"/>
            <w:tcBorders>
              <w:top w:val="nil"/>
              <w:left w:val="nil"/>
              <w:bottom w:val="single" w:sz="4" w:space="0" w:color="000000"/>
              <w:right w:val="single" w:sz="4" w:space="0" w:color="000000"/>
            </w:tcBorders>
            <w:shd w:val="clear" w:color="auto" w:fill="auto"/>
            <w:vAlign w:val="bottom"/>
            <w:hideMark/>
          </w:tcPr>
          <w:p w14:paraId="69356706" w14:textId="77777777" w:rsidR="00A748D0" w:rsidRPr="005A5A0B" w:rsidRDefault="00A748D0" w:rsidP="00A748D0">
            <w:pPr>
              <w:widowControl/>
              <w:autoSpaceDE/>
              <w:autoSpaceDN/>
              <w:adjustRightInd/>
              <w:ind w:left="0" w:firstLine="0"/>
              <w:jc w:val="center"/>
              <w:rPr>
                <w:rFonts w:cs="Arial"/>
                <w:b/>
                <w:bCs/>
                <w:color w:val="000000"/>
                <w:sz w:val="14"/>
                <w:szCs w:val="14"/>
              </w:rPr>
            </w:pPr>
            <w:r w:rsidRPr="005A5A0B">
              <w:rPr>
                <w:rFonts w:cs="Arial"/>
                <w:b/>
                <w:bCs/>
                <w:color w:val="000000"/>
                <w:sz w:val="14"/>
                <w:szCs w:val="14"/>
              </w:rPr>
              <w:t>HAC (Y/N)</w:t>
            </w:r>
          </w:p>
        </w:tc>
        <w:tc>
          <w:tcPr>
            <w:tcW w:w="4590" w:type="dxa"/>
            <w:tcBorders>
              <w:top w:val="single" w:sz="4" w:space="0" w:color="000000"/>
              <w:left w:val="nil"/>
              <w:bottom w:val="single" w:sz="4" w:space="0" w:color="000000"/>
              <w:right w:val="nil"/>
            </w:tcBorders>
            <w:shd w:val="clear" w:color="auto" w:fill="auto"/>
            <w:vAlign w:val="bottom"/>
            <w:hideMark/>
          </w:tcPr>
          <w:p w14:paraId="40BE4F5C" w14:textId="77777777" w:rsidR="00A748D0" w:rsidRPr="005A5A0B" w:rsidRDefault="00A748D0" w:rsidP="00A748D0">
            <w:pPr>
              <w:widowControl/>
              <w:autoSpaceDE/>
              <w:autoSpaceDN/>
              <w:adjustRightInd/>
              <w:ind w:left="0" w:firstLine="0"/>
              <w:jc w:val="left"/>
              <w:rPr>
                <w:rFonts w:cs="Arial"/>
                <w:b/>
                <w:bCs/>
                <w:sz w:val="14"/>
                <w:szCs w:val="14"/>
              </w:rPr>
            </w:pPr>
            <w:r w:rsidRPr="005A5A0B">
              <w:rPr>
                <w:rFonts w:cs="Arial"/>
                <w:b/>
                <w:bCs/>
                <w:sz w:val="14"/>
                <w:szCs w:val="14"/>
              </w:rPr>
              <w:t xml:space="preserve">VOCs, Hazardous Air Pollutants (HAPs) and Hazardous Air Contaminants (HACs) </w:t>
            </w:r>
          </w:p>
        </w:tc>
        <w:tc>
          <w:tcPr>
            <w:tcW w:w="900" w:type="dxa"/>
            <w:tcBorders>
              <w:top w:val="nil"/>
              <w:left w:val="double" w:sz="6" w:space="0" w:color="000000"/>
              <w:bottom w:val="single" w:sz="4" w:space="0" w:color="000000"/>
              <w:right w:val="nil"/>
            </w:tcBorders>
            <w:shd w:val="clear" w:color="auto" w:fill="auto"/>
            <w:vAlign w:val="bottom"/>
          </w:tcPr>
          <w:p w14:paraId="5FF751C3"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080" w:type="dxa"/>
            <w:tcBorders>
              <w:top w:val="nil"/>
              <w:left w:val="nil"/>
              <w:bottom w:val="single" w:sz="4" w:space="0" w:color="000000"/>
              <w:right w:val="nil"/>
            </w:tcBorders>
            <w:shd w:val="clear" w:color="auto" w:fill="auto"/>
            <w:vAlign w:val="bottom"/>
          </w:tcPr>
          <w:p w14:paraId="2E08A1C6"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170" w:type="dxa"/>
            <w:tcBorders>
              <w:top w:val="nil"/>
              <w:left w:val="nil"/>
              <w:bottom w:val="single" w:sz="4" w:space="0" w:color="000000"/>
              <w:right w:val="nil"/>
            </w:tcBorders>
            <w:shd w:val="clear" w:color="auto" w:fill="auto"/>
            <w:vAlign w:val="bottom"/>
          </w:tcPr>
          <w:p w14:paraId="1C32ED0B"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990" w:type="dxa"/>
            <w:tcBorders>
              <w:top w:val="nil"/>
              <w:left w:val="nil"/>
              <w:bottom w:val="single" w:sz="4" w:space="0" w:color="000000"/>
              <w:right w:val="single" w:sz="4" w:space="0" w:color="auto"/>
            </w:tcBorders>
            <w:shd w:val="clear" w:color="auto" w:fill="auto"/>
            <w:vAlign w:val="bottom"/>
          </w:tcPr>
          <w:p w14:paraId="68BC76BE"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990" w:type="dxa"/>
            <w:tcBorders>
              <w:top w:val="nil"/>
              <w:left w:val="single" w:sz="4" w:space="0" w:color="auto"/>
              <w:bottom w:val="single" w:sz="4" w:space="0" w:color="000000"/>
              <w:right w:val="nil"/>
            </w:tcBorders>
            <w:shd w:val="clear" w:color="auto" w:fill="auto"/>
            <w:vAlign w:val="bottom"/>
          </w:tcPr>
          <w:p w14:paraId="21243642"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350" w:type="dxa"/>
            <w:tcBorders>
              <w:top w:val="nil"/>
              <w:left w:val="nil"/>
              <w:bottom w:val="single" w:sz="4" w:space="0" w:color="000000"/>
              <w:right w:val="double" w:sz="4" w:space="0" w:color="auto"/>
            </w:tcBorders>
            <w:shd w:val="clear" w:color="auto" w:fill="auto"/>
            <w:vAlign w:val="bottom"/>
          </w:tcPr>
          <w:p w14:paraId="054256A6" w14:textId="77777777" w:rsidR="00A748D0" w:rsidRPr="005A5A0B" w:rsidRDefault="00A748D0" w:rsidP="00A748D0">
            <w:pPr>
              <w:widowControl/>
              <w:autoSpaceDE/>
              <w:autoSpaceDN/>
              <w:adjustRightInd/>
              <w:ind w:left="0" w:firstLine="0"/>
              <w:jc w:val="right"/>
              <w:rPr>
                <w:rFonts w:cs="Arial"/>
                <w:color w:val="000000"/>
                <w:sz w:val="14"/>
                <w:szCs w:val="14"/>
              </w:rPr>
            </w:pPr>
          </w:p>
        </w:tc>
      </w:tr>
      <w:tr w:rsidR="00A748D0" w:rsidRPr="009F5E32" w14:paraId="39A6422C"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51AC6684"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71-55-6</w:t>
            </w:r>
          </w:p>
        </w:tc>
        <w:tc>
          <w:tcPr>
            <w:tcW w:w="630" w:type="dxa"/>
            <w:tcBorders>
              <w:top w:val="nil"/>
              <w:left w:val="nil"/>
              <w:bottom w:val="single" w:sz="4" w:space="0" w:color="000000"/>
              <w:right w:val="single" w:sz="4" w:space="0" w:color="000000"/>
            </w:tcBorders>
            <w:shd w:val="clear" w:color="auto" w:fill="auto"/>
            <w:hideMark/>
          </w:tcPr>
          <w:p w14:paraId="5DE5B0B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4FB84ED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CB668F2"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2CE50500"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1,1,1-Trichloroethane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68FD98D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133.41</w:t>
            </w:r>
          </w:p>
        </w:tc>
        <w:tc>
          <w:tcPr>
            <w:tcW w:w="1080" w:type="dxa"/>
            <w:tcBorders>
              <w:top w:val="nil"/>
              <w:left w:val="nil"/>
              <w:bottom w:val="single" w:sz="4" w:space="0" w:color="000000"/>
              <w:right w:val="single" w:sz="4" w:space="0" w:color="000000"/>
            </w:tcBorders>
            <w:shd w:val="clear" w:color="auto" w:fill="auto"/>
            <w:vAlign w:val="bottom"/>
            <w:hideMark/>
          </w:tcPr>
          <w:p w14:paraId="63DDEAD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0.480</w:t>
            </w:r>
          </w:p>
        </w:tc>
        <w:tc>
          <w:tcPr>
            <w:tcW w:w="1170" w:type="dxa"/>
            <w:tcBorders>
              <w:top w:val="nil"/>
              <w:left w:val="nil"/>
              <w:bottom w:val="single" w:sz="4" w:space="0" w:color="000000"/>
              <w:right w:val="single" w:sz="4" w:space="0" w:color="000000"/>
            </w:tcBorders>
            <w:shd w:val="clear" w:color="auto" w:fill="auto"/>
            <w:vAlign w:val="bottom"/>
            <w:hideMark/>
          </w:tcPr>
          <w:p w14:paraId="538624E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0.00000017</w:t>
            </w:r>
          </w:p>
        </w:tc>
        <w:tc>
          <w:tcPr>
            <w:tcW w:w="990" w:type="dxa"/>
            <w:tcBorders>
              <w:top w:val="nil"/>
              <w:left w:val="nil"/>
              <w:bottom w:val="single" w:sz="4" w:space="0" w:color="000000"/>
              <w:right w:val="single" w:sz="4" w:space="0" w:color="auto"/>
            </w:tcBorders>
            <w:shd w:val="clear" w:color="auto" w:fill="auto"/>
            <w:vAlign w:val="bottom"/>
            <w:hideMark/>
          </w:tcPr>
          <w:p w14:paraId="5C43592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0.056325</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EBF60A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0.008451</w:t>
            </w:r>
          </w:p>
        </w:tc>
        <w:tc>
          <w:tcPr>
            <w:tcW w:w="1350" w:type="dxa"/>
            <w:tcBorders>
              <w:top w:val="nil"/>
              <w:left w:val="nil"/>
              <w:bottom w:val="single" w:sz="4" w:space="0" w:color="000000"/>
              <w:right w:val="double" w:sz="4" w:space="0" w:color="auto"/>
            </w:tcBorders>
            <w:shd w:val="clear" w:color="auto" w:fill="auto"/>
            <w:vAlign w:val="bottom"/>
            <w:hideMark/>
          </w:tcPr>
          <w:p w14:paraId="2EEC488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0.04</w:t>
            </w:r>
          </w:p>
        </w:tc>
      </w:tr>
      <w:tr w:rsidR="00A748D0" w:rsidRPr="009F5E32" w14:paraId="0A46FDB5"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3A456C80"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79-00-5</w:t>
            </w:r>
          </w:p>
        </w:tc>
        <w:tc>
          <w:tcPr>
            <w:tcW w:w="630" w:type="dxa"/>
            <w:tcBorders>
              <w:top w:val="nil"/>
              <w:left w:val="nil"/>
              <w:bottom w:val="single" w:sz="4" w:space="0" w:color="000000"/>
              <w:right w:val="single" w:sz="4" w:space="0" w:color="000000"/>
            </w:tcBorders>
            <w:shd w:val="clear" w:color="auto" w:fill="auto"/>
            <w:hideMark/>
          </w:tcPr>
          <w:p w14:paraId="14602E2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8D7B58F"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65D008D"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nil"/>
              <w:left w:val="nil"/>
              <w:bottom w:val="single" w:sz="4" w:space="0" w:color="000000"/>
              <w:right w:val="nil"/>
            </w:tcBorders>
            <w:shd w:val="clear" w:color="auto" w:fill="auto"/>
            <w:hideMark/>
          </w:tcPr>
          <w:p w14:paraId="08EACD49"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1,1,2-Trichloroethane  </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32D2158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133.41</w:t>
            </w:r>
          </w:p>
        </w:tc>
        <w:tc>
          <w:tcPr>
            <w:tcW w:w="1080" w:type="dxa"/>
            <w:tcBorders>
              <w:top w:val="nil"/>
              <w:left w:val="nil"/>
              <w:bottom w:val="single" w:sz="4" w:space="0" w:color="000000"/>
              <w:right w:val="single" w:sz="4" w:space="0" w:color="000000"/>
            </w:tcBorders>
            <w:shd w:val="clear" w:color="auto" w:fill="auto"/>
            <w:vAlign w:val="bottom"/>
            <w:hideMark/>
          </w:tcPr>
          <w:p w14:paraId="408FC13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0.100</w:t>
            </w:r>
          </w:p>
        </w:tc>
        <w:tc>
          <w:tcPr>
            <w:tcW w:w="1170" w:type="dxa"/>
            <w:tcBorders>
              <w:top w:val="nil"/>
              <w:left w:val="nil"/>
              <w:bottom w:val="single" w:sz="4" w:space="0" w:color="000000"/>
              <w:right w:val="single" w:sz="4" w:space="0" w:color="000000"/>
            </w:tcBorders>
            <w:shd w:val="clear" w:color="auto" w:fill="auto"/>
            <w:vAlign w:val="bottom"/>
            <w:hideMark/>
          </w:tcPr>
          <w:p w14:paraId="65F5370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0.00000004</w:t>
            </w:r>
          </w:p>
        </w:tc>
        <w:tc>
          <w:tcPr>
            <w:tcW w:w="990" w:type="dxa"/>
            <w:tcBorders>
              <w:top w:val="nil"/>
              <w:left w:val="nil"/>
              <w:bottom w:val="single" w:sz="4" w:space="0" w:color="000000"/>
              <w:right w:val="single" w:sz="4" w:space="0" w:color="auto"/>
            </w:tcBorders>
            <w:shd w:val="clear" w:color="auto" w:fill="auto"/>
            <w:vAlign w:val="bottom"/>
            <w:hideMark/>
          </w:tcPr>
          <w:p w14:paraId="0B4CB04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0.011734</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81472F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0.001761</w:t>
            </w:r>
          </w:p>
        </w:tc>
        <w:tc>
          <w:tcPr>
            <w:tcW w:w="1350" w:type="dxa"/>
            <w:tcBorders>
              <w:top w:val="nil"/>
              <w:left w:val="nil"/>
              <w:bottom w:val="single" w:sz="4" w:space="0" w:color="000000"/>
              <w:right w:val="double" w:sz="4" w:space="0" w:color="auto"/>
            </w:tcBorders>
            <w:shd w:val="clear" w:color="auto" w:fill="auto"/>
            <w:vAlign w:val="bottom"/>
            <w:hideMark/>
          </w:tcPr>
          <w:p w14:paraId="638BEE6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3DDFC02A"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07FB303"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79-34-5</w:t>
            </w:r>
          </w:p>
        </w:tc>
        <w:tc>
          <w:tcPr>
            <w:tcW w:w="630" w:type="dxa"/>
            <w:tcBorders>
              <w:top w:val="nil"/>
              <w:left w:val="nil"/>
              <w:bottom w:val="single" w:sz="4" w:space="0" w:color="000000"/>
              <w:right w:val="single" w:sz="4" w:space="0" w:color="000000"/>
            </w:tcBorders>
            <w:shd w:val="clear" w:color="auto" w:fill="auto"/>
            <w:hideMark/>
          </w:tcPr>
          <w:p w14:paraId="1E03650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034705A7"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56B077D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4AF13D7B"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1,1,2,2-Tetrachloroethane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23D07D2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167.85</w:t>
            </w:r>
          </w:p>
        </w:tc>
        <w:tc>
          <w:tcPr>
            <w:tcW w:w="1080" w:type="dxa"/>
            <w:tcBorders>
              <w:top w:val="nil"/>
              <w:left w:val="nil"/>
              <w:bottom w:val="single" w:sz="4" w:space="0" w:color="000000"/>
              <w:right w:val="single" w:sz="4" w:space="0" w:color="000000"/>
            </w:tcBorders>
            <w:shd w:val="clear" w:color="auto" w:fill="auto"/>
            <w:vAlign w:val="bottom"/>
            <w:hideMark/>
          </w:tcPr>
          <w:p w14:paraId="105D7F4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1.110</w:t>
            </w:r>
          </w:p>
        </w:tc>
        <w:tc>
          <w:tcPr>
            <w:tcW w:w="1170" w:type="dxa"/>
            <w:tcBorders>
              <w:top w:val="nil"/>
              <w:left w:val="nil"/>
              <w:bottom w:val="single" w:sz="4" w:space="0" w:color="000000"/>
              <w:right w:val="single" w:sz="4" w:space="0" w:color="000000"/>
            </w:tcBorders>
            <w:shd w:val="clear" w:color="auto" w:fill="auto"/>
            <w:vAlign w:val="bottom"/>
            <w:hideMark/>
          </w:tcPr>
          <w:p w14:paraId="6DE9BA2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0.00000049</w:t>
            </w:r>
          </w:p>
        </w:tc>
        <w:tc>
          <w:tcPr>
            <w:tcW w:w="990" w:type="dxa"/>
            <w:tcBorders>
              <w:top w:val="nil"/>
              <w:left w:val="nil"/>
              <w:bottom w:val="single" w:sz="4" w:space="0" w:color="000000"/>
              <w:right w:val="single" w:sz="4" w:space="0" w:color="auto"/>
            </w:tcBorders>
            <w:shd w:val="clear" w:color="auto" w:fill="auto"/>
            <w:vAlign w:val="bottom"/>
            <w:hideMark/>
          </w:tcPr>
          <w:p w14:paraId="3A96B2A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0.163877</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42504D5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0.024589</w:t>
            </w:r>
          </w:p>
        </w:tc>
        <w:tc>
          <w:tcPr>
            <w:tcW w:w="1350" w:type="dxa"/>
            <w:tcBorders>
              <w:top w:val="nil"/>
              <w:left w:val="nil"/>
              <w:bottom w:val="single" w:sz="4" w:space="0" w:color="000000"/>
              <w:right w:val="double" w:sz="4" w:space="0" w:color="auto"/>
            </w:tcBorders>
            <w:shd w:val="clear" w:color="auto" w:fill="auto"/>
            <w:vAlign w:val="bottom"/>
            <w:hideMark/>
          </w:tcPr>
          <w:p w14:paraId="1DB4D86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0.11</w:t>
            </w:r>
          </w:p>
        </w:tc>
      </w:tr>
      <w:tr w:rsidR="00A748D0" w:rsidRPr="009F5E32" w14:paraId="276C96C6"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4BDBDAAE"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75-34-3</w:t>
            </w:r>
          </w:p>
        </w:tc>
        <w:tc>
          <w:tcPr>
            <w:tcW w:w="630" w:type="dxa"/>
            <w:tcBorders>
              <w:top w:val="nil"/>
              <w:left w:val="nil"/>
              <w:bottom w:val="single" w:sz="4" w:space="0" w:color="000000"/>
              <w:right w:val="single" w:sz="4" w:space="0" w:color="000000"/>
            </w:tcBorders>
            <w:shd w:val="clear" w:color="auto" w:fill="auto"/>
            <w:hideMark/>
          </w:tcPr>
          <w:p w14:paraId="4C6133B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80A63B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519FB0E7"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765276D1"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1,1-Dichloroethane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4A5152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98.97</w:t>
            </w:r>
          </w:p>
        </w:tc>
        <w:tc>
          <w:tcPr>
            <w:tcW w:w="1080" w:type="dxa"/>
            <w:tcBorders>
              <w:top w:val="nil"/>
              <w:left w:val="nil"/>
              <w:bottom w:val="single" w:sz="4" w:space="0" w:color="000000"/>
              <w:right w:val="single" w:sz="4" w:space="0" w:color="000000"/>
            </w:tcBorders>
            <w:shd w:val="clear" w:color="auto" w:fill="auto"/>
            <w:vAlign w:val="bottom"/>
            <w:hideMark/>
          </w:tcPr>
          <w:p w14:paraId="5C29624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2.350</w:t>
            </w:r>
          </w:p>
        </w:tc>
        <w:tc>
          <w:tcPr>
            <w:tcW w:w="1170" w:type="dxa"/>
            <w:tcBorders>
              <w:top w:val="nil"/>
              <w:left w:val="nil"/>
              <w:bottom w:val="single" w:sz="4" w:space="0" w:color="000000"/>
              <w:right w:val="single" w:sz="4" w:space="0" w:color="000000"/>
            </w:tcBorders>
            <w:shd w:val="clear" w:color="auto" w:fill="auto"/>
            <w:vAlign w:val="bottom"/>
            <w:hideMark/>
          </w:tcPr>
          <w:p w14:paraId="3AACAB0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0.00000061</w:t>
            </w:r>
          </w:p>
        </w:tc>
        <w:tc>
          <w:tcPr>
            <w:tcW w:w="990" w:type="dxa"/>
            <w:tcBorders>
              <w:top w:val="nil"/>
              <w:left w:val="nil"/>
              <w:bottom w:val="single" w:sz="4" w:space="0" w:color="000000"/>
              <w:right w:val="single" w:sz="4" w:space="0" w:color="auto"/>
            </w:tcBorders>
            <w:shd w:val="clear" w:color="auto" w:fill="auto"/>
            <w:vAlign w:val="bottom"/>
            <w:hideMark/>
          </w:tcPr>
          <w:p w14:paraId="0D29952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0.204572</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0F4B540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0.030695</w:t>
            </w:r>
          </w:p>
        </w:tc>
        <w:tc>
          <w:tcPr>
            <w:tcW w:w="1350" w:type="dxa"/>
            <w:tcBorders>
              <w:top w:val="nil"/>
              <w:left w:val="nil"/>
              <w:bottom w:val="single" w:sz="4" w:space="0" w:color="000000"/>
              <w:right w:val="double" w:sz="4" w:space="0" w:color="auto"/>
            </w:tcBorders>
            <w:shd w:val="clear" w:color="auto" w:fill="auto"/>
            <w:vAlign w:val="bottom"/>
            <w:hideMark/>
          </w:tcPr>
          <w:p w14:paraId="57E2809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0.13</w:t>
            </w:r>
          </w:p>
        </w:tc>
      </w:tr>
      <w:tr w:rsidR="00A748D0" w:rsidRPr="009F5E32" w14:paraId="13EF0CDD" w14:textId="77777777" w:rsidTr="00A748D0">
        <w:trPr>
          <w:trHeight w:val="215"/>
        </w:trPr>
        <w:tc>
          <w:tcPr>
            <w:tcW w:w="2055" w:type="dxa"/>
            <w:tcBorders>
              <w:top w:val="nil"/>
              <w:left w:val="double" w:sz="4" w:space="0" w:color="auto"/>
              <w:bottom w:val="single" w:sz="4" w:space="0" w:color="000000"/>
              <w:right w:val="single" w:sz="4" w:space="0" w:color="000000"/>
            </w:tcBorders>
            <w:shd w:val="clear" w:color="auto" w:fill="auto"/>
            <w:vAlign w:val="bottom"/>
            <w:hideMark/>
          </w:tcPr>
          <w:p w14:paraId="0BE0E2F4"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75-35-4</w:t>
            </w:r>
          </w:p>
        </w:tc>
        <w:tc>
          <w:tcPr>
            <w:tcW w:w="630" w:type="dxa"/>
            <w:tcBorders>
              <w:top w:val="nil"/>
              <w:left w:val="nil"/>
              <w:bottom w:val="single" w:sz="4" w:space="0" w:color="000000"/>
              <w:right w:val="single" w:sz="4" w:space="0" w:color="000000"/>
            </w:tcBorders>
            <w:shd w:val="clear" w:color="auto" w:fill="auto"/>
            <w:vAlign w:val="bottom"/>
            <w:hideMark/>
          </w:tcPr>
          <w:p w14:paraId="4D6F66E2"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5CAC77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F51FDA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vAlign w:val="bottom"/>
            <w:hideMark/>
          </w:tcPr>
          <w:p w14:paraId="577C29E9"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1,1-Dichloroethene (Vinylidene Chloride) (1,1-Dichloroethylene)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160A55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96.94</w:t>
            </w:r>
          </w:p>
        </w:tc>
        <w:tc>
          <w:tcPr>
            <w:tcW w:w="1080" w:type="dxa"/>
            <w:tcBorders>
              <w:top w:val="nil"/>
              <w:left w:val="nil"/>
              <w:bottom w:val="single" w:sz="4" w:space="0" w:color="000000"/>
              <w:right w:val="single" w:sz="4" w:space="0" w:color="000000"/>
            </w:tcBorders>
            <w:shd w:val="clear" w:color="auto" w:fill="auto"/>
            <w:vAlign w:val="bottom"/>
            <w:hideMark/>
          </w:tcPr>
          <w:p w14:paraId="03B4B2D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0.0981</w:t>
            </w:r>
          </w:p>
        </w:tc>
        <w:tc>
          <w:tcPr>
            <w:tcW w:w="1170" w:type="dxa"/>
            <w:tcBorders>
              <w:top w:val="nil"/>
              <w:left w:val="nil"/>
              <w:bottom w:val="single" w:sz="4" w:space="0" w:color="000000"/>
              <w:right w:val="single" w:sz="4" w:space="0" w:color="000000"/>
            </w:tcBorders>
            <w:shd w:val="clear" w:color="auto" w:fill="auto"/>
            <w:vAlign w:val="bottom"/>
            <w:hideMark/>
          </w:tcPr>
          <w:p w14:paraId="463D6B3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0.00000003</w:t>
            </w:r>
          </w:p>
        </w:tc>
        <w:tc>
          <w:tcPr>
            <w:tcW w:w="990" w:type="dxa"/>
            <w:tcBorders>
              <w:top w:val="nil"/>
              <w:left w:val="nil"/>
              <w:bottom w:val="single" w:sz="4" w:space="0" w:color="000000"/>
              <w:right w:val="single" w:sz="4" w:space="0" w:color="auto"/>
            </w:tcBorders>
            <w:shd w:val="clear" w:color="auto" w:fill="auto"/>
            <w:vAlign w:val="bottom"/>
            <w:hideMark/>
          </w:tcPr>
          <w:p w14:paraId="3D482FD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0.008365</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5614BA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0.001255</w:t>
            </w:r>
          </w:p>
        </w:tc>
        <w:tc>
          <w:tcPr>
            <w:tcW w:w="1350" w:type="dxa"/>
            <w:tcBorders>
              <w:top w:val="nil"/>
              <w:left w:val="nil"/>
              <w:bottom w:val="single" w:sz="4" w:space="0" w:color="000000"/>
              <w:right w:val="double" w:sz="4" w:space="0" w:color="auto"/>
            </w:tcBorders>
            <w:shd w:val="clear" w:color="auto" w:fill="auto"/>
            <w:vAlign w:val="bottom"/>
            <w:hideMark/>
          </w:tcPr>
          <w:p w14:paraId="509F8CF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499F3809"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54CD31CE"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107-06-2</w:t>
            </w:r>
          </w:p>
        </w:tc>
        <w:tc>
          <w:tcPr>
            <w:tcW w:w="630" w:type="dxa"/>
            <w:tcBorders>
              <w:top w:val="nil"/>
              <w:left w:val="nil"/>
              <w:bottom w:val="single" w:sz="4" w:space="0" w:color="000000"/>
              <w:right w:val="single" w:sz="4" w:space="0" w:color="000000"/>
            </w:tcBorders>
            <w:shd w:val="clear" w:color="auto" w:fill="auto"/>
            <w:hideMark/>
          </w:tcPr>
          <w:p w14:paraId="5EFC9C87"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C0DC81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57C1635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10D8DD3"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1,2-Dichloroethane (Ethylene Dichloride)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006A37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98.96</w:t>
            </w:r>
          </w:p>
        </w:tc>
        <w:tc>
          <w:tcPr>
            <w:tcW w:w="1080" w:type="dxa"/>
            <w:tcBorders>
              <w:top w:val="nil"/>
              <w:left w:val="nil"/>
              <w:bottom w:val="single" w:sz="4" w:space="0" w:color="000000"/>
              <w:right w:val="single" w:sz="4" w:space="0" w:color="000000"/>
            </w:tcBorders>
            <w:shd w:val="clear" w:color="auto" w:fill="auto"/>
            <w:vAlign w:val="bottom"/>
            <w:hideMark/>
          </w:tcPr>
          <w:p w14:paraId="49BA78A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0.095</w:t>
            </w:r>
          </w:p>
        </w:tc>
        <w:tc>
          <w:tcPr>
            <w:tcW w:w="1170" w:type="dxa"/>
            <w:tcBorders>
              <w:top w:val="nil"/>
              <w:left w:val="nil"/>
              <w:bottom w:val="single" w:sz="4" w:space="0" w:color="000000"/>
              <w:right w:val="single" w:sz="4" w:space="0" w:color="000000"/>
            </w:tcBorders>
            <w:shd w:val="clear" w:color="auto" w:fill="auto"/>
            <w:vAlign w:val="bottom"/>
            <w:hideMark/>
          </w:tcPr>
          <w:p w14:paraId="11B2955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0.00000002</w:t>
            </w:r>
          </w:p>
        </w:tc>
        <w:tc>
          <w:tcPr>
            <w:tcW w:w="990" w:type="dxa"/>
            <w:tcBorders>
              <w:top w:val="nil"/>
              <w:left w:val="nil"/>
              <w:bottom w:val="single" w:sz="4" w:space="0" w:color="000000"/>
              <w:right w:val="single" w:sz="4" w:space="0" w:color="auto"/>
            </w:tcBorders>
            <w:shd w:val="clear" w:color="auto" w:fill="auto"/>
            <w:vAlign w:val="bottom"/>
            <w:hideMark/>
          </w:tcPr>
          <w:p w14:paraId="0B176D0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0.008252</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CBE007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0.001238</w:t>
            </w:r>
          </w:p>
        </w:tc>
        <w:tc>
          <w:tcPr>
            <w:tcW w:w="1350" w:type="dxa"/>
            <w:tcBorders>
              <w:top w:val="nil"/>
              <w:left w:val="nil"/>
              <w:bottom w:val="single" w:sz="4" w:space="0" w:color="000000"/>
              <w:right w:val="double" w:sz="4" w:space="0" w:color="auto"/>
            </w:tcBorders>
            <w:shd w:val="clear" w:color="auto" w:fill="auto"/>
            <w:vAlign w:val="bottom"/>
            <w:hideMark/>
          </w:tcPr>
          <w:p w14:paraId="40243F5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4192A6AE"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7C359106"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78-87-5</w:t>
            </w:r>
          </w:p>
        </w:tc>
        <w:tc>
          <w:tcPr>
            <w:tcW w:w="630" w:type="dxa"/>
            <w:tcBorders>
              <w:top w:val="nil"/>
              <w:left w:val="nil"/>
              <w:bottom w:val="single" w:sz="4" w:space="0" w:color="000000"/>
              <w:right w:val="single" w:sz="4" w:space="0" w:color="000000"/>
            </w:tcBorders>
            <w:shd w:val="clear" w:color="auto" w:fill="auto"/>
            <w:hideMark/>
          </w:tcPr>
          <w:p w14:paraId="2E0998A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1311F4C"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48A730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1E6C049A"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1,2-Dichloropropane (Propylene Dichloride)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30F943B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112.99</w:t>
            </w:r>
          </w:p>
        </w:tc>
        <w:tc>
          <w:tcPr>
            <w:tcW w:w="1080" w:type="dxa"/>
            <w:tcBorders>
              <w:top w:val="nil"/>
              <w:left w:val="nil"/>
              <w:bottom w:val="single" w:sz="4" w:space="0" w:color="000000"/>
              <w:right w:val="single" w:sz="4" w:space="0" w:color="000000"/>
            </w:tcBorders>
            <w:shd w:val="clear" w:color="auto" w:fill="auto"/>
            <w:vAlign w:val="bottom"/>
            <w:hideMark/>
          </w:tcPr>
          <w:p w14:paraId="65A8818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0.180</w:t>
            </w:r>
          </w:p>
        </w:tc>
        <w:tc>
          <w:tcPr>
            <w:tcW w:w="1170" w:type="dxa"/>
            <w:tcBorders>
              <w:top w:val="nil"/>
              <w:left w:val="nil"/>
              <w:bottom w:val="single" w:sz="4" w:space="0" w:color="000000"/>
              <w:right w:val="single" w:sz="4" w:space="0" w:color="000000"/>
            </w:tcBorders>
            <w:shd w:val="clear" w:color="auto" w:fill="auto"/>
            <w:vAlign w:val="bottom"/>
            <w:hideMark/>
          </w:tcPr>
          <w:p w14:paraId="0C7EDA8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0.00000005</w:t>
            </w:r>
          </w:p>
        </w:tc>
        <w:tc>
          <w:tcPr>
            <w:tcW w:w="990" w:type="dxa"/>
            <w:tcBorders>
              <w:top w:val="nil"/>
              <w:left w:val="nil"/>
              <w:bottom w:val="single" w:sz="4" w:space="0" w:color="000000"/>
              <w:right w:val="single" w:sz="4" w:space="0" w:color="auto"/>
            </w:tcBorders>
            <w:shd w:val="clear" w:color="auto" w:fill="auto"/>
            <w:vAlign w:val="bottom"/>
            <w:hideMark/>
          </w:tcPr>
          <w:p w14:paraId="79928B3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0.017889</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05F3A7D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0.002684</w:t>
            </w:r>
          </w:p>
        </w:tc>
        <w:tc>
          <w:tcPr>
            <w:tcW w:w="1350" w:type="dxa"/>
            <w:tcBorders>
              <w:top w:val="nil"/>
              <w:left w:val="nil"/>
              <w:bottom w:val="single" w:sz="4" w:space="0" w:color="000000"/>
              <w:right w:val="double" w:sz="4" w:space="0" w:color="auto"/>
            </w:tcBorders>
            <w:shd w:val="clear" w:color="auto" w:fill="auto"/>
            <w:vAlign w:val="bottom"/>
            <w:hideMark/>
          </w:tcPr>
          <w:p w14:paraId="6F7A4AC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09253B02"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32112FA9"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67-64-1</w:t>
            </w:r>
          </w:p>
        </w:tc>
        <w:tc>
          <w:tcPr>
            <w:tcW w:w="630" w:type="dxa"/>
            <w:tcBorders>
              <w:top w:val="nil"/>
              <w:left w:val="nil"/>
              <w:bottom w:val="single" w:sz="4" w:space="0" w:color="000000"/>
              <w:right w:val="single" w:sz="4" w:space="0" w:color="000000"/>
            </w:tcBorders>
            <w:shd w:val="clear" w:color="auto" w:fill="auto"/>
            <w:hideMark/>
          </w:tcPr>
          <w:p w14:paraId="585E470D"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33D8A3B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190CEC09"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1FC7DF3A"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Acetone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1CB724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58.08</w:t>
            </w:r>
          </w:p>
        </w:tc>
        <w:tc>
          <w:tcPr>
            <w:tcW w:w="1080" w:type="dxa"/>
            <w:tcBorders>
              <w:top w:val="nil"/>
              <w:left w:val="nil"/>
              <w:bottom w:val="single" w:sz="4" w:space="0" w:color="000000"/>
              <w:right w:val="single" w:sz="4" w:space="0" w:color="000000"/>
            </w:tcBorders>
            <w:shd w:val="clear" w:color="auto" w:fill="auto"/>
            <w:vAlign w:val="bottom"/>
            <w:hideMark/>
          </w:tcPr>
          <w:p w14:paraId="04EB450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7.01</w:t>
            </w:r>
          </w:p>
        </w:tc>
        <w:tc>
          <w:tcPr>
            <w:tcW w:w="1170" w:type="dxa"/>
            <w:tcBorders>
              <w:top w:val="nil"/>
              <w:left w:val="nil"/>
              <w:bottom w:val="single" w:sz="4" w:space="0" w:color="000000"/>
              <w:right w:val="single" w:sz="4" w:space="0" w:color="000000"/>
            </w:tcBorders>
            <w:shd w:val="clear" w:color="auto" w:fill="auto"/>
            <w:vAlign w:val="bottom"/>
            <w:hideMark/>
          </w:tcPr>
          <w:p w14:paraId="50C45C2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0.00000108</w:t>
            </w:r>
          </w:p>
        </w:tc>
        <w:tc>
          <w:tcPr>
            <w:tcW w:w="990" w:type="dxa"/>
            <w:tcBorders>
              <w:top w:val="nil"/>
              <w:left w:val="nil"/>
              <w:bottom w:val="single" w:sz="4" w:space="0" w:color="000000"/>
              <w:right w:val="single" w:sz="4" w:space="0" w:color="auto"/>
            </w:tcBorders>
            <w:shd w:val="clear" w:color="auto" w:fill="auto"/>
            <w:vAlign w:val="bottom"/>
            <w:hideMark/>
          </w:tcPr>
          <w:p w14:paraId="18106E5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0.358112</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496579C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0.053733</w:t>
            </w:r>
          </w:p>
        </w:tc>
        <w:tc>
          <w:tcPr>
            <w:tcW w:w="1350" w:type="dxa"/>
            <w:tcBorders>
              <w:top w:val="nil"/>
              <w:left w:val="nil"/>
              <w:bottom w:val="single" w:sz="4" w:space="0" w:color="000000"/>
              <w:right w:val="double" w:sz="4" w:space="0" w:color="auto"/>
            </w:tcBorders>
            <w:shd w:val="clear" w:color="auto" w:fill="auto"/>
            <w:vAlign w:val="bottom"/>
            <w:hideMark/>
          </w:tcPr>
          <w:p w14:paraId="54FD013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0.24</w:t>
            </w:r>
          </w:p>
        </w:tc>
      </w:tr>
      <w:tr w:rsidR="00A748D0" w:rsidRPr="009F5E32" w14:paraId="34C803FA"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745577E4"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107-13-1</w:t>
            </w:r>
          </w:p>
        </w:tc>
        <w:tc>
          <w:tcPr>
            <w:tcW w:w="630" w:type="dxa"/>
            <w:tcBorders>
              <w:top w:val="nil"/>
              <w:left w:val="nil"/>
              <w:bottom w:val="single" w:sz="4" w:space="0" w:color="000000"/>
              <w:right w:val="single" w:sz="4" w:space="0" w:color="000000"/>
            </w:tcBorders>
            <w:shd w:val="clear" w:color="auto" w:fill="auto"/>
            <w:hideMark/>
          </w:tcPr>
          <w:p w14:paraId="0DE5609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33B63C2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12F1EE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7C06EBD"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Acrylonitrile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6C6509C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53.06</w:t>
            </w:r>
          </w:p>
        </w:tc>
        <w:tc>
          <w:tcPr>
            <w:tcW w:w="1080" w:type="dxa"/>
            <w:tcBorders>
              <w:top w:val="nil"/>
              <w:left w:val="nil"/>
              <w:bottom w:val="single" w:sz="4" w:space="0" w:color="000000"/>
              <w:right w:val="single" w:sz="4" w:space="0" w:color="000000"/>
            </w:tcBorders>
            <w:shd w:val="clear" w:color="auto" w:fill="auto"/>
            <w:vAlign w:val="bottom"/>
            <w:hideMark/>
          </w:tcPr>
          <w:p w14:paraId="7B34C4D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0.442</w:t>
            </w:r>
          </w:p>
        </w:tc>
        <w:tc>
          <w:tcPr>
            <w:tcW w:w="1170" w:type="dxa"/>
            <w:tcBorders>
              <w:top w:val="nil"/>
              <w:left w:val="nil"/>
              <w:bottom w:val="single" w:sz="4" w:space="0" w:color="000000"/>
              <w:right w:val="single" w:sz="4" w:space="0" w:color="000000"/>
            </w:tcBorders>
            <w:shd w:val="clear" w:color="auto" w:fill="auto"/>
            <w:vAlign w:val="bottom"/>
            <w:hideMark/>
          </w:tcPr>
          <w:p w14:paraId="3270A37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0.00000006</w:t>
            </w:r>
          </w:p>
        </w:tc>
        <w:tc>
          <w:tcPr>
            <w:tcW w:w="990" w:type="dxa"/>
            <w:tcBorders>
              <w:top w:val="nil"/>
              <w:left w:val="nil"/>
              <w:bottom w:val="single" w:sz="4" w:space="0" w:color="000000"/>
              <w:right w:val="single" w:sz="4" w:space="0" w:color="auto"/>
            </w:tcBorders>
            <w:shd w:val="clear" w:color="auto" w:fill="auto"/>
            <w:vAlign w:val="bottom"/>
            <w:hideMark/>
          </w:tcPr>
          <w:p w14:paraId="263B854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0.020628</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5474394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0.003095</w:t>
            </w:r>
          </w:p>
        </w:tc>
        <w:tc>
          <w:tcPr>
            <w:tcW w:w="1350" w:type="dxa"/>
            <w:tcBorders>
              <w:top w:val="nil"/>
              <w:left w:val="nil"/>
              <w:bottom w:val="single" w:sz="4" w:space="0" w:color="000000"/>
              <w:right w:val="double" w:sz="4" w:space="0" w:color="auto"/>
            </w:tcBorders>
            <w:shd w:val="clear" w:color="auto" w:fill="auto"/>
            <w:vAlign w:val="bottom"/>
            <w:hideMark/>
          </w:tcPr>
          <w:p w14:paraId="09C7104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03F780CE"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784D70A6"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106-93-4</w:t>
            </w:r>
          </w:p>
        </w:tc>
        <w:tc>
          <w:tcPr>
            <w:tcW w:w="630" w:type="dxa"/>
            <w:tcBorders>
              <w:top w:val="nil"/>
              <w:left w:val="nil"/>
              <w:bottom w:val="single" w:sz="4" w:space="0" w:color="000000"/>
              <w:right w:val="single" w:sz="4" w:space="0" w:color="000000"/>
            </w:tcBorders>
            <w:shd w:val="clear" w:color="auto" w:fill="auto"/>
            <w:hideMark/>
          </w:tcPr>
          <w:p w14:paraId="4DE7808C"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53B589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0C2A1F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15CCB6BC"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1,2-Dibromoethane (Ethylene dibromide)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698B05A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187.88</w:t>
            </w:r>
          </w:p>
        </w:tc>
        <w:tc>
          <w:tcPr>
            <w:tcW w:w="1080" w:type="dxa"/>
            <w:tcBorders>
              <w:top w:val="nil"/>
              <w:left w:val="nil"/>
              <w:bottom w:val="single" w:sz="4" w:space="0" w:color="000000"/>
              <w:right w:val="single" w:sz="4" w:space="0" w:color="000000"/>
            </w:tcBorders>
            <w:shd w:val="clear" w:color="auto" w:fill="auto"/>
            <w:vAlign w:val="bottom"/>
            <w:hideMark/>
          </w:tcPr>
          <w:p w14:paraId="1564390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0.001</w:t>
            </w:r>
          </w:p>
        </w:tc>
        <w:tc>
          <w:tcPr>
            <w:tcW w:w="1170" w:type="dxa"/>
            <w:tcBorders>
              <w:top w:val="nil"/>
              <w:left w:val="nil"/>
              <w:bottom w:val="single" w:sz="4" w:space="0" w:color="000000"/>
              <w:right w:val="single" w:sz="4" w:space="0" w:color="000000"/>
            </w:tcBorders>
            <w:shd w:val="clear" w:color="auto" w:fill="auto"/>
            <w:vAlign w:val="bottom"/>
            <w:hideMark/>
          </w:tcPr>
          <w:p w14:paraId="40EC69D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0.00000000</w:t>
            </w:r>
          </w:p>
        </w:tc>
        <w:tc>
          <w:tcPr>
            <w:tcW w:w="990" w:type="dxa"/>
            <w:tcBorders>
              <w:top w:val="nil"/>
              <w:left w:val="nil"/>
              <w:bottom w:val="single" w:sz="4" w:space="0" w:color="000000"/>
              <w:right w:val="single" w:sz="4" w:space="0" w:color="auto"/>
            </w:tcBorders>
            <w:shd w:val="clear" w:color="auto" w:fill="auto"/>
            <w:vAlign w:val="bottom"/>
            <w:hideMark/>
          </w:tcPr>
          <w:p w14:paraId="48A5C5C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0.000165</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AA07D1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0.000025</w:t>
            </w:r>
          </w:p>
        </w:tc>
        <w:tc>
          <w:tcPr>
            <w:tcW w:w="1350" w:type="dxa"/>
            <w:tcBorders>
              <w:top w:val="nil"/>
              <w:left w:val="nil"/>
              <w:bottom w:val="single" w:sz="4" w:space="0" w:color="000000"/>
              <w:right w:val="double" w:sz="4" w:space="0" w:color="auto"/>
            </w:tcBorders>
            <w:shd w:val="clear" w:color="auto" w:fill="auto"/>
            <w:vAlign w:val="bottom"/>
            <w:hideMark/>
          </w:tcPr>
          <w:p w14:paraId="19EBBE7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w:t>
            </w:r>
          </w:p>
        </w:tc>
      </w:tr>
      <w:tr w:rsidR="00A748D0" w:rsidRPr="009F5E32" w14:paraId="3419F346"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49150593"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106-46-7</w:t>
            </w:r>
          </w:p>
        </w:tc>
        <w:tc>
          <w:tcPr>
            <w:tcW w:w="630" w:type="dxa"/>
            <w:tcBorders>
              <w:top w:val="nil"/>
              <w:left w:val="nil"/>
              <w:bottom w:val="single" w:sz="4" w:space="0" w:color="000000"/>
              <w:right w:val="single" w:sz="4" w:space="0" w:color="000000"/>
            </w:tcBorders>
            <w:shd w:val="clear" w:color="auto" w:fill="auto"/>
            <w:hideMark/>
          </w:tcPr>
          <w:p w14:paraId="4683AEB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4D2AC46"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127D4B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4590" w:type="dxa"/>
            <w:tcBorders>
              <w:top w:val="single" w:sz="4" w:space="0" w:color="000000"/>
              <w:left w:val="nil"/>
              <w:bottom w:val="single" w:sz="4" w:space="0" w:color="000000"/>
              <w:right w:val="nil"/>
            </w:tcBorders>
            <w:shd w:val="clear" w:color="auto" w:fill="auto"/>
            <w:hideMark/>
          </w:tcPr>
          <w:p w14:paraId="50176D48"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1,4-Dichlorobenzene (p-dichlorobenzene)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2DC83AF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147.00</w:t>
            </w:r>
          </w:p>
        </w:tc>
        <w:tc>
          <w:tcPr>
            <w:tcW w:w="1080" w:type="dxa"/>
            <w:tcBorders>
              <w:top w:val="nil"/>
              <w:left w:val="nil"/>
              <w:bottom w:val="single" w:sz="4" w:space="0" w:color="000000"/>
              <w:right w:val="single" w:sz="4" w:space="0" w:color="000000"/>
            </w:tcBorders>
            <w:shd w:val="clear" w:color="auto" w:fill="auto"/>
            <w:vAlign w:val="bottom"/>
            <w:hideMark/>
          </w:tcPr>
          <w:p w14:paraId="758B37C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0.21</w:t>
            </w:r>
          </w:p>
        </w:tc>
        <w:tc>
          <w:tcPr>
            <w:tcW w:w="1170" w:type="dxa"/>
            <w:tcBorders>
              <w:top w:val="nil"/>
              <w:left w:val="nil"/>
              <w:bottom w:val="single" w:sz="4" w:space="0" w:color="000000"/>
              <w:right w:val="single" w:sz="4" w:space="0" w:color="000000"/>
            </w:tcBorders>
            <w:shd w:val="clear" w:color="auto" w:fill="auto"/>
            <w:vAlign w:val="bottom"/>
            <w:hideMark/>
          </w:tcPr>
          <w:p w14:paraId="78E8890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0.00000008</w:t>
            </w:r>
          </w:p>
        </w:tc>
        <w:tc>
          <w:tcPr>
            <w:tcW w:w="990" w:type="dxa"/>
            <w:tcBorders>
              <w:top w:val="nil"/>
              <w:left w:val="nil"/>
              <w:bottom w:val="single" w:sz="4" w:space="0" w:color="000000"/>
              <w:right w:val="single" w:sz="4" w:space="0" w:color="auto"/>
            </w:tcBorders>
            <w:shd w:val="clear" w:color="auto" w:fill="auto"/>
            <w:vAlign w:val="bottom"/>
            <w:hideMark/>
          </w:tcPr>
          <w:p w14:paraId="0BDE2F4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0.027153</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65C7BCB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0.004074</w:t>
            </w:r>
          </w:p>
        </w:tc>
        <w:tc>
          <w:tcPr>
            <w:tcW w:w="1350" w:type="dxa"/>
            <w:tcBorders>
              <w:top w:val="nil"/>
              <w:left w:val="nil"/>
              <w:bottom w:val="single" w:sz="4" w:space="0" w:color="000000"/>
              <w:right w:val="double" w:sz="4" w:space="0" w:color="auto"/>
            </w:tcBorders>
            <w:shd w:val="clear" w:color="auto" w:fill="auto"/>
            <w:vAlign w:val="bottom"/>
            <w:hideMark/>
          </w:tcPr>
          <w:p w14:paraId="3AA0564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w:t>
            </w:r>
          </w:p>
        </w:tc>
      </w:tr>
      <w:tr w:rsidR="00A748D0" w:rsidRPr="009F5E32" w14:paraId="79D27711"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296A157"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108-10-1</w:t>
            </w:r>
          </w:p>
        </w:tc>
        <w:tc>
          <w:tcPr>
            <w:tcW w:w="630" w:type="dxa"/>
            <w:tcBorders>
              <w:top w:val="nil"/>
              <w:left w:val="nil"/>
              <w:bottom w:val="single" w:sz="4" w:space="0" w:color="000000"/>
              <w:right w:val="single" w:sz="4" w:space="0" w:color="000000"/>
            </w:tcBorders>
            <w:shd w:val="clear" w:color="auto" w:fill="auto"/>
            <w:hideMark/>
          </w:tcPr>
          <w:p w14:paraId="47B8697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08B1B792"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4DC134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29DBC629"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4-Methyl-2-Pentanone (Methyl isobutyl ketone)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6F4DDE0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100.16</w:t>
            </w:r>
          </w:p>
        </w:tc>
        <w:tc>
          <w:tcPr>
            <w:tcW w:w="1080" w:type="dxa"/>
            <w:tcBorders>
              <w:top w:val="nil"/>
              <w:left w:val="nil"/>
              <w:bottom w:val="single" w:sz="4" w:space="0" w:color="000000"/>
              <w:right w:val="single" w:sz="4" w:space="0" w:color="000000"/>
            </w:tcBorders>
            <w:shd w:val="clear" w:color="auto" w:fill="auto"/>
            <w:vAlign w:val="bottom"/>
            <w:hideMark/>
          </w:tcPr>
          <w:p w14:paraId="194C535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1.870</w:t>
            </w:r>
          </w:p>
        </w:tc>
        <w:tc>
          <w:tcPr>
            <w:tcW w:w="1170" w:type="dxa"/>
            <w:tcBorders>
              <w:top w:val="nil"/>
              <w:left w:val="nil"/>
              <w:bottom w:val="single" w:sz="4" w:space="0" w:color="000000"/>
              <w:right w:val="single" w:sz="4" w:space="0" w:color="000000"/>
            </w:tcBorders>
            <w:shd w:val="clear" w:color="auto" w:fill="auto"/>
            <w:vAlign w:val="bottom"/>
            <w:hideMark/>
          </w:tcPr>
          <w:p w14:paraId="2025261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0.00000050</w:t>
            </w:r>
          </w:p>
        </w:tc>
        <w:tc>
          <w:tcPr>
            <w:tcW w:w="990" w:type="dxa"/>
            <w:tcBorders>
              <w:top w:val="nil"/>
              <w:left w:val="nil"/>
              <w:bottom w:val="single" w:sz="4" w:space="0" w:color="000000"/>
              <w:right w:val="single" w:sz="4" w:space="0" w:color="auto"/>
            </w:tcBorders>
            <w:shd w:val="clear" w:color="auto" w:fill="auto"/>
            <w:vAlign w:val="bottom"/>
            <w:hideMark/>
          </w:tcPr>
          <w:p w14:paraId="4C32134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0.164744</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81A27A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0.024719</w:t>
            </w:r>
          </w:p>
        </w:tc>
        <w:tc>
          <w:tcPr>
            <w:tcW w:w="1350" w:type="dxa"/>
            <w:tcBorders>
              <w:top w:val="nil"/>
              <w:left w:val="nil"/>
              <w:bottom w:val="single" w:sz="4" w:space="0" w:color="000000"/>
              <w:right w:val="double" w:sz="4" w:space="0" w:color="auto"/>
            </w:tcBorders>
            <w:shd w:val="clear" w:color="auto" w:fill="auto"/>
            <w:vAlign w:val="bottom"/>
            <w:hideMark/>
          </w:tcPr>
          <w:p w14:paraId="5E6F95C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0.11</w:t>
            </w:r>
          </w:p>
        </w:tc>
      </w:tr>
      <w:tr w:rsidR="00A748D0" w:rsidRPr="009F5E32" w14:paraId="33BD6F07"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1A2EBDB7"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71-43-2</w:t>
            </w:r>
          </w:p>
        </w:tc>
        <w:tc>
          <w:tcPr>
            <w:tcW w:w="630" w:type="dxa"/>
            <w:tcBorders>
              <w:top w:val="nil"/>
              <w:left w:val="nil"/>
              <w:bottom w:val="single" w:sz="4" w:space="0" w:color="000000"/>
              <w:right w:val="single" w:sz="4" w:space="0" w:color="000000"/>
            </w:tcBorders>
            <w:shd w:val="clear" w:color="auto" w:fill="auto"/>
            <w:hideMark/>
          </w:tcPr>
          <w:p w14:paraId="0E30D6BF"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02AB18E2"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8E6521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6E935B3"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Benzene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2BBDD4B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78.11</w:t>
            </w:r>
          </w:p>
        </w:tc>
        <w:tc>
          <w:tcPr>
            <w:tcW w:w="1080" w:type="dxa"/>
            <w:tcBorders>
              <w:top w:val="nil"/>
              <w:left w:val="nil"/>
              <w:bottom w:val="single" w:sz="4" w:space="0" w:color="000000"/>
              <w:right w:val="single" w:sz="4" w:space="0" w:color="000000"/>
            </w:tcBorders>
            <w:shd w:val="clear" w:color="auto" w:fill="auto"/>
            <w:vAlign w:val="bottom"/>
            <w:hideMark/>
          </w:tcPr>
          <w:p w14:paraId="2C955AC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1.01</w:t>
            </w:r>
          </w:p>
        </w:tc>
        <w:tc>
          <w:tcPr>
            <w:tcW w:w="1170" w:type="dxa"/>
            <w:tcBorders>
              <w:top w:val="nil"/>
              <w:left w:val="nil"/>
              <w:bottom w:val="single" w:sz="4" w:space="0" w:color="000000"/>
              <w:right w:val="single" w:sz="4" w:space="0" w:color="000000"/>
            </w:tcBorders>
            <w:shd w:val="clear" w:color="auto" w:fill="auto"/>
            <w:vAlign w:val="bottom"/>
            <w:hideMark/>
          </w:tcPr>
          <w:p w14:paraId="78C83AE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0.00000021</w:t>
            </w:r>
          </w:p>
        </w:tc>
        <w:tc>
          <w:tcPr>
            <w:tcW w:w="990" w:type="dxa"/>
            <w:tcBorders>
              <w:top w:val="nil"/>
              <w:left w:val="nil"/>
              <w:bottom w:val="single" w:sz="4" w:space="0" w:color="000000"/>
              <w:right w:val="single" w:sz="4" w:space="0" w:color="auto"/>
            </w:tcBorders>
            <w:shd w:val="clear" w:color="auto" w:fill="auto"/>
            <w:vAlign w:val="bottom"/>
            <w:hideMark/>
          </w:tcPr>
          <w:p w14:paraId="34890CC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0.069391</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08BD26F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0.010412</w:t>
            </w:r>
          </w:p>
        </w:tc>
        <w:tc>
          <w:tcPr>
            <w:tcW w:w="1350" w:type="dxa"/>
            <w:tcBorders>
              <w:top w:val="nil"/>
              <w:left w:val="nil"/>
              <w:bottom w:val="single" w:sz="4" w:space="0" w:color="000000"/>
              <w:right w:val="double" w:sz="4" w:space="0" w:color="auto"/>
            </w:tcBorders>
            <w:shd w:val="clear" w:color="auto" w:fill="auto"/>
            <w:vAlign w:val="bottom"/>
            <w:hideMark/>
          </w:tcPr>
          <w:p w14:paraId="5B8C62F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0.05</w:t>
            </w:r>
          </w:p>
        </w:tc>
      </w:tr>
      <w:tr w:rsidR="00A748D0" w:rsidRPr="009F5E32" w14:paraId="18CD41FB"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05593C75"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75-27-4</w:t>
            </w:r>
          </w:p>
        </w:tc>
        <w:tc>
          <w:tcPr>
            <w:tcW w:w="630" w:type="dxa"/>
            <w:tcBorders>
              <w:top w:val="nil"/>
              <w:left w:val="nil"/>
              <w:bottom w:val="single" w:sz="4" w:space="0" w:color="000000"/>
              <w:right w:val="single" w:sz="4" w:space="0" w:color="000000"/>
            </w:tcBorders>
            <w:shd w:val="clear" w:color="auto" w:fill="auto"/>
            <w:hideMark/>
          </w:tcPr>
          <w:p w14:paraId="4B7110F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BA4EA56"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10BEC2D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014513D7"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Bromodichloromethane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216C3E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163.83</w:t>
            </w:r>
          </w:p>
        </w:tc>
        <w:tc>
          <w:tcPr>
            <w:tcW w:w="1080" w:type="dxa"/>
            <w:tcBorders>
              <w:top w:val="nil"/>
              <w:left w:val="nil"/>
              <w:bottom w:val="single" w:sz="4" w:space="0" w:color="000000"/>
              <w:right w:val="single" w:sz="4" w:space="0" w:color="000000"/>
            </w:tcBorders>
            <w:shd w:val="clear" w:color="auto" w:fill="auto"/>
            <w:vAlign w:val="bottom"/>
            <w:hideMark/>
          </w:tcPr>
          <w:p w14:paraId="4E66092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3.130</w:t>
            </w:r>
          </w:p>
        </w:tc>
        <w:tc>
          <w:tcPr>
            <w:tcW w:w="1170" w:type="dxa"/>
            <w:tcBorders>
              <w:top w:val="nil"/>
              <w:left w:val="nil"/>
              <w:bottom w:val="single" w:sz="4" w:space="0" w:color="000000"/>
              <w:right w:val="single" w:sz="4" w:space="0" w:color="000000"/>
            </w:tcBorders>
            <w:shd w:val="clear" w:color="auto" w:fill="auto"/>
            <w:vAlign w:val="bottom"/>
            <w:hideMark/>
          </w:tcPr>
          <w:p w14:paraId="3B79DDC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0.00000136</w:t>
            </w:r>
          </w:p>
        </w:tc>
        <w:tc>
          <w:tcPr>
            <w:tcW w:w="990" w:type="dxa"/>
            <w:tcBorders>
              <w:top w:val="nil"/>
              <w:left w:val="nil"/>
              <w:bottom w:val="single" w:sz="4" w:space="0" w:color="000000"/>
              <w:right w:val="single" w:sz="4" w:space="0" w:color="auto"/>
            </w:tcBorders>
            <w:shd w:val="clear" w:color="auto" w:fill="auto"/>
            <w:vAlign w:val="bottom"/>
            <w:hideMark/>
          </w:tcPr>
          <w:p w14:paraId="4D3D24F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0.451036</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DC0924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0.067676</w:t>
            </w:r>
          </w:p>
        </w:tc>
        <w:tc>
          <w:tcPr>
            <w:tcW w:w="1350" w:type="dxa"/>
            <w:tcBorders>
              <w:top w:val="nil"/>
              <w:left w:val="nil"/>
              <w:bottom w:val="single" w:sz="4" w:space="0" w:color="000000"/>
              <w:right w:val="double" w:sz="4" w:space="0" w:color="auto"/>
            </w:tcBorders>
            <w:shd w:val="clear" w:color="auto" w:fill="auto"/>
            <w:vAlign w:val="bottom"/>
            <w:hideMark/>
          </w:tcPr>
          <w:p w14:paraId="1FB90A4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0.30</w:t>
            </w:r>
          </w:p>
        </w:tc>
      </w:tr>
      <w:tr w:rsidR="00A748D0" w:rsidRPr="009F5E32" w14:paraId="35EA6046"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15690663"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75-15-0</w:t>
            </w:r>
          </w:p>
        </w:tc>
        <w:tc>
          <w:tcPr>
            <w:tcW w:w="630" w:type="dxa"/>
            <w:tcBorders>
              <w:top w:val="nil"/>
              <w:left w:val="nil"/>
              <w:bottom w:val="single" w:sz="4" w:space="0" w:color="000000"/>
              <w:right w:val="single" w:sz="4" w:space="0" w:color="000000"/>
            </w:tcBorders>
            <w:shd w:val="clear" w:color="auto" w:fill="auto"/>
            <w:hideMark/>
          </w:tcPr>
          <w:p w14:paraId="7926D36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1886B7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9904AE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F95D44F"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Carbon disulfide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1FEBF7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76.13</w:t>
            </w:r>
          </w:p>
        </w:tc>
        <w:tc>
          <w:tcPr>
            <w:tcW w:w="1080" w:type="dxa"/>
            <w:tcBorders>
              <w:top w:val="nil"/>
              <w:left w:val="nil"/>
              <w:bottom w:val="single" w:sz="4" w:space="0" w:color="000000"/>
              <w:right w:val="single" w:sz="4" w:space="0" w:color="000000"/>
            </w:tcBorders>
            <w:shd w:val="clear" w:color="auto" w:fill="auto"/>
            <w:vAlign w:val="bottom"/>
            <w:hideMark/>
          </w:tcPr>
          <w:p w14:paraId="550490E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0.58</w:t>
            </w:r>
          </w:p>
        </w:tc>
        <w:tc>
          <w:tcPr>
            <w:tcW w:w="1170" w:type="dxa"/>
            <w:tcBorders>
              <w:top w:val="nil"/>
              <w:left w:val="nil"/>
              <w:bottom w:val="single" w:sz="4" w:space="0" w:color="000000"/>
              <w:right w:val="single" w:sz="4" w:space="0" w:color="000000"/>
            </w:tcBorders>
            <w:shd w:val="clear" w:color="auto" w:fill="auto"/>
            <w:vAlign w:val="bottom"/>
            <w:hideMark/>
          </w:tcPr>
          <w:p w14:paraId="2B38934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0.00000012</w:t>
            </w:r>
          </w:p>
        </w:tc>
        <w:tc>
          <w:tcPr>
            <w:tcW w:w="990" w:type="dxa"/>
            <w:tcBorders>
              <w:top w:val="nil"/>
              <w:left w:val="nil"/>
              <w:bottom w:val="single" w:sz="4" w:space="0" w:color="000000"/>
              <w:right w:val="single" w:sz="4" w:space="0" w:color="auto"/>
            </w:tcBorders>
            <w:shd w:val="clear" w:color="auto" w:fill="auto"/>
            <w:vAlign w:val="bottom"/>
            <w:hideMark/>
          </w:tcPr>
          <w:p w14:paraId="34764FE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0.038838</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9E40D3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0.005827</w:t>
            </w:r>
          </w:p>
        </w:tc>
        <w:tc>
          <w:tcPr>
            <w:tcW w:w="1350" w:type="dxa"/>
            <w:tcBorders>
              <w:top w:val="nil"/>
              <w:left w:val="nil"/>
              <w:bottom w:val="single" w:sz="4" w:space="0" w:color="000000"/>
              <w:right w:val="double" w:sz="4" w:space="0" w:color="auto"/>
            </w:tcBorders>
            <w:shd w:val="clear" w:color="auto" w:fill="auto"/>
            <w:vAlign w:val="bottom"/>
            <w:hideMark/>
          </w:tcPr>
          <w:p w14:paraId="7CDC991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0.03</w:t>
            </w:r>
          </w:p>
        </w:tc>
      </w:tr>
      <w:tr w:rsidR="00A748D0" w:rsidRPr="009F5E32" w14:paraId="6EFF1429"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7B7C3192"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56-23-5</w:t>
            </w:r>
          </w:p>
        </w:tc>
        <w:tc>
          <w:tcPr>
            <w:tcW w:w="630" w:type="dxa"/>
            <w:tcBorders>
              <w:top w:val="nil"/>
              <w:left w:val="nil"/>
              <w:bottom w:val="single" w:sz="4" w:space="0" w:color="000000"/>
              <w:right w:val="single" w:sz="4" w:space="0" w:color="000000"/>
            </w:tcBorders>
            <w:shd w:val="clear" w:color="auto" w:fill="auto"/>
            <w:hideMark/>
          </w:tcPr>
          <w:p w14:paraId="6686AD9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57BD7382"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A05284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52E714C4"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Carbon tetrachloride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06148F6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153.84</w:t>
            </w:r>
          </w:p>
        </w:tc>
        <w:tc>
          <w:tcPr>
            <w:tcW w:w="1080" w:type="dxa"/>
            <w:tcBorders>
              <w:top w:val="nil"/>
              <w:left w:val="nil"/>
              <w:bottom w:val="single" w:sz="4" w:space="0" w:color="000000"/>
              <w:right w:val="single" w:sz="4" w:space="0" w:color="000000"/>
            </w:tcBorders>
            <w:shd w:val="clear" w:color="auto" w:fill="auto"/>
            <w:vAlign w:val="bottom"/>
            <w:hideMark/>
          </w:tcPr>
          <w:p w14:paraId="5DCE20F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0.004</w:t>
            </w:r>
          </w:p>
        </w:tc>
        <w:tc>
          <w:tcPr>
            <w:tcW w:w="1170" w:type="dxa"/>
            <w:tcBorders>
              <w:top w:val="nil"/>
              <w:left w:val="nil"/>
              <w:bottom w:val="single" w:sz="4" w:space="0" w:color="000000"/>
              <w:right w:val="single" w:sz="4" w:space="0" w:color="000000"/>
            </w:tcBorders>
            <w:shd w:val="clear" w:color="auto" w:fill="auto"/>
            <w:vAlign w:val="bottom"/>
            <w:hideMark/>
          </w:tcPr>
          <w:p w14:paraId="47D430B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0.00000000</w:t>
            </w:r>
          </w:p>
        </w:tc>
        <w:tc>
          <w:tcPr>
            <w:tcW w:w="990" w:type="dxa"/>
            <w:tcBorders>
              <w:top w:val="nil"/>
              <w:left w:val="nil"/>
              <w:bottom w:val="single" w:sz="4" w:space="0" w:color="000000"/>
              <w:right w:val="single" w:sz="4" w:space="0" w:color="auto"/>
            </w:tcBorders>
            <w:shd w:val="clear" w:color="auto" w:fill="auto"/>
            <w:vAlign w:val="bottom"/>
            <w:hideMark/>
          </w:tcPr>
          <w:p w14:paraId="325E067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0.000541</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5C2BEF1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0.000081</w:t>
            </w:r>
          </w:p>
        </w:tc>
        <w:tc>
          <w:tcPr>
            <w:tcW w:w="1350" w:type="dxa"/>
            <w:tcBorders>
              <w:top w:val="nil"/>
              <w:left w:val="nil"/>
              <w:bottom w:val="single" w:sz="4" w:space="0" w:color="000000"/>
              <w:right w:val="double" w:sz="4" w:space="0" w:color="auto"/>
            </w:tcBorders>
            <w:shd w:val="clear" w:color="auto" w:fill="auto"/>
            <w:vAlign w:val="bottom"/>
            <w:hideMark/>
          </w:tcPr>
          <w:p w14:paraId="1C7FD44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w:t>
            </w:r>
          </w:p>
        </w:tc>
      </w:tr>
      <w:tr w:rsidR="00A748D0" w:rsidRPr="009F5E32" w14:paraId="00B4F441"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4AB55278"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463-58-1</w:t>
            </w:r>
          </w:p>
        </w:tc>
        <w:tc>
          <w:tcPr>
            <w:tcW w:w="630" w:type="dxa"/>
            <w:tcBorders>
              <w:top w:val="nil"/>
              <w:left w:val="nil"/>
              <w:bottom w:val="single" w:sz="4" w:space="0" w:color="000000"/>
              <w:right w:val="single" w:sz="4" w:space="0" w:color="000000"/>
            </w:tcBorders>
            <w:shd w:val="clear" w:color="auto" w:fill="auto"/>
            <w:hideMark/>
          </w:tcPr>
          <w:p w14:paraId="29299CE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3C747B6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5BAE9DB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4590" w:type="dxa"/>
            <w:tcBorders>
              <w:top w:val="single" w:sz="4" w:space="0" w:color="000000"/>
              <w:left w:val="nil"/>
              <w:bottom w:val="single" w:sz="4" w:space="0" w:color="000000"/>
              <w:right w:val="nil"/>
            </w:tcBorders>
            <w:shd w:val="clear" w:color="auto" w:fill="auto"/>
            <w:hideMark/>
          </w:tcPr>
          <w:p w14:paraId="54E669E0"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Carbonyl sulfide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267886C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60.07</w:t>
            </w:r>
          </w:p>
        </w:tc>
        <w:tc>
          <w:tcPr>
            <w:tcW w:w="1080" w:type="dxa"/>
            <w:tcBorders>
              <w:top w:val="nil"/>
              <w:left w:val="nil"/>
              <w:bottom w:val="single" w:sz="4" w:space="0" w:color="000000"/>
              <w:right w:val="single" w:sz="4" w:space="0" w:color="000000"/>
            </w:tcBorders>
            <w:shd w:val="clear" w:color="auto" w:fill="auto"/>
            <w:vAlign w:val="bottom"/>
            <w:hideMark/>
          </w:tcPr>
          <w:p w14:paraId="78D72FF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0.49</w:t>
            </w:r>
          </w:p>
        </w:tc>
        <w:tc>
          <w:tcPr>
            <w:tcW w:w="1170" w:type="dxa"/>
            <w:tcBorders>
              <w:top w:val="nil"/>
              <w:left w:val="nil"/>
              <w:bottom w:val="single" w:sz="4" w:space="0" w:color="000000"/>
              <w:right w:val="single" w:sz="4" w:space="0" w:color="000000"/>
            </w:tcBorders>
            <w:shd w:val="clear" w:color="auto" w:fill="auto"/>
            <w:vAlign w:val="bottom"/>
            <w:hideMark/>
          </w:tcPr>
          <w:p w14:paraId="725744D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0.00000008</w:t>
            </w:r>
          </w:p>
        </w:tc>
        <w:tc>
          <w:tcPr>
            <w:tcW w:w="990" w:type="dxa"/>
            <w:tcBorders>
              <w:top w:val="nil"/>
              <w:left w:val="nil"/>
              <w:bottom w:val="single" w:sz="4" w:space="0" w:color="000000"/>
              <w:right w:val="single" w:sz="4" w:space="0" w:color="auto"/>
            </w:tcBorders>
            <w:shd w:val="clear" w:color="auto" w:fill="auto"/>
            <w:vAlign w:val="bottom"/>
            <w:hideMark/>
          </w:tcPr>
          <w:p w14:paraId="18F88B3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0.025890</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12010C0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0.003885</w:t>
            </w:r>
          </w:p>
        </w:tc>
        <w:tc>
          <w:tcPr>
            <w:tcW w:w="1350" w:type="dxa"/>
            <w:tcBorders>
              <w:top w:val="nil"/>
              <w:left w:val="nil"/>
              <w:bottom w:val="single" w:sz="4" w:space="0" w:color="000000"/>
              <w:right w:val="double" w:sz="4" w:space="0" w:color="auto"/>
            </w:tcBorders>
            <w:shd w:val="clear" w:color="auto" w:fill="auto"/>
            <w:vAlign w:val="bottom"/>
            <w:hideMark/>
          </w:tcPr>
          <w:p w14:paraId="4D38377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w:t>
            </w:r>
          </w:p>
        </w:tc>
      </w:tr>
      <w:tr w:rsidR="00A748D0" w:rsidRPr="009F5E32" w14:paraId="5C72855A"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390B062E"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108-90-7</w:t>
            </w:r>
          </w:p>
        </w:tc>
        <w:tc>
          <w:tcPr>
            <w:tcW w:w="630" w:type="dxa"/>
            <w:tcBorders>
              <w:top w:val="nil"/>
              <w:left w:val="nil"/>
              <w:bottom w:val="single" w:sz="4" w:space="0" w:color="000000"/>
              <w:right w:val="single" w:sz="4" w:space="0" w:color="000000"/>
            </w:tcBorders>
            <w:shd w:val="clear" w:color="auto" w:fill="auto"/>
            <w:hideMark/>
          </w:tcPr>
          <w:p w14:paraId="76F8DEC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4486D22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033910F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F4D8630"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Chlorobenzene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1C21B5D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112.56</w:t>
            </w:r>
          </w:p>
        </w:tc>
        <w:tc>
          <w:tcPr>
            <w:tcW w:w="1080" w:type="dxa"/>
            <w:tcBorders>
              <w:top w:val="nil"/>
              <w:left w:val="nil"/>
              <w:bottom w:val="single" w:sz="4" w:space="0" w:color="000000"/>
              <w:right w:val="single" w:sz="4" w:space="0" w:color="000000"/>
            </w:tcBorders>
            <w:shd w:val="clear" w:color="auto" w:fill="auto"/>
            <w:vAlign w:val="bottom"/>
            <w:hideMark/>
          </w:tcPr>
          <w:p w14:paraId="5449876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0.0834</w:t>
            </w:r>
          </w:p>
        </w:tc>
        <w:tc>
          <w:tcPr>
            <w:tcW w:w="1170" w:type="dxa"/>
            <w:tcBorders>
              <w:top w:val="nil"/>
              <w:left w:val="nil"/>
              <w:bottom w:val="single" w:sz="4" w:space="0" w:color="000000"/>
              <w:right w:val="single" w:sz="4" w:space="0" w:color="000000"/>
            </w:tcBorders>
            <w:shd w:val="clear" w:color="auto" w:fill="auto"/>
            <w:vAlign w:val="bottom"/>
            <w:hideMark/>
          </w:tcPr>
          <w:p w14:paraId="23DCE1F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0.00000002</w:t>
            </w:r>
          </w:p>
        </w:tc>
        <w:tc>
          <w:tcPr>
            <w:tcW w:w="990" w:type="dxa"/>
            <w:tcBorders>
              <w:top w:val="nil"/>
              <w:left w:val="nil"/>
              <w:bottom w:val="single" w:sz="4" w:space="0" w:color="000000"/>
              <w:right w:val="single" w:sz="4" w:space="0" w:color="auto"/>
            </w:tcBorders>
            <w:shd w:val="clear" w:color="auto" w:fill="auto"/>
            <w:vAlign w:val="bottom"/>
            <w:hideMark/>
          </w:tcPr>
          <w:p w14:paraId="6BD4E51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0.008257</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61659DF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0.001239</w:t>
            </w:r>
          </w:p>
        </w:tc>
        <w:tc>
          <w:tcPr>
            <w:tcW w:w="1350" w:type="dxa"/>
            <w:tcBorders>
              <w:top w:val="nil"/>
              <w:left w:val="nil"/>
              <w:bottom w:val="single" w:sz="4" w:space="0" w:color="000000"/>
              <w:right w:val="double" w:sz="4" w:space="0" w:color="auto"/>
            </w:tcBorders>
            <w:shd w:val="clear" w:color="auto" w:fill="auto"/>
            <w:vAlign w:val="bottom"/>
            <w:hideMark/>
          </w:tcPr>
          <w:p w14:paraId="1268E05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03BDEEDD"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3072A630"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75-00-3</w:t>
            </w:r>
          </w:p>
        </w:tc>
        <w:tc>
          <w:tcPr>
            <w:tcW w:w="630" w:type="dxa"/>
            <w:tcBorders>
              <w:top w:val="nil"/>
              <w:left w:val="nil"/>
              <w:bottom w:val="single" w:sz="4" w:space="0" w:color="000000"/>
              <w:right w:val="single" w:sz="4" w:space="0" w:color="000000"/>
            </w:tcBorders>
            <w:shd w:val="clear" w:color="auto" w:fill="auto"/>
            <w:hideMark/>
          </w:tcPr>
          <w:p w14:paraId="395E46C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0CDCA6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1DAE5A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4590" w:type="dxa"/>
            <w:tcBorders>
              <w:top w:val="single" w:sz="4" w:space="0" w:color="000000"/>
              <w:left w:val="nil"/>
              <w:bottom w:val="single" w:sz="4" w:space="0" w:color="000000"/>
              <w:right w:val="nil"/>
            </w:tcBorders>
            <w:shd w:val="clear" w:color="auto" w:fill="auto"/>
            <w:hideMark/>
          </w:tcPr>
          <w:p w14:paraId="65A8100D"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Chloroethane (Ethyl 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B7CB64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64.52</w:t>
            </w:r>
          </w:p>
        </w:tc>
        <w:tc>
          <w:tcPr>
            <w:tcW w:w="1080" w:type="dxa"/>
            <w:tcBorders>
              <w:top w:val="nil"/>
              <w:left w:val="nil"/>
              <w:bottom w:val="single" w:sz="4" w:space="0" w:color="000000"/>
              <w:right w:val="single" w:sz="4" w:space="0" w:color="000000"/>
            </w:tcBorders>
            <w:shd w:val="clear" w:color="auto" w:fill="auto"/>
            <w:vAlign w:val="bottom"/>
            <w:hideMark/>
          </w:tcPr>
          <w:p w14:paraId="7A69059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1.25</w:t>
            </w:r>
          </w:p>
        </w:tc>
        <w:tc>
          <w:tcPr>
            <w:tcW w:w="1170" w:type="dxa"/>
            <w:tcBorders>
              <w:top w:val="nil"/>
              <w:left w:val="nil"/>
              <w:bottom w:val="single" w:sz="4" w:space="0" w:color="000000"/>
              <w:right w:val="single" w:sz="4" w:space="0" w:color="000000"/>
            </w:tcBorders>
            <w:shd w:val="clear" w:color="auto" w:fill="auto"/>
            <w:vAlign w:val="bottom"/>
            <w:hideMark/>
          </w:tcPr>
          <w:p w14:paraId="2A09AA8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0.00000021</w:t>
            </w:r>
          </w:p>
        </w:tc>
        <w:tc>
          <w:tcPr>
            <w:tcW w:w="990" w:type="dxa"/>
            <w:tcBorders>
              <w:top w:val="nil"/>
              <w:left w:val="nil"/>
              <w:bottom w:val="single" w:sz="4" w:space="0" w:color="000000"/>
              <w:right w:val="single" w:sz="4" w:space="0" w:color="auto"/>
            </w:tcBorders>
            <w:shd w:val="clear" w:color="auto" w:fill="auto"/>
            <w:vAlign w:val="bottom"/>
            <w:hideMark/>
          </w:tcPr>
          <w:p w14:paraId="4FDF1FE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0.070938</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DD7E99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0.010644</w:t>
            </w:r>
          </w:p>
        </w:tc>
        <w:tc>
          <w:tcPr>
            <w:tcW w:w="1350" w:type="dxa"/>
            <w:tcBorders>
              <w:top w:val="nil"/>
              <w:left w:val="nil"/>
              <w:bottom w:val="single" w:sz="4" w:space="0" w:color="000000"/>
              <w:right w:val="double" w:sz="4" w:space="0" w:color="auto"/>
            </w:tcBorders>
            <w:shd w:val="clear" w:color="auto" w:fill="auto"/>
            <w:vAlign w:val="bottom"/>
            <w:hideMark/>
          </w:tcPr>
          <w:p w14:paraId="1F29055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0.05</w:t>
            </w:r>
          </w:p>
        </w:tc>
      </w:tr>
      <w:tr w:rsidR="00A748D0" w:rsidRPr="009F5E32" w14:paraId="1CBD9B55"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2881401F"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67-66-3</w:t>
            </w:r>
          </w:p>
        </w:tc>
        <w:tc>
          <w:tcPr>
            <w:tcW w:w="630" w:type="dxa"/>
            <w:tcBorders>
              <w:top w:val="nil"/>
              <w:left w:val="nil"/>
              <w:bottom w:val="single" w:sz="4" w:space="0" w:color="000000"/>
              <w:right w:val="single" w:sz="4" w:space="0" w:color="000000"/>
            </w:tcBorders>
            <w:shd w:val="clear" w:color="auto" w:fill="auto"/>
            <w:hideMark/>
          </w:tcPr>
          <w:p w14:paraId="0185A2B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EBFAB2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A1505B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338995CD"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Chloroform</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40449C2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119.39</w:t>
            </w:r>
          </w:p>
        </w:tc>
        <w:tc>
          <w:tcPr>
            <w:tcW w:w="1080" w:type="dxa"/>
            <w:tcBorders>
              <w:top w:val="nil"/>
              <w:left w:val="nil"/>
              <w:bottom w:val="single" w:sz="4" w:space="0" w:color="000000"/>
              <w:right w:val="single" w:sz="4" w:space="0" w:color="000000"/>
            </w:tcBorders>
            <w:shd w:val="clear" w:color="auto" w:fill="auto"/>
            <w:vAlign w:val="bottom"/>
            <w:hideMark/>
          </w:tcPr>
          <w:p w14:paraId="23279DB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0.03</w:t>
            </w:r>
          </w:p>
        </w:tc>
        <w:tc>
          <w:tcPr>
            <w:tcW w:w="1170" w:type="dxa"/>
            <w:tcBorders>
              <w:top w:val="nil"/>
              <w:left w:val="nil"/>
              <w:bottom w:val="single" w:sz="4" w:space="0" w:color="000000"/>
              <w:right w:val="single" w:sz="4" w:space="0" w:color="000000"/>
            </w:tcBorders>
            <w:shd w:val="clear" w:color="auto" w:fill="auto"/>
            <w:vAlign w:val="bottom"/>
            <w:hideMark/>
          </w:tcPr>
          <w:p w14:paraId="41D9967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0.00000001</w:t>
            </w:r>
          </w:p>
        </w:tc>
        <w:tc>
          <w:tcPr>
            <w:tcW w:w="990" w:type="dxa"/>
            <w:tcBorders>
              <w:top w:val="nil"/>
              <w:left w:val="nil"/>
              <w:bottom w:val="single" w:sz="4" w:space="0" w:color="000000"/>
              <w:right w:val="single" w:sz="4" w:space="0" w:color="auto"/>
            </w:tcBorders>
            <w:shd w:val="clear" w:color="auto" w:fill="auto"/>
            <w:vAlign w:val="bottom"/>
            <w:hideMark/>
          </w:tcPr>
          <w:p w14:paraId="536E6D8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0.003150</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4E6BEDF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0.000473</w:t>
            </w:r>
          </w:p>
        </w:tc>
        <w:tc>
          <w:tcPr>
            <w:tcW w:w="1350" w:type="dxa"/>
            <w:tcBorders>
              <w:top w:val="nil"/>
              <w:left w:val="nil"/>
              <w:bottom w:val="single" w:sz="4" w:space="0" w:color="000000"/>
              <w:right w:val="double" w:sz="4" w:space="0" w:color="auto"/>
            </w:tcBorders>
            <w:shd w:val="clear" w:color="auto" w:fill="auto"/>
            <w:vAlign w:val="bottom"/>
            <w:hideMark/>
          </w:tcPr>
          <w:p w14:paraId="1D95F3F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w:t>
            </w:r>
          </w:p>
        </w:tc>
      </w:tr>
      <w:tr w:rsidR="00A748D0" w:rsidRPr="009F5E32" w14:paraId="331940EC"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30FCD9BB"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75-71-8</w:t>
            </w:r>
          </w:p>
        </w:tc>
        <w:tc>
          <w:tcPr>
            <w:tcW w:w="630" w:type="dxa"/>
            <w:tcBorders>
              <w:top w:val="nil"/>
              <w:left w:val="nil"/>
              <w:bottom w:val="single" w:sz="4" w:space="0" w:color="000000"/>
              <w:right w:val="single" w:sz="4" w:space="0" w:color="000000"/>
            </w:tcBorders>
            <w:shd w:val="clear" w:color="auto" w:fill="auto"/>
            <w:hideMark/>
          </w:tcPr>
          <w:p w14:paraId="6F39AA3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124393D7"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458B57D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0DB526C0"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Dichlorodifluoromethane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99C593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120.91</w:t>
            </w:r>
          </w:p>
        </w:tc>
        <w:tc>
          <w:tcPr>
            <w:tcW w:w="1080" w:type="dxa"/>
            <w:tcBorders>
              <w:top w:val="nil"/>
              <w:left w:val="nil"/>
              <w:bottom w:val="single" w:sz="4" w:space="0" w:color="000000"/>
              <w:right w:val="single" w:sz="4" w:space="0" w:color="000000"/>
            </w:tcBorders>
            <w:shd w:val="clear" w:color="auto" w:fill="auto"/>
            <w:vAlign w:val="bottom"/>
            <w:hideMark/>
          </w:tcPr>
          <w:p w14:paraId="7E172EB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15.70</w:t>
            </w:r>
          </w:p>
        </w:tc>
        <w:tc>
          <w:tcPr>
            <w:tcW w:w="1170" w:type="dxa"/>
            <w:tcBorders>
              <w:top w:val="nil"/>
              <w:left w:val="nil"/>
              <w:bottom w:val="single" w:sz="4" w:space="0" w:color="000000"/>
              <w:right w:val="single" w:sz="4" w:space="0" w:color="000000"/>
            </w:tcBorders>
            <w:shd w:val="clear" w:color="auto" w:fill="auto"/>
            <w:vAlign w:val="bottom"/>
            <w:hideMark/>
          </w:tcPr>
          <w:p w14:paraId="5A67915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0.00000502</w:t>
            </w:r>
          </w:p>
        </w:tc>
        <w:tc>
          <w:tcPr>
            <w:tcW w:w="990" w:type="dxa"/>
            <w:tcBorders>
              <w:top w:val="nil"/>
              <w:left w:val="nil"/>
              <w:bottom w:val="single" w:sz="4" w:space="0" w:color="000000"/>
              <w:right w:val="single" w:sz="4" w:space="0" w:color="auto"/>
            </w:tcBorders>
            <w:shd w:val="clear" w:color="auto" w:fill="auto"/>
            <w:vAlign w:val="bottom"/>
            <w:hideMark/>
          </w:tcPr>
          <w:p w14:paraId="523EE03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1.669690</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512C674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0.250529</w:t>
            </w:r>
          </w:p>
        </w:tc>
        <w:tc>
          <w:tcPr>
            <w:tcW w:w="1350" w:type="dxa"/>
            <w:tcBorders>
              <w:top w:val="nil"/>
              <w:left w:val="nil"/>
              <w:bottom w:val="single" w:sz="4" w:space="0" w:color="000000"/>
              <w:right w:val="double" w:sz="4" w:space="0" w:color="auto"/>
            </w:tcBorders>
            <w:shd w:val="clear" w:color="auto" w:fill="auto"/>
            <w:vAlign w:val="bottom"/>
            <w:hideMark/>
          </w:tcPr>
          <w:p w14:paraId="2F82418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1.10</w:t>
            </w:r>
          </w:p>
        </w:tc>
      </w:tr>
      <w:tr w:rsidR="00A748D0" w:rsidRPr="009F5E32" w14:paraId="7E89D084"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ADC65E3"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75-09-2</w:t>
            </w:r>
          </w:p>
        </w:tc>
        <w:tc>
          <w:tcPr>
            <w:tcW w:w="630" w:type="dxa"/>
            <w:tcBorders>
              <w:top w:val="nil"/>
              <w:left w:val="nil"/>
              <w:bottom w:val="single" w:sz="4" w:space="0" w:color="000000"/>
              <w:right w:val="single" w:sz="4" w:space="0" w:color="000000"/>
            </w:tcBorders>
            <w:shd w:val="clear" w:color="auto" w:fill="auto"/>
            <w:hideMark/>
          </w:tcPr>
          <w:p w14:paraId="243DB299"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6DF9583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1BB395D"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56945B8F"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Dichloromethane (Methylene 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14894E5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84.94</w:t>
            </w:r>
          </w:p>
        </w:tc>
        <w:tc>
          <w:tcPr>
            <w:tcW w:w="1080" w:type="dxa"/>
            <w:tcBorders>
              <w:top w:val="nil"/>
              <w:left w:val="nil"/>
              <w:bottom w:val="single" w:sz="4" w:space="0" w:color="000000"/>
              <w:right w:val="single" w:sz="4" w:space="0" w:color="000000"/>
            </w:tcBorders>
            <w:shd w:val="clear" w:color="auto" w:fill="auto"/>
            <w:vAlign w:val="bottom"/>
            <w:hideMark/>
          </w:tcPr>
          <w:p w14:paraId="728E83A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38.40</w:t>
            </w:r>
          </w:p>
        </w:tc>
        <w:tc>
          <w:tcPr>
            <w:tcW w:w="1170" w:type="dxa"/>
            <w:tcBorders>
              <w:top w:val="nil"/>
              <w:left w:val="nil"/>
              <w:bottom w:val="single" w:sz="4" w:space="0" w:color="000000"/>
              <w:right w:val="single" w:sz="4" w:space="0" w:color="000000"/>
            </w:tcBorders>
            <w:shd w:val="clear" w:color="auto" w:fill="auto"/>
            <w:vAlign w:val="bottom"/>
            <w:hideMark/>
          </w:tcPr>
          <w:p w14:paraId="605E15D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0.00000862</w:t>
            </w:r>
          </w:p>
        </w:tc>
        <w:tc>
          <w:tcPr>
            <w:tcW w:w="990" w:type="dxa"/>
            <w:tcBorders>
              <w:top w:val="nil"/>
              <w:left w:val="nil"/>
              <w:bottom w:val="single" w:sz="4" w:space="0" w:color="000000"/>
              <w:right w:val="single" w:sz="4" w:space="0" w:color="auto"/>
            </w:tcBorders>
            <w:shd w:val="clear" w:color="auto" w:fill="auto"/>
            <w:vAlign w:val="bottom"/>
            <w:hideMark/>
          </w:tcPr>
          <w:p w14:paraId="147856A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2.868913</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67A05EE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0.430466</w:t>
            </w:r>
          </w:p>
        </w:tc>
        <w:tc>
          <w:tcPr>
            <w:tcW w:w="1350" w:type="dxa"/>
            <w:tcBorders>
              <w:top w:val="nil"/>
              <w:left w:val="nil"/>
              <w:bottom w:val="single" w:sz="4" w:space="0" w:color="000000"/>
              <w:right w:val="double" w:sz="4" w:space="0" w:color="auto"/>
            </w:tcBorders>
            <w:shd w:val="clear" w:color="auto" w:fill="auto"/>
            <w:vAlign w:val="bottom"/>
            <w:hideMark/>
          </w:tcPr>
          <w:p w14:paraId="0E661D9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1.89</w:t>
            </w:r>
          </w:p>
        </w:tc>
      </w:tr>
      <w:tr w:rsidR="00A748D0" w:rsidRPr="009F5E32" w14:paraId="40432CA1"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08114DAB"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75-08-1</w:t>
            </w:r>
          </w:p>
        </w:tc>
        <w:tc>
          <w:tcPr>
            <w:tcW w:w="630" w:type="dxa"/>
            <w:tcBorders>
              <w:top w:val="nil"/>
              <w:left w:val="nil"/>
              <w:bottom w:val="single" w:sz="4" w:space="0" w:color="000000"/>
              <w:right w:val="single" w:sz="4" w:space="0" w:color="000000"/>
            </w:tcBorders>
            <w:shd w:val="clear" w:color="auto" w:fill="auto"/>
            <w:hideMark/>
          </w:tcPr>
          <w:p w14:paraId="1ADD5A6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38E14375"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34E5C1E3"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6D4BE7E5"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Ethyl mercaptan (Ethanethiol)</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140C328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62.13</w:t>
            </w:r>
          </w:p>
        </w:tc>
        <w:tc>
          <w:tcPr>
            <w:tcW w:w="1080" w:type="dxa"/>
            <w:tcBorders>
              <w:top w:val="nil"/>
              <w:left w:val="nil"/>
              <w:bottom w:val="single" w:sz="4" w:space="0" w:color="000000"/>
              <w:right w:val="single" w:sz="4" w:space="0" w:color="000000"/>
            </w:tcBorders>
            <w:shd w:val="clear" w:color="auto" w:fill="auto"/>
            <w:vAlign w:val="bottom"/>
            <w:hideMark/>
          </w:tcPr>
          <w:p w14:paraId="32FA518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2.28</w:t>
            </w:r>
          </w:p>
        </w:tc>
        <w:tc>
          <w:tcPr>
            <w:tcW w:w="1170" w:type="dxa"/>
            <w:tcBorders>
              <w:top w:val="nil"/>
              <w:left w:val="nil"/>
              <w:bottom w:val="single" w:sz="4" w:space="0" w:color="000000"/>
              <w:right w:val="single" w:sz="4" w:space="0" w:color="000000"/>
            </w:tcBorders>
            <w:shd w:val="clear" w:color="auto" w:fill="auto"/>
            <w:vAlign w:val="bottom"/>
            <w:hideMark/>
          </w:tcPr>
          <w:p w14:paraId="4815CF7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0.00000037</w:t>
            </w:r>
          </w:p>
        </w:tc>
        <w:tc>
          <w:tcPr>
            <w:tcW w:w="990" w:type="dxa"/>
            <w:tcBorders>
              <w:top w:val="nil"/>
              <w:left w:val="nil"/>
              <w:bottom w:val="single" w:sz="4" w:space="0" w:color="000000"/>
              <w:right w:val="single" w:sz="4" w:space="0" w:color="auto"/>
            </w:tcBorders>
            <w:shd w:val="clear" w:color="auto" w:fill="auto"/>
            <w:vAlign w:val="bottom"/>
            <w:hideMark/>
          </w:tcPr>
          <w:p w14:paraId="07C560B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0.124598</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A1B83A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0.018695</w:t>
            </w:r>
          </w:p>
        </w:tc>
        <w:tc>
          <w:tcPr>
            <w:tcW w:w="1350" w:type="dxa"/>
            <w:tcBorders>
              <w:top w:val="nil"/>
              <w:left w:val="nil"/>
              <w:bottom w:val="single" w:sz="4" w:space="0" w:color="000000"/>
              <w:right w:val="double" w:sz="4" w:space="0" w:color="auto"/>
            </w:tcBorders>
            <w:shd w:val="clear" w:color="auto" w:fill="auto"/>
            <w:vAlign w:val="bottom"/>
            <w:hideMark/>
          </w:tcPr>
          <w:p w14:paraId="4C96623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0.08</w:t>
            </w:r>
          </w:p>
        </w:tc>
      </w:tr>
      <w:tr w:rsidR="00A748D0" w:rsidRPr="009F5E32" w14:paraId="015C0377"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C13E2FE"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100-41-4</w:t>
            </w:r>
          </w:p>
        </w:tc>
        <w:tc>
          <w:tcPr>
            <w:tcW w:w="630" w:type="dxa"/>
            <w:tcBorders>
              <w:top w:val="nil"/>
              <w:left w:val="nil"/>
              <w:bottom w:val="single" w:sz="4" w:space="0" w:color="000000"/>
              <w:right w:val="single" w:sz="4" w:space="0" w:color="000000"/>
            </w:tcBorders>
            <w:shd w:val="clear" w:color="auto" w:fill="auto"/>
            <w:hideMark/>
          </w:tcPr>
          <w:p w14:paraId="51F8278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38124109"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F55D6E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0B232814"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Ethylbenzene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EC542E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106.16</w:t>
            </w:r>
          </w:p>
        </w:tc>
        <w:tc>
          <w:tcPr>
            <w:tcW w:w="1080" w:type="dxa"/>
            <w:tcBorders>
              <w:top w:val="nil"/>
              <w:left w:val="nil"/>
              <w:bottom w:val="single" w:sz="4" w:space="0" w:color="000000"/>
              <w:right w:val="single" w:sz="4" w:space="0" w:color="000000"/>
            </w:tcBorders>
            <w:shd w:val="clear" w:color="auto" w:fill="auto"/>
            <w:vAlign w:val="bottom"/>
            <w:hideMark/>
          </w:tcPr>
          <w:p w14:paraId="50A4AE9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1.28</w:t>
            </w:r>
          </w:p>
        </w:tc>
        <w:tc>
          <w:tcPr>
            <w:tcW w:w="1170" w:type="dxa"/>
            <w:tcBorders>
              <w:top w:val="nil"/>
              <w:left w:val="nil"/>
              <w:bottom w:val="single" w:sz="4" w:space="0" w:color="000000"/>
              <w:right w:val="single" w:sz="4" w:space="0" w:color="000000"/>
            </w:tcBorders>
            <w:shd w:val="clear" w:color="auto" w:fill="auto"/>
            <w:vAlign w:val="bottom"/>
            <w:hideMark/>
          </w:tcPr>
          <w:p w14:paraId="58CB082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0.00000036</w:t>
            </w:r>
          </w:p>
        </w:tc>
        <w:tc>
          <w:tcPr>
            <w:tcW w:w="990" w:type="dxa"/>
            <w:tcBorders>
              <w:top w:val="nil"/>
              <w:left w:val="nil"/>
              <w:bottom w:val="single" w:sz="4" w:space="0" w:color="000000"/>
              <w:right w:val="single" w:sz="4" w:space="0" w:color="auto"/>
            </w:tcBorders>
            <w:shd w:val="clear" w:color="auto" w:fill="auto"/>
            <w:vAlign w:val="bottom"/>
            <w:hideMark/>
          </w:tcPr>
          <w:p w14:paraId="0003F76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0.119521</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337690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0.017934</w:t>
            </w:r>
          </w:p>
        </w:tc>
        <w:tc>
          <w:tcPr>
            <w:tcW w:w="1350" w:type="dxa"/>
            <w:tcBorders>
              <w:top w:val="nil"/>
              <w:left w:val="nil"/>
              <w:bottom w:val="single" w:sz="4" w:space="0" w:color="000000"/>
              <w:right w:val="double" w:sz="4" w:space="0" w:color="auto"/>
            </w:tcBorders>
            <w:shd w:val="clear" w:color="auto" w:fill="auto"/>
            <w:vAlign w:val="bottom"/>
            <w:hideMark/>
          </w:tcPr>
          <w:p w14:paraId="6FC55BB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0.08</w:t>
            </w:r>
          </w:p>
        </w:tc>
      </w:tr>
      <w:tr w:rsidR="00A748D0" w:rsidRPr="009F5E32" w14:paraId="48784638"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41FD99DD"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50-00-0</w:t>
            </w:r>
          </w:p>
        </w:tc>
        <w:tc>
          <w:tcPr>
            <w:tcW w:w="630" w:type="dxa"/>
            <w:tcBorders>
              <w:top w:val="nil"/>
              <w:left w:val="nil"/>
              <w:bottom w:val="single" w:sz="4" w:space="0" w:color="000000"/>
              <w:right w:val="single" w:sz="4" w:space="0" w:color="000000"/>
            </w:tcBorders>
            <w:shd w:val="clear" w:color="auto" w:fill="auto"/>
            <w:hideMark/>
          </w:tcPr>
          <w:p w14:paraId="39047E8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C765AF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38D1E8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double" w:sz="6" w:space="0" w:color="000000"/>
            </w:tcBorders>
            <w:shd w:val="clear" w:color="auto" w:fill="auto"/>
            <w:hideMark/>
          </w:tcPr>
          <w:p w14:paraId="37D92F08"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Formaldehyde</w:t>
            </w:r>
          </w:p>
        </w:tc>
        <w:tc>
          <w:tcPr>
            <w:tcW w:w="6480" w:type="dxa"/>
            <w:gridSpan w:val="6"/>
            <w:tcBorders>
              <w:top w:val="nil"/>
              <w:left w:val="nil"/>
              <w:bottom w:val="single" w:sz="4" w:space="0" w:color="000000"/>
              <w:right w:val="double" w:sz="4" w:space="0" w:color="auto"/>
            </w:tcBorders>
            <w:shd w:val="clear" w:color="auto" w:fill="auto"/>
            <w:noWrap/>
            <w:vAlign w:val="bottom"/>
            <w:hideMark/>
          </w:tcPr>
          <w:p w14:paraId="21EE27C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Not Applicable</w:t>
            </w:r>
          </w:p>
        </w:tc>
      </w:tr>
      <w:tr w:rsidR="00A748D0" w:rsidRPr="009F5E32" w14:paraId="59928F26"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492ABF24"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110-54-3</w:t>
            </w:r>
          </w:p>
        </w:tc>
        <w:tc>
          <w:tcPr>
            <w:tcW w:w="630" w:type="dxa"/>
            <w:tcBorders>
              <w:top w:val="nil"/>
              <w:left w:val="nil"/>
              <w:bottom w:val="single" w:sz="4" w:space="0" w:color="000000"/>
              <w:right w:val="single" w:sz="4" w:space="0" w:color="000000"/>
            </w:tcBorders>
            <w:shd w:val="clear" w:color="auto" w:fill="auto"/>
            <w:hideMark/>
          </w:tcPr>
          <w:p w14:paraId="07F3980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71C171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BAF93D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19C6A26D"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Hexane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451FFD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86.18</w:t>
            </w:r>
          </w:p>
        </w:tc>
        <w:tc>
          <w:tcPr>
            <w:tcW w:w="1080" w:type="dxa"/>
            <w:tcBorders>
              <w:top w:val="nil"/>
              <w:left w:val="nil"/>
              <w:bottom w:val="single" w:sz="4" w:space="0" w:color="000000"/>
              <w:right w:val="single" w:sz="4" w:space="0" w:color="000000"/>
            </w:tcBorders>
            <w:shd w:val="clear" w:color="auto" w:fill="auto"/>
            <w:vAlign w:val="bottom"/>
            <w:hideMark/>
          </w:tcPr>
          <w:p w14:paraId="08D0EFE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6.57</w:t>
            </w:r>
          </w:p>
        </w:tc>
        <w:tc>
          <w:tcPr>
            <w:tcW w:w="1170" w:type="dxa"/>
            <w:tcBorders>
              <w:top w:val="nil"/>
              <w:left w:val="nil"/>
              <w:bottom w:val="single" w:sz="4" w:space="0" w:color="000000"/>
              <w:right w:val="single" w:sz="4" w:space="0" w:color="000000"/>
            </w:tcBorders>
            <w:shd w:val="clear" w:color="auto" w:fill="auto"/>
            <w:vAlign w:val="bottom"/>
            <w:hideMark/>
          </w:tcPr>
          <w:p w14:paraId="5290B3F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0.00000150</w:t>
            </w:r>
          </w:p>
        </w:tc>
        <w:tc>
          <w:tcPr>
            <w:tcW w:w="990" w:type="dxa"/>
            <w:tcBorders>
              <w:top w:val="nil"/>
              <w:left w:val="nil"/>
              <w:bottom w:val="single" w:sz="4" w:space="0" w:color="000000"/>
              <w:right w:val="single" w:sz="4" w:space="0" w:color="auto"/>
            </w:tcBorders>
            <w:shd w:val="clear" w:color="auto" w:fill="auto"/>
            <w:vAlign w:val="bottom"/>
            <w:hideMark/>
          </w:tcPr>
          <w:p w14:paraId="1454909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0.498019</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0B3B37B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0.074725</w:t>
            </w:r>
          </w:p>
        </w:tc>
        <w:tc>
          <w:tcPr>
            <w:tcW w:w="1350" w:type="dxa"/>
            <w:tcBorders>
              <w:top w:val="nil"/>
              <w:left w:val="nil"/>
              <w:bottom w:val="single" w:sz="4" w:space="0" w:color="000000"/>
              <w:right w:val="double" w:sz="4" w:space="0" w:color="auto"/>
            </w:tcBorders>
            <w:shd w:val="clear" w:color="auto" w:fill="auto"/>
            <w:vAlign w:val="bottom"/>
            <w:hideMark/>
          </w:tcPr>
          <w:p w14:paraId="79D41E1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0.33</w:t>
            </w:r>
          </w:p>
        </w:tc>
      </w:tr>
      <w:tr w:rsidR="00A748D0" w:rsidRPr="009F5E32" w14:paraId="0234504E"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68A9352"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7783-06-4</w:t>
            </w:r>
          </w:p>
        </w:tc>
        <w:tc>
          <w:tcPr>
            <w:tcW w:w="630" w:type="dxa"/>
            <w:tcBorders>
              <w:top w:val="nil"/>
              <w:left w:val="nil"/>
              <w:bottom w:val="single" w:sz="4" w:space="0" w:color="000000"/>
              <w:right w:val="single" w:sz="4" w:space="0" w:color="000000"/>
            </w:tcBorders>
            <w:shd w:val="clear" w:color="auto" w:fill="auto"/>
            <w:hideMark/>
          </w:tcPr>
          <w:p w14:paraId="6D42ADE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3216F74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361814DD"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54E5281E"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Hydrogen sulfide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640EBD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34.08</w:t>
            </w:r>
          </w:p>
        </w:tc>
        <w:tc>
          <w:tcPr>
            <w:tcW w:w="1080" w:type="dxa"/>
            <w:tcBorders>
              <w:top w:val="nil"/>
              <w:left w:val="nil"/>
              <w:bottom w:val="single" w:sz="4" w:space="0" w:color="000000"/>
              <w:right w:val="single" w:sz="4" w:space="0" w:color="000000"/>
            </w:tcBorders>
            <w:shd w:val="clear" w:color="auto" w:fill="auto"/>
            <w:vAlign w:val="bottom"/>
            <w:hideMark/>
          </w:tcPr>
          <w:p w14:paraId="33A3F13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308</w:t>
            </w:r>
          </w:p>
        </w:tc>
        <w:tc>
          <w:tcPr>
            <w:tcW w:w="1170" w:type="dxa"/>
            <w:tcBorders>
              <w:top w:val="nil"/>
              <w:left w:val="nil"/>
              <w:bottom w:val="single" w:sz="4" w:space="0" w:color="000000"/>
              <w:right w:val="single" w:sz="4" w:space="0" w:color="000000"/>
            </w:tcBorders>
            <w:shd w:val="clear" w:color="auto" w:fill="auto"/>
            <w:vAlign w:val="bottom"/>
            <w:hideMark/>
          </w:tcPr>
          <w:p w14:paraId="3368C23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0.00002775</w:t>
            </w:r>
          </w:p>
        </w:tc>
        <w:tc>
          <w:tcPr>
            <w:tcW w:w="990" w:type="dxa"/>
            <w:tcBorders>
              <w:top w:val="nil"/>
              <w:left w:val="nil"/>
              <w:bottom w:val="single" w:sz="4" w:space="0" w:color="000000"/>
              <w:right w:val="single" w:sz="4" w:space="0" w:color="auto"/>
            </w:tcBorders>
            <w:shd w:val="clear" w:color="auto" w:fill="auto"/>
            <w:vAlign w:val="bottom"/>
            <w:hideMark/>
          </w:tcPr>
          <w:p w14:paraId="54F0650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9.232603</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25612A65"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1.385307</w:t>
            </w:r>
          </w:p>
        </w:tc>
        <w:tc>
          <w:tcPr>
            <w:tcW w:w="1350" w:type="dxa"/>
            <w:tcBorders>
              <w:top w:val="nil"/>
              <w:left w:val="nil"/>
              <w:bottom w:val="single" w:sz="4" w:space="0" w:color="000000"/>
              <w:right w:val="double" w:sz="4" w:space="0" w:color="auto"/>
            </w:tcBorders>
            <w:shd w:val="clear" w:color="auto" w:fill="auto"/>
            <w:vAlign w:val="bottom"/>
            <w:hideMark/>
          </w:tcPr>
          <w:p w14:paraId="1BA41E8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6.07</w:t>
            </w:r>
          </w:p>
        </w:tc>
      </w:tr>
      <w:tr w:rsidR="00A748D0" w:rsidRPr="009F5E32" w14:paraId="32EBC634"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2BF96E58"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7439-97-6</w:t>
            </w:r>
          </w:p>
        </w:tc>
        <w:tc>
          <w:tcPr>
            <w:tcW w:w="630" w:type="dxa"/>
            <w:tcBorders>
              <w:top w:val="nil"/>
              <w:left w:val="nil"/>
              <w:bottom w:val="single" w:sz="4" w:space="0" w:color="000000"/>
              <w:right w:val="single" w:sz="4" w:space="0" w:color="000000"/>
            </w:tcBorders>
            <w:shd w:val="clear" w:color="auto" w:fill="auto"/>
            <w:hideMark/>
          </w:tcPr>
          <w:p w14:paraId="1B0AEDAE" w14:textId="77777777" w:rsidR="00A748D0" w:rsidRPr="005A5A0B" w:rsidRDefault="00A748D0" w:rsidP="00A748D0">
            <w:pPr>
              <w:widowControl/>
              <w:autoSpaceDE/>
              <w:autoSpaceDN/>
              <w:adjustRightInd/>
              <w:ind w:left="0" w:firstLine="0"/>
              <w:jc w:val="center"/>
              <w:rPr>
                <w:rFonts w:cs="Arial"/>
                <w:sz w:val="14"/>
                <w:szCs w:val="14"/>
              </w:rPr>
            </w:pPr>
            <w:r w:rsidRPr="005A5A0B">
              <w:rPr>
                <w:rFonts w:cs="Arial"/>
                <w:sz w:val="14"/>
                <w:szCs w:val="14"/>
              </w:rPr>
              <w:t>N</w:t>
            </w:r>
          </w:p>
        </w:tc>
        <w:tc>
          <w:tcPr>
            <w:tcW w:w="630" w:type="dxa"/>
            <w:tcBorders>
              <w:top w:val="nil"/>
              <w:left w:val="nil"/>
              <w:bottom w:val="single" w:sz="4" w:space="0" w:color="000000"/>
              <w:right w:val="single" w:sz="4" w:space="0" w:color="000000"/>
            </w:tcBorders>
            <w:shd w:val="clear" w:color="auto" w:fill="auto"/>
            <w:hideMark/>
          </w:tcPr>
          <w:p w14:paraId="0D4CF02D" w14:textId="77777777" w:rsidR="00A748D0" w:rsidRPr="005A5A0B" w:rsidRDefault="00A748D0" w:rsidP="00A748D0">
            <w:pPr>
              <w:widowControl/>
              <w:autoSpaceDE/>
              <w:autoSpaceDN/>
              <w:adjustRightInd/>
              <w:ind w:left="0" w:firstLine="0"/>
              <w:jc w:val="center"/>
              <w:rPr>
                <w:rFonts w:cs="Arial"/>
                <w:sz w:val="14"/>
                <w:szCs w:val="14"/>
              </w:rPr>
            </w:pPr>
            <w:r w:rsidRPr="005A5A0B">
              <w:rPr>
                <w:rFonts w:cs="Arial"/>
                <w:sz w:val="14"/>
                <w:szCs w:val="14"/>
              </w:rPr>
              <w:t>Y</w:t>
            </w:r>
          </w:p>
        </w:tc>
        <w:tc>
          <w:tcPr>
            <w:tcW w:w="630" w:type="dxa"/>
            <w:tcBorders>
              <w:top w:val="nil"/>
              <w:left w:val="nil"/>
              <w:bottom w:val="single" w:sz="4" w:space="0" w:color="000000"/>
              <w:right w:val="single" w:sz="4" w:space="0" w:color="000000"/>
            </w:tcBorders>
            <w:shd w:val="clear" w:color="auto" w:fill="auto"/>
            <w:hideMark/>
          </w:tcPr>
          <w:p w14:paraId="5BA69828" w14:textId="77777777" w:rsidR="00A748D0" w:rsidRPr="005A5A0B" w:rsidRDefault="00A748D0" w:rsidP="00A748D0">
            <w:pPr>
              <w:widowControl/>
              <w:autoSpaceDE/>
              <w:autoSpaceDN/>
              <w:adjustRightInd/>
              <w:ind w:left="0" w:firstLine="0"/>
              <w:jc w:val="center"/>
              <w:rPr>
                <w:rFonts w:cs="Arial"/>
                <w:sz w:val="14"/>
                <w:szCs w:val="14"/>
              </w:rPr>
            </w:pPr>
            <w:r w:rsidRPr="005A5A0B">
              <w:rPr>
                <w:rFonts w:cs="Arial"/>
                <w:sz w:val="14"/>
                <w:szCs w:val="14"/>
              </w:rPr>
              <w:t>Y</w:t>
            </w:r>
          </w:p>
        </w:tc>
        <w:tc>
          <w:tcPr>
            <w:tcW w:w="4590" w:type="dxa"/>
            <w:tcBorders>
              <w:top w:val="single" w:sz="4" w:space="0" w:color="000000"/>
              <w:left w:val="nil"/>
              <w:bottom w:val="single" w:sz="4" w:space="0" w:color="000000"/>
              <w:right w:val="nil"/>
            </w:tcBorders>
            <w:shd w:val="clear" w:color="auto" w:fill="auto"/>
            <w:hideMark/>
          </w:tcPr>
          <w:p w14:paraId="21281E02"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Mercury</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1B1406A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200.61</w:t>
            </w:r>
          </w:p>
        </w:tc>
        <w:tc>
          <w:tcPr>
            <w:tcW w:w="1080" w:type="dxa"/>
            <w:tcBorders>
              <w:top w:val="nil"/>
              <w:left w:val="nil"/>
              <w:bottom w:val="single" w:sz="4" w:space="0" w:color="000000"/>
              <w:right w:val="single" w:sz="4" w:space="0" w:color="000000"/>
            </w:tcBorders>
            <w:shd w:val="clear" w:color="auto" w:fill="auto"/>
            <w:vAlign w:val="bottom"/>
            <w:hideMark/>
          </w:tcPr>
          <w:p w14:paraId="6A4FD29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0.000292</w:t>
            </w:r>
          </w:p>
        </w:tc>
        <w:tc>
          <w:tcPr>
            <w:tcW w:w="1170" w:type="dxa"/>
            <w:tcBorders>
              <w:top w:val="nil"/>
              <w:left w:val="nil"/>
              <w:bottom w:val="single" w:sz="4" w:space="0" w:color="000000"/>
              <w:right w:val="single" w:sz="4" w:space="0" w:color="000000"/>
            </w:tcBorders>
            <w:shd w:val="clear" w:color="auto" w:fill="auto"/>
            <w:vAlign w:val="bottom"/>
            <w:hideMark/>
          </w:tcPr>
          <w:p w14:paraId="134DCA5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0.00000000</w:t>
            </w:r>
          </w:p>
        </w:tc>
        <w:tc>
          <w:tcPr>
            <w:tcW w:w="990" w:type="dxa"/>
            <w:tcBorders>
              <w:top w:val="nil"/>
              <w:left w:val="nil"/>
              <w:bottom w:val="single" w:sz="4" w:space="0" w:color="000000"/>
              <w:right w:val="single" w:sz="4" w:space="0" w:color="auto"/>
            </w:tcBorders>
            <w:shd w:val="clear" w:color="auto" w:fill="auto"/>
            <w:vAlign w:val="bottom"/>
            <w:hideMark/>
          </w:tcPr>
          <w:p w14:paraId="2A59026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0.000052</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33BE71E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0.000008</w:t>
            </w:r>
          </w:p>
        </w:tc>
        <w:tc>
          <w:tcPr>
            <w:tcW w:w="1350" w:type="dxa"/>
            <w:tcBorders>
              <w:top w:val="nil"/>
              <w:left w:val="nil"/>
              <w:bottom w:val="single" w:sz="4" w:space="0" w:color="000000"/>
              <w:right w:val="double" w:sz="4" w:space="0" w:color="auto"/>
            </w:tcBorders>
            <w:shd w:val="clear" w:color="auto" w:fill="auto"/>
            <w:vAlign w:val="bottom"/>
            <w:hideMark/>
          </w:tcPr>
          <w:p w14:paraId="2C256DA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w:t>
            </w:r>
          </w:p>
        </w:tc>
      </w:tr>
      <w:tr w:rsidR="00A748D0" w:rsidRPr="009F5E32" w14:paraId="580201F2"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1A1F9761"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78-93-3</w:t>
            </w:r>
          </w:p>
        </w:tc>
        <w:tc>
          <w:tcPr>
            <w:tcW w:w="630" w:type="dxa"/>
            <w:tcBorders>
              <w:top w:val="nil"/>
              <w:left w:val="nil"/>
              <w:bottom w:val="single" w:sz="4" w:space="0" w:color="000000"/>
              <w:right w:val="single" w:sz="4" w:space="0" w:color="000000"/>
            </w:tcBorders>
            <w:shd w:val="clear" w:color="auto" w:fill="auto"/>
            <w:hideMark/>
          </w:tcPr>
          <w:p w14:paraId="48FF1996"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7D8575E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hideMark/>
          </w:tcPr>
          <w:p w14:paraId="04099DD4"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7FF87F64"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Methyl ethyl ketone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7B3C141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72.11</w:t>
            </w:r>
          </w:p>
        </w:tc>
        <w:tc>
          <w:tcPr>
            <w:tcW w:w="1080" w:type="dxa"/>
            <w:tcBorders>
              <w:top w:val="nil"/>
              <w:left w:val="nil"/>
              <w:bottom w:val="single" w:sz="4" w:space="0" w:color="000000"/>
              <w:right w:val="single" w:sz="4" w:space="0" w:color="000000"/>
            </w:tcBorders>
            <w:shd w:val="clear" w:color="auto" w:fill="auto"/>
            <w:vAlign w:val="bottom"/>
            <w:hideMark/>
          </w:tcPr>
          <w:p w14:paraId="4ADAAA0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7.090</w:t>
            </w:r>
          </w:p>
        </w:tc>
        <w:tc>
          <w:tcPr>
            <w:tcW w:w="1170" w:type="dxa"/>
            <w:tcBorders>
              <w:top w:val="nil"/>
              <w:left w:val="nil"/>
              <w:bottom w:val="single" w:sz="4" w:space="0" w:color="000000"/>
              <w:right w:val="single" w:sz="4" w:space="0" w:color="000000"/>
            </w:tcBorders>
            <w:shd w:val="clear" w:color="auto" w:fill="auto"/>
            <w:vAlign w:val="bottom"/>
            <w:hideMark/>
          </w:tcPr>
          <w:p w14:paraId="41B92D3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0.00000135</w:t>
            </w:r>
          </w:p>
        </w:tc>
        <w:tc>
          <w:tcPr>
            <w:tcW w:w="990" w:type="dxa"/>
            <w:tcBorders>
              <w:top w:val="nil"/>
              <w:left w:val="nil"/>
              <w:bottom w:val="single" w:sz="4" w:space="0" w:color="000000"/>
              <w:right w:val="single" w:sz="4" w:space="0" w:color="auto"/>
            </w:tcBorders>
            <w:shd w:val="clear" w:color="auto" w:fill="auto"/>
            <w:vAlign w:val="bottom"/>
            <w:hideMark/>
          </w:tcPr>
          <w:p w14:paraId="7807DDE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0.449692</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60D8179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0.067474</w:t>
            </w:r>
          </w:p>
        </w:tc>
        <w:tc>
          <w:tcPr>
            <w:tcW w:w="1350" w:type="dxa"/>
            <w:tcBorders>
              <w:top w:val="nil"/>
              <w:left w:val="nil"/>
              <w:bottom w:val="single" w:sz="4" w:space="0" w:color="000000"/>
              <w:right w:val="double" w:sz="4" w:space="0" w:color="auto"/>
            </w:tcBorders>
            <w:shd w:val="clear" w:color="auto" w:fill="auto"/>
            <w:vAlign w:val="bottom"/>
            <w:hideMark/>
          </w:tcPr>
          <w:p w14:paraId="5D0D083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0.30</w:t>
            </w:r>
          </w:p>
        </w:tc>
      </w:tr>
      <w:tr w:rsidR="00A748D0" w:rsidRPr="009F5E32" w14:paraId="75847FE2"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0118F6F"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108-88-3</w:t>
            </w:r>
          </w:p>
        </w:tc>
        <w:tc>
          <w:tcPr>
            <w:tcW w:w="630" w:type="dxa"/>
            <w:tcBorders>
              <w:top w:val="nil"/>
              <w:left w:val="nil"/>
              <w:bottom w:val="single" w:sz="4" w:space="0" w:color="000000"/>
              <w:right w:val="single" w:sz="4" w:space="0" w:color="000000"/>
            </w:tcBorders>
            <w:shd w:val="clear" w:color="auto" w:fill="auto"/>
            <w:hideMark/>
          </w:tcPr>
          <w:p w14:paraId="1CB86C18"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A17953B"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5C4E156"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0D055F1C"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Toluene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221E77D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92.14</w:t>
            </w:r>
          </w:p>
        </w:tc>
        <w:tc>
          <w:tcPr>
            <w:tcW w:w="1080" w:type="dxa"/>
            <w:tcBorders>
              <w:top w:val="nil"/>
              <w:left w:val="nil"/>
              <w:bottom w:val="single" w:sz="4" w:space="0" w:color="000000"/>
              <w:right w:val="single" w:sz="4" w:space="0" w:color="000000"/>
            </w:tcBorders>
            <w:shd w:val="clear" w:color="auto" w:fill="auto"/>
            <w:vAlign w:val="bottom"/>
            <w:hideMark/>
          </w:tcPr>
          <w:p w14:paraId="05E8FFB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12.5</w:t>
            </w:r>
          </w:p>
        </w:tc>
        <w:tc>
          <w:tcPr>
            <w:tcW w:w="1170" w:type="dxa"/>
            <w:tcBorders>
              <w:top w:val="nil"/>
              <w:left w:val="nil"/>
              <w:bottom w:val="single" w:sz="4" w:space="0" w:color="000000"/>
              <w:right w:val="single" w:sz="4" w:space="0" w:color="000000"/>
            </w:tcBorders>
            <w:shd w:val="clear" w:color="auto" w:fill="auto"/>
            <w:vAlign w:val="bottom"/>
            <w:hideMark/>
          </w:tcPr>
          <w:p w14:paraId="56A73D03"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0.00000304</w:t>
            </w:r>
          </w:p>
        </w:tc>
        <w:tc>
          <w:tcPr>
            <w:tcW w:w="990" w:type="dxa"/>
            <w:tcBorders>
              <w:top w:val="nil"/>
              <w:left w:val="nil"/>
              <w:bottom w:val="single" w:sz="4" w:space="0" w:color="000000"/>
              <w:right w:val="single" w:sz="4" w:space="0" w:color="auto"/>
            </w:tcBorders>
            <w:shd w:val="clear" w:color="auto" w:fill="auto"/>
            <w:vAlign w:val="bottom"/>
            <w:hideMark/>
          </w:tcPr>
          <w:p w14:paraId="68DC900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1.013053</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708D502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0.152004</w:t>
            </w:r>
          </w:p>
        </w:tc>
        <w:tc>
          <w:tcPr>
            <w:tcW w:w="1350" w:type="dxa"/>
            <w:tcBorders>
              <w:top w:val="nil"/>
              <w:left w:val="nil"/>
              <w:bottom w:val="single" w:sz="4" w:space="0" w:color="000000"/>
              <w:right w:val="double" w:sz="4" w:space="0" w:color="auto"/>
            </w:tcBorders>
            <w:shd w:val="clear" w:color="auto" w:fill="auto"/>
            <w:vAlign w:val="bottom"/>
            <w:hideMark/>
          </w:tcPr>
          <w:p w14:paraId="7847CCB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0.67</w:t>
            </w:r>
          </w:p>
        </w:tc>
      </w:tr>
      <w:tr w:rsidR="00A748D0" w:rsidRPr="009F5E32" w14:paraId="7E280634"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772AFC5B"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79-01-6</w:t>
            </w:r>
          </w:p>
        </w:tc>
        <w:tc>
          <w:tcPr>
            <w:tcW w:w="630" w:type="dxa"/>
            <w:tcBorders>
              <w:top w:val="nil"/>
              <w:left w:val="nil"/>
              <w:bottom w:val="single" w:sz="4" w:space="0" w:color="000000"/>
              <w:right w:val="single" w:sz="4" w:space="0" w:color="000000"/>
            </w:tcBorders>
            <w:shd w:val="clear" w:color="auto" w:fill="auto"/>
            <w:hideMark/>
          </w:tcPr>
          <w:p w14:paraId="4720279E"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379CBC47"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12EFCE8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14D1F51F"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Trichloroethylene (Trichloroethene)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55B559F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131.4</w:t>
            </w:r>
          </w:p>
        </w:tc>
        <w:tc>
          <w:tcPr>
            <w:tcW w:w="1080" w:type="dxa"/>
            <w:tcBorders>
              <w:top w:val="nil"/>
              <w:left w:val="nil"/>
              <w:bottom w:val="single" w:sz="4" w:space="0" w:color="000000"/>
              <w:right w:val="single" w:sz="4" w:space="0" w:color="000000"/>
            </w:tcBorders>
            <w:shd w:val="clear" w:color="auto" w:fill="auto"/>
            <w:vAlign w:val="bottom"/>
            <w:hideMark/>
          </w:tcPr>
          <w:p w14:paraId="294918F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0.508</w:t>
            </w:r>
          </w:p>
        </w:tc>
        <w:tc>
          <w:tcPr>
            <w:tcW w:w="1170" w:type="dxa"/>
            <w:tcBorders>
              <w:top w:val="nil"/>
              <w:left w:val="nil"/>
              <w:bottom w:val="single" w:sz="4" w:space="0" w:color="000000"/>
              <w:right w:val="single" w:sz="4" w:space="0" w:color="000000"/>
            </w:tcBorders>
            <w:shd w:val="clear" w:color="auto" w:fill="auto"/>
            <w:vAlign w:val="bottom"/>
            <w:hideMark/>
          </w:tcPr>
          <w:p w14:paraId="744EC8F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0.00000018</w:t>
            </w:r>
          </w:p>
        </w:tc>
        <w:tc>
          <w:tcPr>
            <w:tcW w:w="990" w:type="dxa"/>
            <w:tcBorders>
              <w:top w:val="nil"/>
              <w:left w:val="nil"/>
              <w:bottom w:val="single" w:sz="4" w:space="0" w:color="000000"/>
              <w:right w:val="single" w:sz="4" w:space="0" w:color="auto"/>
            </w:tcBorders>
            <w:shd w:val="clear" w:color="auto" w:fill="auto"/>
            <w:vAlign w:val="bottom"/>
            <w:hideMark/>
          </w:tcPr>
          <w:p w14:paraId="0D7F94E7"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0.058713</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7280232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0.008810</w:t>
            </w:r>
          </w:p>
        </w:tc>
        <w:tc>
          <w:tcPr>
            <w:tcW w:w="1350" w:type="dxa"/>
            <w:tcBorders>
              <w:top w:val="nil"/>
              <w:left w:val="nil"/>
              <w:bottom w:val="single" w:sz="4" w:space="0" w:color="000000"/>
              <w:right w:val="double" w:sz="4" w:space="0" w:color="auto"/>
            </w:tcBorders>
            <w:shd w:val="clear" w:color="auto" w:fill="auto"/>
            <w:vAlign w:val="bottom"/>
            <w:hideMark/>
          </w:tcPr>
          <w:p w14:paraId="38D27D9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0.04</w:t>
            </w:r>
          </w:p>
        </w:tc>
      </w:tr>
      <w:tr w:rsidR="00A748D0" w:rsidRPr="009F5E32" w14:paraId="113C5DAD" w14:textId="77777777" w:rsidTr="00A748D0">
        <w:trPr>
          <w:trHeight w:val="162"/>
        </w:trPr>
        <w:tc>
          <w:tcPr>
            <w:tcW w:w="2055" w:type="dxa"/>
            <w:tcBorders>
              <w:top w:val="nil"/>
              <w:left w:val="double" w:sz="4" w:space="0" w:color="auto"/>
              <w:bottom w:val="single" w:sz="4" w:space="0" w:color="000000"/>
              <w:right w:val="single" w:sz="4" w:space="0" w:color="000000"/>
            </w:tcBorders>
            <w:shd w:val="clear" w:color="auto" w:fill="auto"/>
            <w:hideMark/>
          </w:tcPr>
          <w:p w14:paraId="6082F39F"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color w:val="000000"/>
                <w:sz w:val="14"/>
                <w:szCs w:val="14"/>
              </w:rPr>
              <w:t>75-01-4</w:t>
            </w:r>
          </w:p>
        </w:tc>
        <w:tc>
          <w:tcPr>
            <w:tcW w:w="630" w:type="dxa"/>
            <w:tcBorders>
              <w:top w:val="nil"/>
              <w:left w:val="nil"/>
              <w:bottom w:val="single" w:sz="4" w:space="0" w:color="000000"/>
              <w:right w:val="single" w:sz="4" w:space="0" w:color="000000"/>
            </w:tcBorders>
            <w:shd w:val="clear" w:color="auto" w:fill="auto"/>
            <w:hideMark/>
          </w:tcPr>
          <w:p w14:paraId="1AC908FC"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2D6A667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hideMark/>
          </w:tcPr>
          <w:p w14:paraId="65E8CE0C"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single" w:sz="4" w:space="0" w:color="000000"/>
              <w:right w:val="nil"/>
            </w:tcBorders>
            <w:shd w:val="clear" w:color="auto" w:fill="auto"/>
            <w:hideMark/>
          </w:tcPr>
          <w:p w14:paraId="2F3589C3"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Vinyl chloride</w:t>
            </w:r>
          </w:p>
        </w:tc>
        <w:tc>
          <w:tcPr>
            <w:tcW w:w="900" w:type="dxa"/>
            <w:tcBorders>
              <w:top w:val="nil"/>
              <w:left w:val="double" w:sz="6" w:space="0" w:color="000000"/>
              <w:bottom w:val="single" w:sz="4" w:space="0" w:color="000000"/>
              <w:right w:val="single" w:sz="4" w:space="0" w:color="000000"/>
            </w:tcBorders>
            <w:shd w:val="clear" w:color="auto" w:fill="auto"/>
            <w:vAlign w:val="bottom"/>
            <w:hideMark/>
          </w:tcPr>
          <w:p w14:paraId="33F2CACB"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62.50</w:t>
            </w:r>
          </w:p>
        </w:tc>
        <w:tc>
          <w:tcPr>
            <w:tcW w:w="1080" w:type="dxa"/>
            <w:tcBorders>
              <w:top w:val="nil"/>
              <w:left w:val="nil"/>
              <w:bottom w:val="single" w:sz="4" w:space="0" w:color="000000"/>
              <w:right w:val="single" w:sz="4" w:space="0" w:color="000000"/>
            </w:tcBorders>
            <w:shd w:val="clear" w:color="auto" w:fill="auto"/>
            <w:vAlign w:val="bottom"/>
            <w:hideMark/>
          </w:tcPr>
          <w:p w14:paraId="045A962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0.376</w:t>
            </w:r>
          </w:p>
        </w:tc>
        <w:tc>
          <w:tcPr>
            <w:tcW w:w="1170" w:type="dxa"/>
            <w:tcBorders>
              <w:top w:val="nil"/>
              <w:left w:val="nil"/>
              <w:bottom w:val="single" w:sz="4" w:space="0" w:color="000000"/>
              <w:right w:val="single" w:sz="4" w:space="0" w:color="000000"/>
            </w:tcBorders>
            <w:shd w:val="clear" w:color="auto" w:fill="auto"/>
            <w:vAlign w:val="bottom"/>
            <w:hideMark/>
          </w:tcPr>
          <w:p w14:paraId="223E354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0.00000006</w:t>
            </w:r>
          </w:p>
        </w:tc>
        <w:tc>
          <w:tcPr>
            <w:tcW w:w="990" w:type="dxa"/>
            <w:tcBorders>
              <w:top w:val="nil"/>
              <w:left w:val="nil"/>
              <w:bottom w:val="single" w:sz="4" w:space="0" w:color="000000"/>
              <w:right w:val="single" w:sz="4" w:space="0" w:color="auto"/>
            </w:tcBorders>
            <w:shd w:val="clear" w:color="auto" w:fill="auto"/>
            <w:vAlign w:val="bottom"/>
            <w:hideMark/>
          </w:tcPr>
          <w:p w14:paraId="478F7F1F"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0.020670</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670CB24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0.003101</w:t>
            </w:r>
          </w:p>
        </w:tc>
        <w:tc>
          <w:tcPr>
            <w:tcW w:w="1350" w:type="dxa"/>
            <w:tcBorders>
              <w:top w:val="nil"/>
              <w:left w:val="nil"/>
              <w:bottom w:val="single" w:sz="4" w:space="0" w:color="000000"/>
              <w:right w:val="double" w:sz="4" w:space="0" w:color="auto"/>
            </w:tcBorders>
            <w:shd w:val="clear" w:color="auto" w:fill="auto"/>
            <w:vAlign w:val="bottom"/>
            <w:hideMark/>
          </w:tcPr>
          <w:p w14:paraId="6D20752E"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0.01</w:t>
            </w:r>
          </w:p>
        </w:tc>
      </w:tr>
      <w:tr w:rsidR="00A748D0" w:rsidRPr="009F5E32" w14:paraId="07546442" w14:textId="77777777" w:rsidTr="00A748D0">
        <w:trPr>
          <w:trHeight w:val="170"/>
        </w:trPr>
        <w:tc>
          <w:tcPr>
            <w:tcW w:w="2055" w:type="dxa"/>
            <w:tcBorders>
              <w:top w:val="nil"/>
              <w:left w:val="double" w:sz="4" w:space="0" w:color="auto"/>
              <w:bottom w:val="double" w:sz="6" w:space="0" w:color="000000"/>
              <w:right w:val="single" w:sz="4" w:space="0" w:color="000000"/>
            </w:tcBorders>
            <w:shd w:val="clear" w:color="auto" w:fill="auto"/>
            <w:hideMark/>
          </w:tcPr>
          <w:p w14:paraId="53E261FB" w14:textId="77777777" w:rsidR="00A748D0" w:rsidRPr="005A5A0B" w:rsidRDefault="00A748D0" w:rsidP="00A748D0">
            <w:pPr>
              <w:widowControl/>
              <w:autoSpaceDE/>
              <w:autoSpaceDN/>
              <w:adjustRightInd/>
              <w:ind w:left="0" w:firstLine="0"/>
              <w:jc w:val="left"/>
              <w:rPr>
                <w:rFonts w:cs="Arial"/>
                <w:sz w:val="14"/>
                <w:szCs w:val="14"/>
              </w:rPr>
            </w:pPr>
            <w:r w:rsidRPr="005A5A0B">
              <w:rPr>
                <w:rFonts w:cs="Arial"/>
                <w:sz w:val="14"/>
                <w:szCs w:val="14"/>
              </w:rPr>
              <w:t>108-38-3 / 106-42-3 / 95-47-6</w:t>
            </w:r>
          </w:p>
        </w:tc>
        <w:tc>
          <w:tcPr>
            <w:tcW w:w="630" w:type="dxa"/>
            <w:tcBorders>
              <w:top w:val="nil"/>
              <w:left w:val="nil"/>
              <w:bottom w:val="double" w:sz="6" w:space="0" w:color="000000"/>
              <w:right w:val="single" w:sz="4" w:space="0" w:color="000000"/>
            </w:tcBorders>
            <w:shd w:val="clear" w:color="auto" w:fill="auto"/>
            <w:vAlign w:val="bottom"/>
            <w:hideMark/>
          </w:tcPr>
          <w:p w14:paraId="2ED5B380"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double" w:sz="6" w:space="0" w:color="000000"/>
              <w:right w:val="single" w:sz="4" w:space="0" w:color="000000"/>
            </w:tcBorders>
            <w:shd w:val="clear" w:color="auto" w:fill="auto"/>
            <w:vAlign w:val="bottom"/>
            <w:hideMark/>
          </w:tcPr>
          <w:p w14:paraId="5753FCC1"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630" w:type="dxa"/>
            <w:tcBorders>
              <w:top w:val="nil"/>
              <w:left w:val="nil"/>
              <w:bottom w:val="double" w:sz="6" w:space="0" w:color="000000"/>
              <w:right w:val="single" w:sz="4" w:space="0" w:color="000000"/>
            </w:tcBorders>
            <w:shd w:val="clear" w:color="auto" w:fill="auto"/>
            <w:vAlign w:val="bottom"/>
            <w:hideMark/>
          </w:tcPr>
          <w:p w14:paraId="4C146E5A" w14:textId="77777777" w:rsidR="00A748D0" w:rsidRPr="005A5A0B" w:rsidRDefault="00A748D0" w:rsidP="00A748D0">
            <w:pPr>
              <w:widowControl/>
              <w:autoSpaceDE/>
              <w:autoSpaceDN/>
              <w:adjustRightInd/>
              <w:ind w:left="0" w:firstLine="0"/>
              <w:jc w:val="center"/>
              <w:rPr>
                <w:rFonts w:cs="Arial"/>
                <w:color w:val="000000"/>
                <w:sz w:val="14"/>
                <w:szCs w:val="14"/>
              </w:rPr>
            </w:pPr>
            <w:r w:rsidRPr="005A5A0B">
              <w:rPr>
                <w:rFonts w:cs="Arial"/>
                <w:color w:val="000000"/>
                <w:sz w:val="14"/>
                <w:szCs w:val="14"/>
              </w:rPr>
              <w:t>Y</w:t>
            </w:r>
          </w:p>
        </w:tc>
        <w:tc>
          <w:tcPr>
            <w:tcW w:w="4590" w:type="dxa"/>
            <w:tcBorders>
              <w:top w:val="single" w:sz="4" w:space="0" w:color="000000"/>
              <w:left w:val="nil"/>
              <w:bottom w:val="double" w:sz="6" w:space="0" w:color="000000"/>
              <w:right w:val="nil"/>
            </w:tcBorders>
            <w:shd w:val="clear" w:color="auto" w:fill="auto"/>
            <w:vAlign w:val="bottom"/>
            <w:hideMark/>
          </w:tcPr>
          <w:p w14:paraId="46DA3E4C" w14:textId="77777777" w:rsidR="00A748D0" w:rsidRPr="005A5A0B" w:rsidRDefault="00A748D0" w:rsidP="00A748D0">
            <w:pPr>
              <w:widowControl/>
              <w:autoSpaceDE/>
              <w:autoSpaceDN/>
              <w:adjustRightInd/>
              <w:ind w:left="0" w:firstLine="0"/>
              <w:jc w:val="left"/>
              <w:rPr>
                <w:rFonts w:cs="Arial"/>
                <w:color w:val="000000"/>
                <w:sz w:val="14"/>
                <w:szCs w:val="14"/>
              </w:rPr>
            </w:pPr>
            <w:r w:rsidRPr="005A5A0B">
              <w:rPr>
                <w:rFonts w:cs="Arial"/>
                <w:sz w:val="14"/>
                <w:szCs w:val="14"/>
              </w:rPr>
              <w:t>Xylenes</w:t>
            </w:r>
          </w:p>
        </w:tc>
        <w:tc>
          <w:tcPr>
            <w:tcW w:w="900" w:type="dxa"/>
            <w:tcBorders>
              <w:top w:val="nil"/>
              <w:left w:val="double" w:sz="6" w:space="0" w:color="000000"/>
              <w:bottom w:val="double" w:sz="6" w:space="0" w:color="000000"/>
              <w:right w:val="single" w:sz="4" w:space="0" w:color="000000"/>
            </w:tcBorders>
            <w:shd w:val="clear" w:color="auto" w:fill="auto"/>
            <w:vAlign w:val="bottom"/>
            <w:hideMark/>
          </w:tcPr>
          <w:p w14:paraId="3D94CE04"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106.16</w:t>
            </w:r>
          </w:p>
        </w:tc>
        <w:tc>
          <w:tcPr>
            <w:tcW w:w="1080" w:type="dxa"/>
            <w:tcBorders>
              <w:top w:val="nil"/>
              <w:left w:val="nil"/>
              <w:bottom w:val="double" w:sz="6" w:space="0" w:color="000000"/>
              <w:right w:val="single" w:sz="4" w:space="0" w:color="000000"/>
            </w:tcBorders>
            <w:shd w:val="clear" w:color="auto" w:fill="auto"/>
            <w:vAlign w:val="bottom"/>
            <w:hideMark/>
          </w:tcPr>
          <w:p w14:paraId="10B0323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2.82</w:t>
            </w:r>
          </w:p>
        </w:tc>
        <w:tc>
          <w:tcPr>
            <w:tcW w:w="1170" w:type="dxa"/>
            <w:tcBorders>
              <w:top w:val="nil"/>
              <w:left w:val="nil"/>
              <w:bottom w:val="double" w:sz="6" w:space="0" w:color="000000"/>
              <w:right w:val="single" w:sz="4" w:space="0" w:color="000000"/>
            </w:tcBorders>
            <w:shd w:val="clear" w:color="auto" w:fill="auto"/>
            <w:vAlign w:val="bottom"/>
            <w:hideMark/>
          </w:tcPr>
          <w:p w14:paraId="52833BC0"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0.00000079</w:t>
            </w:r>
          </w:p>
        </w:tc>
        <w:tc>
          <w:tcPr>
            <w:tcW w:w="990" w:type="dxa"/>
            <w:tcBorders>
              <w:top w:val="nil"/>
              <w:left w:val="nil"/>
              <w:bottom w:val="double" w:sz="6" w:space="0" w:color="000000"/>
              <w:right w:val="single" w:sz="4" w:space="0" w:color="auto"/>
            </w:tcBorders>
            <w:shd w:val="clear" w:color="auto" w:fill="auto"/>
            <w:vAlign w:val="bottom"/>
            <w:hideMark/>
          </w:tcPr>
          <w:p w14:paraId="0F98117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0.263320</w:t>
            </w:r>
          </w:p>
        </w:tc>
        <w:tc>
          <w:tcPr>
            <w:tcW w:w="990" w:type="dxa"/>
            <w:tcBorders>
              <w:top w:val="nil"/>
              <w:left w:val="single" w:sz="4" w:space="0" w:color="auto"/>
              <w:bottom w:val="double" w:sz="6" w:space="0" w:color="000000"/>
              <w:right w:val="single" w:sz="4" w:space="0" w:color="000000"/>
            </w:tcBorders>
            <w:shd w:val="clear" w:color="auto" w:fill="auto"/>
            <w:vAlign w:val="bottom"/>
            <w:hideMark/>
          </w:tcPr>
          <w:p w14:paraId="57E1C39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0.039510</w:t>
            </w:r>
          </w:p>
        </w:tc>
        <w:tc>
          <w:tcPr>
            <w:tcW w:w="1350" w:type="dxa"/>
            <w:tcBorders>
              <w:top w:val="nil"/>
              <w:left w:val="nil"/>
              <w:bottom w:val="single" w:sz="4" w:space="0" w:color="000000"/>
              <w:right w:val="double" w:sz="4" w:space="0" w:color="auto"/>
            </w:tcBorders>
            <w:shd w:val="clear" w:color="auto" w:fill="auto"/>
            <w:vAlign w:val="bottom"/>
            <w:hideMark/>
          </w:tcPr>
          <w:p w14:paraId="0B1A344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0.17</w:t>
            </w:r>
          </w:p>
        </w:tc>
      </w:tr>
      <w:tr w:rsidR="00A748D0" w:rsidRPr="009F5E32" w14:paraId="2A6F84CC" w14:textId="77777777" w:rsidTr="00A748D0">
        <w:trPr>
          <w:trHeight w:val="180"/>
        </w:trPr>
        <w:tc>
          <w:tcPr>
            <w:tcW w:w="8535" w:type="dxa"/>
            <w:gridSpan w:val="5"/>
            <w:tcBorders>
              <w:top w:val="double" w:sz="6" w:space="0" w:color="000000"/>
              <w:left w:val="double" w:sz="4" w:space="0" w:color="auto"/>
              <w:bottom w:val="single" w:sz="4" w:space="0" w:color="000000"/>
              <w:right w:val="double" w:sz="6" w:space="0" w:color="000000"/>
            </w:tcBorders>
            <w:shd w:val="clear" w:color="auto" w:fill="auto"/>
            <w:vAlign w:val="bottom"/>
            <w:hideMark/>
          </w:tcPr>
          <w:p w14:paraId="4B96F0FF" w14:textId="77777777" w:rsidR="00A748D0" w:rsidRPr="005A5A0B" w:rsidRDefault="00A748D0" w:rsidP="00A748D0">
            <w:pPr>
              <w:widowControl/>
              <w:autoSpaceDE/>
              <w:autoSpaceDN/>
              <w:adjustRightInd/>
              <w:ind w:left="0" w:firstLine="0"/>
              <w:jc w:val="right"/>
              <w:rPr>
                <w:rFonts w:cs="Arial"/>
                <w:b/>
                <w:bCs/>
                <w:color w:val="000000"/>
                <w:sz w:val="14"/>
                <w:szCs w:val="14"/>
              </w:rPr>
            </w:pPr>
            <w:r w:rsidRPr="005A5A0B">
              <w:rPr>
                <w:rFonts w:cs="Arial"/>
                <w:b/>
                <w:bCs/>
                <w:color w:val="000000"/>
                <w:sz w:val="14"/>
                <w:szCs w:val="14"/>
              </w:rPr>
              <w:t>Total Quantified NMOCs</w:t>
            </w:r>
          </w:p>
        </w:tc>
        <w:tc>
          <w:tcPr>
            <w:tcW w:w="900" w:type="dxa"/>
            <w:tcBorders>
              <w:top w:val="nil"/>
              <w:left w:val="nil"/>
              <w:bottom w:val="nil"/>
              <w:right w:val="nil"/>
            </w:tcBorders>
            <w:shd w:val="clear" w:color="auto" w:fill="auto"/>
            <w:vAlign w:val="bottom"/>
          </w:tcPr>
          <w:p w14:paraId="78A8493D"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080" w:type="dxa"/>
            <w:tcBorders>
              <w:top w:val="nil"/>
              <w:left w:val="nil"/>
              <w:bottom w:val="nil"/>
              <w:right w:val="nil"/>
            </w:tcBorders>
            <w:shd w:val="clear" w:color="auto" w:fill="auto"/>
            <w:vAlign w:val="bottom"/>
          </w:tcPr>
          <w:p w14:paraId="6B0EAADC"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170" w:type="dxa"/>
            <w:tcBorders>
              <w:top w:val="nil"/>
              <w:left w:val="single" w:sz="4" w:space="0" w:color="000000"/>
              <w:bottom w:val="nil"/>
              <w:right w:val="single" w:sz="4" w:space="0" w:color="000000"/>
            </w:tcBorders>
            <w:shd w:val="clear" w:color="auto" w:fill="auto"/>
            <w:vAlign w:val="bottom"/>
            <w:hideMark/>
          </w:tcPr>
          <w:p w14:paraId="2CBDA3F2"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0.0000542</w:t>
            </w:r>
          </w:p>
        </w:tc>
        <w:tc>
          <w:tcPr>
            <w:tcW w:w="990" w:type="dxa"/>
            <w:tcBorders>
              <w:top w:val="nil"/>
              <w:left w:val="nil"/>
              <w:bottom w:val="nil"/>
              <w:right w:val="single" w:sz="4" w:space="0" w:color="auto"/>
            </w:tcBorders>
            <w:shd w:val="clear" w:color="auto" w:fill="auto"/>
            <w:vAlign w:val="bottom"/>
            <w:hideMark/>
          </w:tcPr>
          <w:p w14:paraId="024755A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18.03</w:t>
            </w:r>
          </w:p>
        </w:tc>
        <w:tc>
          <w:tcPr>
            <w:tcW w:w="990" w:type="dxa"/>
            <w:tcBorders>
              <w:top w:val="nil"/>
              <w:left w:val="single" w:sz="4" w:space="0" w:color="auto"/>
              <w:bottom w:val="nil"/>
              <w:right w:val="single" w:sz="4" w:space="0" w:color="000000"/>
            </w:tcBorders>
            <w:shd w:val="clear" w:color="auto" w:fill="auto"/>
            <w:vAlign w:val="bottom"/>
            <w:hideMark/>
          </w:tcPr>
          <w:p w14:paraId="05ADC03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2.71</w:t>
            </w:r>
          </w:p>
        </w:tc>
        <w:tc>
          <w:tcPr>
            <w:tcW w:w="1350" w:type="dxa"/>
            <w:tcBorders>
              <w:top w:val="nil"/>
              <w:left w:val="nil"/>
              <w:bottom w:val="nil"/>
              <w:right w:val="double" w:sz="4" w:space="0" w:color="auto"/>
            </w:tcBorders>
            <w:shd w:val="clear" w:color="auto" w:fill="auto"/>
            <w:vAlign w:val="bottom"/>
            <w:hideMark/>
          </w:tcPr>
          <w:p w14:paraId="75B48C19"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11.85</w:t>
            </w:r>
          </w:p>
        </w:tc>
      </w:tr>
      <w:tr w:rsidR="00A748D0" w:rsidRPr="009F5E32" w14:paraId="39E9533B" w14:textId="77777777" w:rsidTr="00A748D0">
        <w:trPr>
          <w:trHeight w:val="180"/>
        </w:trPr>
        <w:tc>
          <w:tcPr>
            <w:tcW w:w="8535" w:type="dxa"/>
            <w:gridSpan w:val="5"/>
            <w:tcBorders>
              <w:top w:val="single" w:sz="4" w:space="0" w:color="000000"/>
              <w:left w:val="double" w:sz="4" w:space="0" w:color="auto"/>
              <w:bottom w:val="single" w:sz="4" w:space="0" w:color="000000"/>
              <w:right w:val="double" w:sz="6" w:space="0" w:color="000000"/>
            </w:tcBorders>
            <w:shd w:val="clear" w:color="auto" w:fill="auto"/>
            <w:vAlign w:val="bottom"/>
            <w:hideMark/>
          </w:tcPr>
          <w:p w14:paraId="13465C0E" w14:textId="77777777" w:rsidR="00A748D0" w:rsidRPr="005A5A0B" w:rsidRDefault="00A748D0" w:rsidP="00A748D0">
            <w:pPr>
              <w:widowControl/>
              <w:autoSpaceDE/>
              <w:autoSpaceDN/>
              <w:adjustRightInd/>
              <w:ind w:left="0" w:firstLine="0"/>
              <w:jc w:val="right"/>
              <w:rPr>
                <w:rFonts w:cs="Arial"/>
                <w:b/>
                <w:bCs/>
                <w:sz w:val="14"/>
                <w:szCs w:val="14"/>
              </w:rPr>
            </w:pPr>
            <w:r w:rsidRPr="005A5A0B">
              <w:rPr>
                <w:rFonts w:cs="Arial"/>
                <w:b/>
                <w:bCs/>
                <w:sz w:val="14"/>
                <w:szCs w:val="14"/>
              </w:rPr>
              <w:t>Total Quantified VOCs</w:t>
            </w:r>
          </w:p>
        </w:tc>
        <w:tc>
          <w:tcPr>
            <w:tcW w:w="900" w:type="dxa"/>
            <w:tcBorders>
              <w:top w:val="single" w:sz="4" w:space="0" w:color="000000"/>
              <w:left w:val="nil"/>
              <w:bottom w:val="single" w:sz="4" w:space="0" w:color="000000"/>
              <w:right w:val="nil"/>
            </w:tcBorders>
            <w:shd w:val="clear" w:color="auto" w:fill="auto"/>
            <w:vAlign w:val="bottom"/>
          </w:tcPr>
          <w:p w14:paraId="0D4645AD"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080" w:type="dxa"/>
            <w:tcBorders>
              <w:top w:val="single" w:sz="4" w:space="0" w:color="000000"/>
              <w:left w:val="nil"/>
              <w:bottom w:val="single" w:sz="4" w:space="0" w:color="000000"/>
              <w:right w:val="nil"/>
            </w:tcBorders>
            <w:shd w:val="clear" w:color="auto" w:fill="auto"/>
            <w:vAlign w:val="bottom"/>
          </w:tcPr>
          <w:p w14:paraId="5BEBC75A"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4BA8CD"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0.0000116</w:t>
            </w:r>
          </w:p>
        </w:tc>
        <w:tc>
          <w:tcPr>
            <w:tcW w:w="990" w:type="dxa"/>
            <w:tcBorders>
              <w:top w:val="single" w:sz="4" w:space="0" w:color="000000"/>
              <w:left w:val="nil"/>
              <w:bottom w:val="single" w:sz="4" w:space="0" w:color="000000"/>
              <w:right w:val="single" w:sz="4" w:space="0" w:color="auto"/>
            </w:tcBorders>
            <w:shd w:val="clear" w:color="auto" w:fill="auto"/>
            <w:vAlign w:val="bottom"/>
            <w:hideMark/>
          </w:tcPr>
          <w:p w14:paraId="1497A9E6"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3.84</w:t>
            </w:r>
          </w:p>
        </w:tc>
        <w:tc>
          <w:tcPr>
            <w:tcW w:w="990"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195DA5EA"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0.58</w:t>
            </w:r>
          </w:p>
        </w:tc>
        <w:tc>
          <w:tcPr>
            <w:tcW w:w="1350" w:type="dxa"/>
            <w:tcBorders>
              <w:top w:val="single" w:sz="4" w:space="0" w:color="000000"/>
              <w:left w:val="nil"/>
              <w:bottom w:val="single" w:sz="4" w:space="0" w:color="000000"/>
              <w:right w:val="double" w:sz="4" w:space="0" w:color="auto"/>
            </w:tcBorders>
            <w:shd w:val="clear" w:color="auto" w:fill="auto"/>
            <w:vAlign w:val="bottom"/>
            <w:hideMark/>
          </w:tcPr>
          <w:p w14:paraId="38B2AED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2.53</w:t>
            </w:r>
          </w:p>
        </w:tc>
      </w:tr>
      <w:tr w:rsidR="00A748D0" w:rsidRPr="009F5E32" w14:paraId="070C7BEA" w14:textId="77777777" w:rsidTr="00A748D0">
        <w:trPr>
          <w:trHeight w:val="180"/>
        </w:trPr>
        <w:tc>
          <w:tcPr>
            <w:tcW w:w="8535" w:type="dxa"/>
            <w:gridSpan w:val="5"/>
            <w:tcBorders>
              <w:top w:val="single" w:sz="4" w:space="0" w:color="000000"/>
              <w:left w:val="double" w:sz="4" w:space="0" w:color="auto"/>
              <w:bottom w:val="single" w:sz="4" w:space="0" w:color="000000"/>
              <w:right w:val="double" w:sz="6" w:space="0" w:color="000000"/>
            </w:tcBorders>
            <w:shd w:val="clear" w:color="auto" w:fill="auto"/>
            <w:vAlign w:val="bottom"/>
            <w:hideMark/>
          </w:tcPr>
          <w:p w14:paraId="472AC6F7" w14:textId="77777777" w:rsidR="00A748D0" w:rsidRPr="005A5A0B" w:rsidRDefault="00A748D0" w:rsidP="00A748D0">
            <w:pPr>
              <w:widowControl/>
              <w:autoSpaceDE/>
              <w:autoSpaceDN/>
              <w:adjustRightInd/>
              <w:ind w:left="0" w:firstLine="0"/>
              <w:jc w:val="right"/>
              <w:rPr>
                <w:rFonts w:cs="Arial"/>
                <w:b/>
                <w:bCs/>
                <w:sz w:val="14"/>
                <w:szCs w:val="14"/>
              </w:rPr>
            </w:pPr>
            <w:r w:rsidRPr="005A5A0B">
              <w:rPr>
                <w:rFonts w:cs="Arial"/>
                <w:b/>
                <w:bCs/>
                <w:sz w:val="14"/>
                <w:szCs w:val="14"/>
              </w:rPr>
              <w:t xml:space="preserve">Total Quantified HAPs </w:t>
            </w:r>
          </w:p>
        </w:tc>
        <w:tc>
          <w:tcPr>
            <w:tcW w:w="900" w:type="dxa"/>
            <w:tcBorders>
              <w:top w:val="nil"/>
              <w:left w:val="nil"/>
              <w:bottom w:val="nil"/>
              <w:right w:val="nil"/>
            </w:tcBorders>
            <w:shd w:val="clear" w:color="auto" w:fill="auto"/>
            <w:vAlign w:val="bottom"/>
          </w:tcPr>
          <w:p w14:paraId="4F1FC4FA"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080" w:type="dxa"/>
            <w:tcBorders>
              <w:top w:val="nil"/>
              <w:left w:val="nil"/>
              <w:bottom w:val="nil"/>
              <w:right w:val="nil"/>
            </w:tcBorders>
            <w:shd w:val="clear" w:color="auto" w:fill="auto"/>
            <w:vAlign w:val="bottom"/>
          </w:tcPr>
          <w:p w14:paraId="10D47D18" w14:textId="77777777" w:rsidR="00A748D0" w:rsidRPr="005A5A0B" w:rsidRDefault="00A748D0" w:rsidP="00A748D0">
            <w:pPr>
              <w:widowControl/>
              <w:autoSpaceDE/>
              <w:autoSpaceDN/>
              <w:adjustRightInd/>
              <w:ind w:left="0" w:firstLine="0"/>
              <w:jc w:val="right"/>
              <w:rPr>
                <w:rFonts w:cs="Arial"/>
                <w:color w:val="000000"/>
                <w:sz w:val="14"/>
                <w:szCs w:val="14"/>
              </w:rPr>
            </w:pPr>
          </w:p>
        </w:tc>
        <w:tc>
          <w:tcPr>
            <w:tcW w:w="1170" w:type="dxa"/>
            <w:tcBorders>
              <w:top w:val="nil"/>
              <w:left w:val="single" w:sz="4" w:space="0" w:color="000000"/>
              <w:bottom w:val="nil"/>
              <w:right w:val="single" w:sz="4" w:space="0" w:color="000000"/>
            </w:tcBorders>
            <w:shd w:val="clear" w:color="auto" w:fill="auto"/>
            <w:vAlign w:val="bottom"/>
            <w:hideMark/>
          </w:tcPr>
          <w:p w14:paraId="42CFC621"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0.0000173</w:t>
            </w:r>
          </w:p>
        </w:tc>
        <w:tc>
          <w:tcPr>
            <w:tcW w:w="990" w:type="dxa"/>
            <w:tcBorders>
              <w:top w:val="nil"/>
              <w:left w:val="nil"/>
              <w:bottom w:val="single" w:sz="4" w:space="0" w:color="000000"/>
              <w:right w:val="single" w:sz="4" w:space="0" w:color="auto"/>
            </w:tcBorders>
            <w:shd w:val="clear" w:color="auto" w:fill="auto"/>
            <w:vAlign w:val="bottom"/>
            <w:hideMark/>
          </w:tcPr>
          <w:p w14:paraId="37F0B39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5.74</w:t>
            </w:r>
          </w:p>
        </w:tc>
        <w:tc>
          <w:tcPr>
            <w:tcW w:w="990" w:type="dxa"/>
            <w:tcBorders>
              <w:top w:val="nil"/>
              <w:left w:val="single" w:sz="4" w:space="0" w:color="auto"/>
              <w:bottom w:val="single" w:sz="4" w:space="0" w:color="000000"/>
              <w:right w:val="single" w:sz="4" w:space="0" w:color="000000"/>
            </w:tcBorders>
            <w:shd w:val="clear" w:color="auto" w:fill="auto"/>
            <w:vAlign w:val="bottom"/>
            <w:hideMark/>
          </w:tcPr>
          <w:p w14:paraId="2827366C"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0.86</w:t>
            </w:r>
          </w:p>
        </w:tc>
        <w:tc>
          <w:tcPr>
            <w:tcW w:w="1350" w:type="dxa"/>
            <w:tcBorders>
              <w:top w:val="nil"/>
              <w:left w:val="double" w:sz="6" w:space="0" w:color="000000"/>
              <w:bottom w:val="single" w:sz="4" w:space="0" w:color="000000"/>
              <w:right w:val="double" w:sz="4" w:space="0" w:color="auto"/>
            </w:tcBorders>
            <w:shd w:val="clear" w:color="auto" w:fill="auto"/>
            <w:vAlign w:val="bottom"/>
            <w:hideMark/>
          </w:tcPr>
          <w:p w14:paraId="035FA368" w14:textId="77777777" w:rsidR="00A748D0" w:rsidRPr="005A5A0B" w:rsidRDefault="00A748D0" w:rsidP="00A748D0">
            <w:pPr>
              <w:widowControl/>
              <w:autoSpaceDE/>
              <w:autoSpaceDN/>
              <w:adjustRightInd/>
              <w:ind w:left="0" w:firstLine="0"/>
              <w:jc w:val="right"/>
              <w:rPr>
                <w:rFonts w:cs="Arial"/>
                <w:color w:val="000000"/>
                <w:sz w:val="14"/>
                <w:szCs w:val="14"/>
              </w:rPr>
            </w:pPr>
            <w:r w:rsidRPr="005A5A0B">
              <w:rPr>
                <w:rFonts w:cs="Arial"/>
                <w:color w:val="000000"/>
                <w:sz w:val="14"/>
                <w:szCs w:val="14"/>
              </w:rPr>
              <w:t>3.77</w:t>
            </w:r>
          </w:p>
        </w:tc>
      </w:tr>
      <w:tr w:rsidR="00A748D0" w:rsidRPr="009F5E32" w14:paraId="7AFDE347" w14:textId="77777777" w:rsidTr="00AD0FAE">
        <w:trPr>
          <w:trHeight w:val="242"/>
        </w:trPr>
        <w:tc>
          <w:tcPr>
            <w:tcW w:w="8535" w:type="dxa"/>
            <w:gridSpan w:val="5"/>
            <w:tcBorders>
              <w:top w:val="single" w:sz="4" w:space="0" w:color="000000"/>
              <w:left w:val="double" w:sz="4" w:space="0" w:color="auto"/>
              <w:bottom w:val="double" w:sz="4" w:space="0" w:color="auto"/>
              <w:right w:val="double" w:sz="6" w:space="0" w:color="000000"/>
            </w:tcBorders>
            <w:shd w:val="clear" w:color="auto" w:fill="auto"/>
            <w:vAlign w:val="center"/>
            <w:hideMark/>
          </w:tcPr>
          <w:p w14:paraId="04FA7D27" w14:textId="77777777" w:rsidR="00A748D0" w:rsidRPr="005A5A0B" w:rsidRDefault="00A748D0" w:rsidP="00AD0FAE">
            <w:pPr>
              <w:widowControl/>
              <w:autoSpaceDE/>
              <w:autoSpaceDN/>
              <w:adjustRightInd/>
              <w:ind w:left="0" w:firstLine="0"/>
              <w:jc w:val="right"/>
              <w:rPr>
                <w:rFonts w:cs="Arial"/>
                <w:b/>
                <w:bCs/>
                <w:sz w:val="14"/>
                <w:szCs w:val="14"/>
              </w:rPr>
            </w:pPr>
            <w:r w:rsidRPr="005A5A0B">
              <w:rPr>
                <w:rFonts w:cs="Arial"/>
                <w:b/>
                <w:bCs/>
                <w:sz w:val="14"/>
                <w:szCs w:val="14"/>
              </w:rPr>
              <w:t>Total Quantified HACs</w:t>
            </w:r>
          </w:p>
        </w:tc>
        <w:tc>
          <w:tcPr>
            <w:tcW w:w="1980" w:type="dxa"/>
            <w:gridSpan w:val="2"/>
            <w:tcBorders>
              <w:top w:val="single" w:sz="4" w:space="0" w:color="000000"/>
              <w:left w:val="nil"/>
              <w:bottom w:val="double" w:sz="4" w:space="0" w:color="auto"/>
              <w:right w:val="nil"/>
            </w:tcBorders>
            <w:shd w:val="clear" w:color="auto" w:fill="auto"/>
            <w:vAlign w:val="center"/>
          </w:tcPr>
          <w:p w14:paraId="189FFD0A" w14:textId="77777777" w:rsidR="00A748D0" w:rsidRPr="005A5A0B" w:rsidRDefault="00A748D0" w:rsidP="00AD0FAE">
            <w:pPr>
              <w:widowControl/>
              <w:autoSpaceDE/>
              <w:autoSpaceDN/>
              <w:adjustRightInd/>
              <w:ind w:left="0" w:firstLine="0"/>
              <w:jc w:val="right"/>
              <w:rPr>
                <w:rFonts w:cs="Arial"/>
                <w:b/>
                <w:bCs/>
                <w:color w:val="000000"/>
                <w:sz w:val="14"/>
                <w:szCs w:val="14"/>
              </w:rPr>
            </w:pPr>
          </w:p>
        </w:tc>
        <w:tc>
          <w:tcPr>
            <w:tcW w:w="1170" w:type="dxa"/>
            <w:tcBorders>
              <w:top w:val="single" w:sz="4" w:space="0" w:color="000000"/>
              <w:left w:val="single" w:sz="4" w:space="0" w:color="000000"/>
              <w:bottom w:val="double" w:sz="4" w:space="0" w:color="auto"/>
              <w:right w:val="single" w:sz="4" w:space="0" w:color="000000"/>
            </w:tcBorders>
            <w:shd w:val="clear" w:color="auto" w:fill="auto"/>
            <w:vAlign w:val="center"/>
            <w:hideMark/>
          </w:tcPr>
          <w:p w14:paraId="4CBB2121" w14:textId="77777777" w:rsidR="00A748D0" w:rsidRPr="005A5A0B" w:rsidRDefault="00A748D0" w:rsidP="00AD0FAE">
            <w:pPr>
              <w:widowControl/>
              <w:autoSpaceDE/>
              <w:autoSpaceDN/>
              <w:adjustRightInd/>
              <w:ind w:left="0" w:firstLine="0"/>
              <w:jc w:val="right"/>
              <w:rPr>
                <w:rFonts w:cs="Arial"/>
                <w:color w:val="000000"/>
                <w:sz w:val="14"/>
                <w:szCs w:val="14"/>
              </w:rPr>
            </w:pPr>
            <w:r w:rsidRPr="005A5A0B">
              <w:rPr>
                <w:rFonts w:cs="Arial"/>
                <w:color w:val="000000"/>
                <w:sz w:val="14"/>
                <w:szCs w:val="14"/>
              </w:rPr>
              <w:t>0.0000538</w:t>
            </w:r>
          </w:p>
        </w:tc>
        <w:tc>
          <w:tcPr>
            <w:tcW w:w="990" w:type="dxa"/>
            <w:tcBorders>
              <w:top w:val="nil"/>
              <w:left w:val="nil"/>
              <w:bottom w:val="double" w:sz="4" w:space="0" w:color="auto"/>
              <w:right w:val="single" w:sz="4" w:space="0" w:color="auto"/>
            </w:tcBorders>
            <w:shd w:val="clear" w:color="auto" w:fill="auto"/>
            <w:vAlign w:val="center"/>
            <w:hideMark/>
          </w:tcPr>
          <w:p w14:paraId="41F2C72E" w14:textId="77777777" w:rsidR="00A748D0" w:rsidRPr="005A5A0B" w:rsidRDefault="00A748D0" w:rsidP="00AD0FAE">
            <w:pPr>
              <w:widowControl/>
              <w:autoSpaceDE/>
              <w:autoSpaceDN/>
              <w:adjustRightInd/>
              <w:ind w:left="0" w:firstLine="0"/>
              <w:jc w:val="right"/>
              <w:rPr>
                <w:rFonts w:cs="Arial"/>
                <w:color w:val="000000"/>
                <w:sz w:val="14"/>
                <w:szCs w:val="14"/>
              </w:rPr>
            </w:pPr>
            <w:r w:rsidRPr="005A5A0B">
              <w:rPr>
                <w:rFonts w:cs="Arial"/>
                <w:color w:val="000000"/>
                <w:sz w:val="14"/>
                <w:szCs w:val="14"/>
              </w:rPr>
              <w:t>17.90</w:t>
            </w:r>
          </w:p>
        </w:tc>
        <w:tc>
          <w:tcPr>
            <w:tcW w:w="990" w:type="dxa"/>
            <w:tcBorders>
              <w:top w:val="nil"/>
              <w:left w:val="single" w:sz="4" w:space="0" w:color="auto"/>
              <w:bottom w:val="double" w:sz="4" w:space="0" w:color="auto"/>
              <w:right w:val="single" w:sz="4" w:space="0" w:color="000000"/>
            </w:tcBorders>
            <w:shd w:val="clear" w:color="auto" w:fill="auto"/>
            <w:vAlign w:val="center"/>
            <w:hideMark/>
          </w:tcPr>
          <w:p w14:paraId="19D00189" w14:textId="77777777" w:rsidR="00A748D0" w:rsidRPr="005A5A0B" w:rsidRDefault="00A748D0" w:rsidP="00AD0FAE">
            <w:pPr>
              <w:widowControl/>
              <w:autoSpaceDE/>
              <w:autoSpaceDN/>
              <w:adjustRightInd/>
              <w:ind w:left="0" w:firstLine="0"/>
              <w:jc w:val="right"/>
              <w:rPr>
                <w:rFonts w:cs="Arial"/>
                <w:color w:val="000000"/>
                <w:sz w:val="14"/>
                <w:szCs w:val="14"/>
              </w:rPr>
            </w:pPr>
            <w:r w:rsidRPr="005A5A0B">
              <w:rPr>
                <w:rFonts w:cs="Arial"/>
                <w:color w:val="000000"/>
                <w:sz w:val="14"/>
                <w:szCs w:val="14"/>
              </w:rPr>
              <w:t>2.69</w:t>
            </w:r>
          </w:p>
        </w:tc>
        <w:tc>
          <w:tcPr>
            <w:tcW w:w="1350" w:type="dxa"/>
            <w:tcBorders>
              <w:top w:val="nil"/>
              <w:left w:val="double" w:sz="6" w:space="0" w:color="000000"/>
              <w:bottom w:val="double" w:sz="4" w:space="0" w:color="auto"/>
              <w:right w:val="double" w:sz="4" w:space="0" w:color="auto"/>
            </w:tcBorders>
            <w:shd w:val="clear" w:color="auto" w:fill="auto"/>
            <w:vAlign w:val="center"/>
            <w:hideMark/>
          </w:tcPr>
          <w:p w14:paraId="5BD7A5BB" w14:textId="77777777" w:rsidR="00A748D0" w:rsidRPr="005A5A0B" w:rsidRDefault="00A748D0" w:rsidP="00AD0FAE">
            <w:pPr>
              <w:widowControl/>
              <w:autoSpaceDE/>
              <w:autoSpaceDN/>
              <w:adjustRightInd/>
              <w:ind w:left="0" w:firstLine="0"/>
              <w:jc w:val="right"/>
              <w:rPr>
                <w:rFonts w:cs="Arial"/>
                <w:b/>
                <w:color w:val="000000"/>
                <w:sz w:val="14"/>
                <w:szCs w:val="14"/>
              </w:rPr>
            </w:pPr>
            <w:r w:rsidRPr="005A5A0B">
              <w:rPr>
                <w:rFonts w:cs="Arial"/>
                <w:b/>
                <w:color w:val="000000"/>
                <w:sz w:val="14"/>
                <w:szCs w:val="14"/>
              </w:rPr>
              <w:t>11.77</w:t>
            </w:r>
          </w:p>
        </w:tc>
      </w:tr>
    </w:tbl>
    <w:p w14:paraId="07E19455" w14:textId="77777777" w:rsidR="006D1173" w:rsidRPr="009F5E32" w:rsidRDefault="006D1173" w:rsidP="00F03182">
      <w:pPr>
        <w:ind w:left="0" w:firstLine="0"/>
        <w:rPr>
          <w:rFonts w:cs="Arial"/>
          <w:bCs/>
          <w:szCs w:val="22"/>
        </w:rPr>
        <w:sectPr w:rsidR="006D1173" w:rsidRPr="009F5E32" w:rsidSect="00A748D0">
          <w:footnotePr>
            <w:numRestart w:val="eachSect"/>
          </w:footnotePr>
          <w:endnotePr>
            <w:numFmt w:val="decimal"/>
          </w:endnotePr>
          <w:pgSz w:w="15840" w:h="12240" w:orient="landscape"/>
          <w:pgMar w:top="1440" w:right="720" w:bottom="1440" w:left="720" w:header="1440" w:footer="720" w:gutter="0"/>
          <w:cols w:space="720"/>
          <w:noEndnote/>
          <w:docGrid w:linePitch="360"/>
        </w:sectPr>
      </w:pPr>
    </w:p>
    <w:p w14:paraId="6D06FE80" w14:textId="5352D2BA" w:rsidR="005E20C5" w:rsidRPr="009F5E32" w:rsidRDefault="005E20C5" w:rsidP="0074616A">
      <w:pPr>
        <w:ind w:left="0" w:firstLine="0"/>
        <w:rPr>
          <w:b/>
          <w:szCs w:val="22"/>
        </w:rPr>
      </w:pPr>
      <w:r w:rsidRPr="009F5E32">
        <w:rPr>
          <w:b/>
          <w:szCs w:val="22"/>
        </w:rPr>
        <w:lastRenderedPageBreak/>
        <w:t>3.2</w:t>
      </w:r>
      <w:r w:rsidRPr="009F5E32">
        <w:rPr>
          <w:b/>
          <w:szCs w:val="22"/>
        </w:rPr>
        <w:tab/>
      </w:r>
      <w:r w:rsidR="00E83ED0" w:rsidRPr="009F5E32">
        <w:rPr>
          <w:b/>
          <w:szCs w:val="22"/>
        </w:rPr>
        <w:t>LFG</w:t>
      </w:r>
      <w:r w:rsidR="00CB3BAC" w:rsidRPr="009F5E32">
        <w:rPr>
          <w:b/>
          <w:szCs w:val="22"/>
        </w:rPr>
        <w:t xml:space="preserve"> </w:t>
      </w:r>
      <w:r w:rsidR="00C020B4" w:rsidRPr="009F5E32">
        <w:rPr>
          <w:b/>
          <w:szCs w:val="22"/>
        </w:rPr>
        <w:t xml:space="preserve">Combustion Emissions </w:t>
      </w:r>
    </w:p>
    <w:p w14:paraId="405E651E" w14:textId="77777777" w:rsidR="005E20C5" w:rsidRPr="009F5E32" w:rsidRDefault="005E20C5" w:rsidP="0074616A">
      <w:pPr>
        <w:ind w:left="0" w:firstLine="0"/>
        <w:rPr>
          <w:szCs w:val="22"/>
        </w:rPr>
      </w:pPr>
    </w:p>
    <w:p w14:paraId="6A4C91ED" w14:textId="73938B0B" w:rsidR="00701025" w:rsidRPr="009F5E32" w:rsidRDefault="00701025" w:rsidP="0074616A">
      <w:pPr>
        <w:ind w:left="720" w:firstLine="0"/>
        <w:rPr>
          <w:rFonts w:cs="Arial"/>
          <w:szCs w:val="22"/>
        </w:rPr>
      </w:pPr>
      <w:r w:rsidRPr="009F5E32">
        <w:rPr>
          <w:szCs w:val="22"/>
        </w:rPr>
        <w:t xml:space="preserve">Emissions from the combustion processes at the </w:t>
      </w:r>
      <w:r w:rsidR="00CD4034" w:rsidRPr="009F5E32">
        <w:rPr>
          <w:szCs w:val="22"/>
        </w:rPr>
        <w:t>Facility</w:t>
      </w:r>
      <w:r w:rsidRPr="009F5E32">
        <w:rPr>
          <w:szCs w:val="22"/>
        </w:rPr>
        <w:t xml:space="preserve">, including the flares </w:t>
      </w:r>
      <w:r w:rsidR="00CD4034" w:rsidRPr="009F5E32">
        <w:rPr>
          <w:szCs w:val="22"/>
        </w:rPr>
        <w:t xml:space="preserve">and </w:t>
      </w:r>
      <w:r w:rsidRPr="009F5E32">
        <w:rPr>
          <w:szCs w:val="22"/>
        </w:rPr>
        <w:t xml:space="preserve">the </w:t>
      </w:r>
      <w:r w:rsidR="00373B10" w:rsidRPr="009F5E32">
        <w:rPr>
          <w:szCs w:val="22"/>
        </w:rPr>
        <w:t xml:space="preserve">CAT </w:t>
      </w:r>
      <w:r w:rsidRPr="009F5E32">
        <w:rPr>
          <w:szCs w:val="22"/>
        </w:rPr>
        <w:t>G3520C engines</w:t>
      </w:r>
      <w:r w:rsidR="0056561C" w:rsidRPr="009F5E32">
        <w:rPr>
          <w:szCs w:val="22"/>
        </w:rPr>
        <w:t xml:space="preserve"> </w:t>
      </w:r>
      <w:r w:rsidRPr="009F5E32">
        <w:rPr>
          <w:szCs w:val="22"/>
        </w:rPr>
        <w:t>w</w:t>
      </w:r>
      <w:r w:rsidR="0056561C" w:rsidRPr="009F5E32">
        <w:rPr>
          <w:szCs w:val="22"/>
        </w:rPr>
        <w:t>ere based on emission factors provided by manufacturers</w:t>
      </w:r>
      <w:r w:rsidRPr="009F5E32">
        <w:rPr>
          <w:szCs w:val="22"/>
        </w:rPr>
        <w:t xml:space="preserve">, site specific </w:t>
      </w:r>
      <w:r w:rsidR="00CD4034" w:rsidRPr="009F5E32">
        <w:rPr>
          <w:szCs w:val="22"/>
        </w:rPr>
        <w:t>chemical analysis of the LFG</w:t>
      </w:r>
      <w:r w:rsidRPr="009F5E32">
        <w:rPr>
          <w:szCs w:val="22"/>
        </w:rPr>
        <w:t xml:space="preserve">, </w:t>
      </w:r>
      <w:r w:rsidR="0036032F" w:rsidRPr="009F5E32">
        <w:rPr>
          <w:szCs w:val="22"/>
        </w:rPr>
        <w:t xml:space="preserve">site-specific stack test data, </w:t>
      </w:r>
      <w:r w:rsidRPr="009F5E32">
        <w:rPr>
          <w:szCs w:val="22"/>
        </w:rPr>
        <w:t xml:space="preserve">and </w:t>
      </w:r>
      <w:r w:rsidR="00AF2F1B" w:rsidRPr="009F5E32">
        <w:rPr>
          <w:rFonts w:cs="Arial"/>
          <w:szCs w:val="22"/>
        </w:rPr>
        <w:t xml:space="preserve">emission factors published by the U.S. EPA in </w:t>
      </w:r>
      <w:r w:rsidRPr="009F5E32">
        <w:rPr>
          <w:rFonts w:cs="Arial"/>
          <w:szCs w:val="22"/>
        </w:rPr>
        <w:t xml:space="preserve">AP-42.  </w:t>
      </w:r>
    </w:p>
    <w:p w14:paraId="57FA50FE" w14:textId="77777777" w:rsidR="00701025" w:rsidRPr="009F5E32" w:rsidRDefault="00701025" w:rsidP="00701025">
      <w:pPr>
        <w:ind w:left="0" w:firstLine="0"/>
        <w:rPr>
          <w:rFonts w:cs="Arial"/>
          <w:szCs w:val="22"/>
        </w:rPr>
      </w:pPr>
    </w:p>
    <w:p w14:paraId="43D362D5" w14:textId="44D3834D" w:rsidR="00F61351" w:rsidRPr="009F5E32" w:rsidRDefault="00701025" w:rsidP="0074616A">
      <w:pPr>
        <w:ind w:left="720" w:firstLine="0"/>
        <w:rPr>
          <w:rFonts w:cs="Arial"/>
          <w:szCs w:val="22"/>
        </w:rPr>
      </w:pPr>
      <w:r w:rsidRPr="009F5E32">
        <w:rPr>
          <w:rFonts w:cs="Arial"/>
          <w:szCs w:val="22"/>
        </w:rPr>
        <w:t xml:space="preserve">Emissions estimates were performed using a spreadsheet named </w:t>
      </w:r>
      <w:r w:rsidR="0036032F" w:rsidRPr="009F5E32">
        <w:rPr>
          <w:rFonts w:cs="Arial"/>
          <w:szCs w:val="22"/>
        </w:rPr>
        <w:t xml:space="preserve">combined_caop17018 </w:t>
      </w:r>
      <w:r w:rsidR="0036032F" w:rsidRPr="00522F14">
        <w:rPr>
          <w:rFonts w:cs="Arial"/>
          <w:szCs w:val="22"/>
        </w:rPr>
        <w:t>and caop1</w:t>
      </w:r>
      <w:r w:rsidR="009F5E32" w:rsidRPr="00522F14">
        <w:rPr>
          <w:rFonts w:cs="Arial"/>
          <w:szCs w:val="22"/>
        </w:rPr>
        <w:t>8</w:t>
      </w:r>
      <w:r w:rsidR="00522F14" w:rsidRPr="00522F14">
        <w:rPr>
          <w:rFonts w:cs="Arial"/>
          <w:szCs w:val="22"/>
        </w:rPr>
        <w:t>019</w:t>
      </w:r>
      <w:r w:rsidR="0036032F" w:rsidRPr="00522F14">
        <w:rPr>
          <w:rFonts w:cs="Arial"/>
          <w:szCs w:val="22"/>
        </w:rPr>
        <w:t>.xlsx</w:t>
      </w:r>
      <w:r w:rsidRPr="00522F14">
        <w:rPr>
          <w:rFonts w:cs="Arial"/>
          <w:szCs w:val="22"/>
        </w:rPr>
        <w:t>,</w:t>
      </w:r>
      <w:r w:rsidRPr="009F5E32">
        <w:rPr>
          <w:rFonts w:cs="Arial"/>
          <w:szCs w:val="22"/>
        </w:rPr>
        <w:t xml:space="preserve"> and the estimations performed with this spreadsheet are summarized in the following tables.  </w:t>
      </w:r>
    </w:p>
    <w:p w14:paraId="1F836379" w14:textId="77777777" w:rsidR="00F61351" w:rsidRPr="009F5E32" w:rsidRDefault="00F61351" w:rsidP="00701025">
      <w:pPr>
        <w:ind w:left="0" w:firstLine="0"/>
        <w:rPr>
          <w:rFonts w:cs="Arial"/>
          <w:szCs w:val="22"/>
        </w:rPr>
      </w:pPr>
    </w:p>
    <w:p w14:paraId="0E8BD9B3" w14:textId="5BAE792B" w:rsidR="00CB3BAC" w:rsidRPr="009F5E32" w:rsidRDefault="00CB3BAC" w:rsidP="00CB3BAC">
      <w:pPr>
        <w:ind w:left="720" w:firstLine="0"/>
        <w:rPr>
          <w:b/>
          <w:szCs w:val="22"/>
        </w:rPr>
      </w:pPr>
      <w:r w:rsidRPr="009F5E32">
        <w:rPr>
          <w:b/>
          <w:szCs w:val="22"/>
        </w:rPr>
        <w:t>3.2.1</w:t>
      </w:r>
      <w:r w:rsidRPr="009F5E32">
        <w:rPr>
          <w:b/>
          <w:szCs w:val="22"/>
        </w:rPr>
        <w:tab/>
      </w:r>
      <w:r w:rsidR="00E83ED0" w:rsidRPr="009F5E32">
        <w:rPr>
          <w:b/>
          <w:szCs w:val="22"/>
        </w:rPr>
        <w:t>LFG</w:t>
      </w:r>
      <w:r w:rsidRPr="009F5E32">
        <w:rPr>
          <w:b/>
          <w:szCs w:val="22"/>
        </w:rPr>
        <w:t xml:space="preserve"> Flare Emissions </w:t>
      </w:r>
    </w:p>
    <w:p w14:paraId="262B591B" w14:textId="77777777" w:rsidR="00CB3BAC" w:rsidRPr="009F5E32" w:rsidRDefault="00CB3BAC" w:rsidP="00D5285F">
      <w:pPr>
        <w:ind w:left="0" w:firstLine="0"/>
        <w:rPr>
          <w:rFonts w:cs="Arial"/>
          <w:szCs w:val="22"/>
        </w:rPr>
      </w:pPr>
    </w:p>
    <w:p w14:paraId="7AE3809F" w14:textId="62F1E1E2" w:rsidR="008D1160" w:rsidRPr="009F5E32" w:rsidRDefault="00697E50" w:rsidP="00697E50">
      <w:pPr>
        <w:ind w:left="720" w:firstLine="0"/>
        <w:rPr>
          <w:rFonts w:cs="Arial"/>
          <w:szCs w:val="22"/>
        </w:rPr>
      </w:pPr>
      <w:r w:rsidRPr="009F5E32">
        <w:rPr>
          <w:rFonts w:cs="Arial"/>
          <w:szCs w:val="22"/>
        </w:rPr>
        <w:t>Emissions of CO and NOx for the landfill flares were based on emission factors provided by the flare manufacturers.  Emissions of SO</w:t>
      </w:r>
      <w:r w:rsidRPr="009F5E32">
        <w:rPr>
          <w:rFonts w:cs="Arial"/>
          <w:szCs w:val="22"/>
          <w:vertAlign w:val="subscript"/>
        </w:rPr>
        <w:t>2</w:t>
      </w:r>
      <w:r w:rsidRPr="009F5E32">
        <w:rPr>
          <w:rFonts w:cs="Arial"/>
          <w:szCs w:val="22"/>
        </w:rPr>
        <w:t xml:space="preserve"> were estimated using site-specific total reduced sulfur (TRS) and hydrogen sulfide (H</w:t>
      </w:r>
      <w:r w:rsidRPr="009F5E32">
        <w:rPr>
          <w:rFonts w:cs="Arial"/>
          <w:szCs w:val="22"/>
          <w:vertAlign w:val="subscript"/>
        </w:rPr>
        <w:t>2</w:t>
      </w:r>
      <w:r w:rsidRPr="009F5E32">
        <w:rPr>
          <w:rFonts w:cs="Arial"/>
          <w:szCs w:val="22"/>
        </w:rPr>
        <w:t>S</w:t>
      </w:r>
      <w:r w:rsidR="00351F57" w:rsidRPr="009F5E32">
        <w:rPr>
          <w:rFonts w:cs="Arial"/>
          <w:szCs w:val="22"/>
        </w:rPr>
        <w:t>) analytical results from LFG samples collected</w:t>
      </w:r>
      <w:r w:rsidRPr="009F5E32">
        <w:rPr>
          <w:rFonts w:cs="Arial"/>
          <w:szCs w:val="22"/>
        </w:rPr>
        <w:t xml:space="preserve"> on </w:t>
      </w:r>
      <w:r w:rsidR="00351F57" w:rsidRPr="009F5E32">
        <w:rPr>
          <w:rFonts w:cs="Arial"/>
          <w:szCs w:val="22"/>
        </w:rPr>
        <w:t>July 8, 2014</w:t>
      </w:r>
      <w:r w:rsidRPr="009F5E32">
        <w:rPr>
          <w:rFonts w:cs="Arial"/>
          <w:szCs w:val="22"/>
        </w:rPr>
        <w:t xml:space="preserve">.  </w:t>
      </w:r>
    </w:p>
    <w:p w14:paraId="5E469C08" w14:textId="77777777" w:rsidR="008D1160" w:rsidRPr="009F5E32" w:rsidRDefault="008D1160" w:rsidP="008D1160">
      <w:pPr>
        <w:ind w:left="0" w:firstLine="0"/>
        <w:rPr>
          <w:rFonts w:cs="Arial"/>
          <w:szCs w:val="22"/>
        </w:rPr>
      </w:pPr>
    </w:p>
    <w:p w14:paraId="79810D5F" w14:textId="385CB0A9" w:rsidR="00697E50" w:rsidRPr="009F5E32" w:rsidRDefault="00351F57" w:rsidP="00697E50">
      <w:pPr>
        <w:ind w:left="720" w:firstLine="0"/>
        <w:rPr>
          <w:rFonts w:cs="Arial"/>
          <w:szCs w:val="22"/>
        </w:rPr>
      </w:pPr>
      <w:r w:rsidRPr="009F5E32">
        <w:rPr>
          <w:rFonts w:cs="Arial"/>
          <w:szCs w:val="22"/>
        </w:rPr>
        <w:t xml:space="preserve">VOC and HAP emissions were based on chemical analytical results </w:t>
      </w:r>
      <w:r w:rsidR="00AF783D" w:rsidRPr="009F5E32">
        <w:rPr>
          <w:rFonts w:cs="Arial"/>
          <w:szCs w:val="22"/>
        </w:rPr>
        <w:t>from</w:t>
      </w:r>
      <w:r w:rsidRPr="009F5E32">
        <w:rPr>
          <w:rFonts w:cs="Arial"/>
          <w:szCs w:val="22"/>
        </w:rPr>
        <w:t xml:space="preserve"> LFG collected in August 1993 and June 2002, an assumed </w:t>
      </w:r>
      <w:r w:rsidR="00CA4366" w:rsidRPr="009F5E32">
        <w:rPr>
          <w:rFonts w:cs="Arial"/>
          <w:szCs w:val="22"/>
        </w:rPr>
        <w:t xml:space="preserve">85% </w:t>
      </w:r>
      <w:r w:rsidRPr="009F5E32">
        <w:rPr>
          <w:rFonts w:cs="Arial"/>
          <w:szCs w:val="22"/>
        </w:rPr>
        <w:t xml:space="preserve">collection efficiency for the LFG collection system, and an assumed 98% destruction efficiency in the combustion </w:t>
      </w:r>
      <w:r w:rsidR="00CA4366" w:rsidRPr="009F5E32">
        <w:rPr>
          <w:rFonts w:cs="Arial"/>
          <w:szCs w:val="22"/>
        </w:rPr>
        <w:t>devices</w:t>
      </w:r>
      <w:r w:rsidRPr="009F5E32">
        <w:rPr>
          <w:rFonts w:cs="Arial"/>
          <w:szCs w:val="22"/>
        </w:rPr>
        <w:t xml:space="preserve"> at the </w:t>
      </w:r>
      <w:r w:rsidR="00CA4366" w:rsidRPr="009F5E32">
        <w:rPr>
          <w:rFonts w:cs="Arial"/>
          <w:szCs w:val="22"/>
        </w:rPr>
        <w:t>Facility.</w:t>
      </w:r>
      <w:r w:rsidRPr="009F5E32">
        <w:rPr>
          <w:rFonts w:cs="Arial"/>
          <w:szCs w:val="22"/>
        </w:rPr>
        <w:t xml:space="preserve">  </w:t>
      </w:r>
      <w:r w:rsidR="00E54DD5" w:rsidRPr="009F5E32">
        <w:rPr>
          <w:rFonts w:cs="Arial"/>
          <w:szCs w:val="22"/>
        </w:rPr>
        <w:t>Chemical analytical results from the Landfill indic</w:t>
      </w:r>
      <w:r w:rsidR="0001483E">
        <w:rPr>
          <w:rFonts w:cs="Arial"/>
          <w:szCs w:val="22"/>
        </w:rPr>
        <w:t>a</w:t>
      </w:r>
      <w:r w:rsidR="00E54DD5" w:rsidRPr="009F5E32">
        <w:rPr>
          <w:rFonts w:cs="Arial"/>
          <w:szCs w:val="22"/>
        </w:rPr>
        <w:t xml:space="preserve">ted that VOC </w:t>
      </w:r>
      <w:r w:rsidR="00C2783D" w:rsidRPr="009F5E32">
        <w:rPr>
          <w:rFonts w:cs="Arial"/>
          <w:szCs w:val="22"/>
        </w:rPr>
        <w:t>concentrations</w:t>
      </w:r>
      <w:r w:rsidR="00E54DD5" w:rsidRPr="009F5E32">
        <w:rPr>
          <w:rFonts w:cs="Arial"/>
          <w:szCs w:val="22"/>
        </w:rPr>
        <w:t xml:space="preserve"> in LFG were </w:t>
      </w:r>
      <w:r w:rsidR="00C2783D" w:rsidRPr="009F5E32">
        <w:rPr>
          <w:rFonts w:cs="Arial"/>
          <w:szCs w:val="22"/>
        </w:rPr>
        <w:t>4.99E-05 lb VOC/scf of LFG, and HAP concentrations in LFG were 1.73E-5 lb HAPs/scf of LFG</w:t>
      </w:r>
      <w:r w:rsidR="008D1160" w:rsidRPr="009F5E32">
        <w:rPr>
          <w:rFonts w:cs="Arial"/>
          <w:szCs w:val="22"/>
        </w:rPr>
        <w:t xml:space="preserve">.  </w:t>
      </w:r>
    </w:p>
    <w:p w14:paraId="4E6E83C0" w14:textId="77777777" w:rsidR="00600E59" w:rsidRPr="009F5E32" w:rsidRDefault="00600E59" w:rsidP="00600E59">
      <w:pPr>
        <w:ind w:left="0" w:firstLine="0"/>
        <w:rPr>
          <w:rFonts w:cs="Arial"/>
          <w:szCs w:val="22"/>
        </w:rPr>
      </w:pPr>
    </w:p>
    <w:p w14:paraId="00C137B8" w14:textId="6B1BCA34" w:rsidR="00600E59" w:rsidRPr="009F5E32" w:rsidRDefault="00920A60" w:rsidP="00600E59">
      <w:pPr>
        <w:ind w:left="720" w:firstLine="0"/>
        <w:rPr>
          <w:rFonts w:cs="Arial"/>
          <w:szCs w:val="22"/>
        </w:rPr>
      </w:pPr>
      <w:r w:rsidRPr="009F5E32">
        <w:rPr>
          <w:rFonts w:cs="Arial"/>
          <w:szCs w:val="22"/>
        </w:rPr>
        <w:t>Emissions of PM were estimated using the 0.017 lb/MMBtu emission factor for LFG flares published in AP-42, plus an additional factor to account for the silicon dioxide (SiO</w:t>
      </w:r>
      <w:r w:rsidRPr="009F5E32">
        <w:rPr>
          <w:rFonts w:cs="Arial"/>
          <w:szCs w:val="22"/>
          <w:vertAlign w:val="subscript"/>
        </w:rPr>
        <w:t>2</w:t>
      </w:r>
      <w:r w:rsidRPr="009F5E32">
        <w:rPr>
          <w:rFonts w:cs="Arial"/>
          <w:szCs w:val="22"/>
        </w:rPr>
        <w:t xml:space="preserve">) PM created from the combustion of siloxanes in the LFG.  </w:t>
      </w:r>
      <w:r w:rsidR="00600E59" w:rsidRPr="009F5E32">
        <w:rPr>
          <w:rFonts w:cs="Arial"/>
          <w:szCs w:val="22"/>
        </w:rPr>
        <w:t xml:space="preserve">The AP-42 emission factors for flares are based on data for landfills that, to the Agency’s understanding, have lower siloxane contents when compared to the LFG generated from the Coventry Landfill.  To account for this difference in siloxane concentrations, a separate factor was added to the AP-42 PM emission.  </w:t>
      </w:r>
    </w:p>
    <w:p w14:paraId="38BC5EF4" w14:textId="77777777" w:rsidR="00920A60" w:rsidRPr="009F5E32" w:rsidRDefault="00920A60" w:rsidP="00920A60">
      <w:pPr>
        <w:ind w:left="0" w:firstLine="0"/>
        <w:rPr>
          <w:rFonts w:cs="Arial"/>
          <w:szCs w:val="22"/>
        </w:rPr>
      </w:pPr>
    </w:p>
    <w:p w14:paraId="2D939B0C" w14:textId="49322641" w:rsidR="00920A60" w:rsidRPr="009F5E32" w:rsidRDefault="00920A60" w:rsidP="00600E59">
      <w:pPr>
        <w:ind w:left="720" w:firstLine="0"/>
        <w:rPr>
          <w:rFonts w:cs="Arial"/>
          <w:szCs w:val="22"/>
        </w:rPr>
      </w:pPr>
      <w:r w:rsidRPr="009F5E32">
        <w:rPr>
          <w:rFonts w:cs="Arial"/>
          <w:szCs w:val="22"/>
        </w:rPr>
        <w:t>This additional PM emission factor was estimated based on the assumption that untreated LFG contains 35 milligrams of silicon per cubic meter (mg Si/m</w:t>
      </w:r>
      <w:r w:rsidRPr="009F5E32">
        <w:rPr>
          <w:rFonts w:cs="Arial"/>
          <w:szCs w:val="22"/>
          <w:vertAlign w:val="superscript"/>
        </w:rPr>
        <w:t>3</w:t>
      </w:r>
      <w:r w:rsidRPr="009F5E32">
        <w:rPr>
          <w:rFonts w:cs="Arial"/>
          <w:szCs w:val="22"/>
        </w:rPr>
        <w:t>), and that all the Si contained in the LFG is oxidized to SiO</w:t>
      </w:r>
      <w:r w:rsidRPr="009F5E32">
        <w:rPr>
          <w:rFonts w:cs="Arial"/>
          <w:szCs w:val="22"/>
          <w:vertAlign w:val="subscript"/>
        </w:rPr>
        <w:t>2</w:t>
      </w:r>
      <w:r w:rsidRPr="009F5E32">
        <w:rPr>
          <w:rFonts w:cs="Arial"/>
          <w:szCs w:val="22"/>
        </w:rPr>
        <w:t xml:space="preserve"> with an aerodynamic diameter that is less than the 60 µm PM threshold.  Based on these assumptions, the LFG will produce 0.009 pounds of PM per million Btu of LFG.  The emission factor for the flares will be the sum of these two factors (0.017 lb/MMBtu </w:t>
      </w:r>
      <w:r w:rsidR="004B65DB" w:rsidRPr="009F5E32">
        <w:rPr>
          <w:rFonts w:cs="Arial"/>
          <w:szCs w:val="22"/>
        </w:rPr>
        <w:t xml:space="preserve">+ 0.009 lb) or 0.026 lb/MMBtu.  </w:t>
      </w:r>
    </w:p>
    <w:p w14:paraId="0673206F" w14:textId="77777777" w:rsidR="0056561C" w:rsidRPr="009F5E32" w:rsidRDefault="0056561C" w:rsidP="00CA4366">
      <w:pPr>
        <w:ind w:left="0" w:firstLine="0"/>
        <w:rPr>
          <w:rFonts w:cs="Arial"/>
          <w:szCs w:val="22"/>
        </w:rPr>
      </w:pPr>
    </w:p>
    <w:p w14:paraId="680639AC" w14:textId="3EDA6C97" w:rsidR="005E20C5" w:rsidRPr="009F5E32" w:rsidRDefault="00F61351" w:rsidP="0074616A">
      <w:pPr>
        <w:ind w:left="720" w:firstLine="0"/>
        <w:rPr>
          <w:szCs w:val="22"/>
        </w:rPr>
      </w:pPr>
      <w:r w:rsidRPr="009F5E32">
        <w:rPr>
          <w:rFonts w:cs="Arial"/>
          <w:szCs w:val="22"/>
        </w:rPr>
        <w:t xml:space="preserve">Flare combustion emissions were estimated for two different operating conditions.  One </w:t>
      </w:r>
      <w:r w:rsidR="00586219" w:rsidRPr="009F5E32">
        <w:rPr>
          <w:rFonts w:cs="Arial"/>
          <w:szCs w:val="22"/>
        </w:rPr>
        <w:t xml:space="preserve">condition </w:t>
      </w:r>
      <w:r w:rsidR="00E96732" w:rsidRPr="009F5E32">
        <w:rPr>
          <w:rFonts w:cs="Arial"/>
          <w:szCs w:val="22"/>
        </w:rPr>
        <w:t>assumed</w:t>
      </w:r>
      <w:r w:rsidRPr="009F5E32">
        <w:rPr>
          <w:rFonts w:cs="Arial"/>
          <w:szCs w:val="22"/>
        </w:rPr>
        <w:t xml:space="preserve"> </w:t>
      </w:r>
      <w:r w:rsidR="00586219" w:rsidRPr="009F5E32">
        <w:rPr>
          <w:rFonts w:cs="Arial"/>
          <w:szCs w:val="22"/>
        </w:rPr>
        <w:t>the entire estimated amount of collected</w:t>
      </w:r>
      <w:r w:rsidRPr="009F5E32">
        <w:rPr>
          <w:rFonts w:cs="Arial"/>
          <w:szCs w:val="22"/>
        </w:rPr>
        <w:t xml:space="preserve"> </w:t>
      </w:r>
      <w:r w:rsidR="005711F5" w:rsidRPr="009F5E32">
        <w:rPr>
          <w:rFonts w:cs="Arial"/>
          <w:szCs w:val="22"/>
        </w:rPr>
        <w:t>LFG</w:t>
      </w:r>
      <w:r w:rsidR="00586219" w:rsidRPr="009F5E32">
        <w:rPr>
          <w:rFonts w:cs="Arial"/>
          <w:szCs w:val="22"/>
        </w:rPr>
        <w:t xml:space="preserve"> (</w:t>
      </w:r>
      <w:r w:rsidR="00FA51FB" w:rsidRPr="009F5E32">
        <w:rPr>
          <w:rFonts w:cs="Arial"/>
          <w:szCs w:val="22"/>
        </w:rPr>
        <w:t>5,0</w:t>
      </w:r>
      <w:r w:rsidR="00CA4366" w:rsidRPr="009F5E32">
        <w:rPr>
          <w:rFonts w:cs="Arial"/>
          <w:szCs w:val="22"/>
        </w:rPr>
        <w:t>00</w:t>
      </w:r>
      <w:r w:rsidR="00513A66" w:rsidRPr="009F5E32">
        <w:rPr>
          <w:rFonts w:cs="Arial"/>
          <w:szCs w:val="22"/>
        </w:rPr>
        <w:t xml:space="preserve"> scfm)</w:t>
      </w:r>
      <w:r w:rsidRPr="009F5E32">
        <w:rPr>
          <w:rFonts w:cs="Arial"/>
          <w:szCs w:val="22"/>
        </w:rPr>
        <w:t xml:space="preserve"> </w:t>
      </w:r>
      <w:r w:rsidR="00E96732" w:rsidRPr="009F5E32">
        <w:rPr>
          <w:rFonts w:cs="Arial"/>
          <w:szCs w:val="22"/>
        </w:rPr>
        <w:t>was to be</w:t>
      </w:r>
      <w:r w:rsidR="000958C3" w:rsidRPr="009F5E32">
        <w:rPr>
          <w:rFonts w:cs="Arial"/>
          <w:szCs w:val="22"/>
        </w:rPr>
        <w:t xml:space="preserve"> c</w:t>
      </w:r>
      <w:r w:rsidRPr="009F5E32">
        <w:rPr>
          <w:rFonts w:cs="Arial"/>
          <w:szCs w:val="22"/>
        </w:rPr>
        <w:t>ombusted in the flares</w:t>
      </w:r>
      <w:r w:rsidR="00586219" w:rsidRPr="009F5E32">
        <w:rPr>
          <w:rFonts w:cs="Arial"/>
          <w:szCs w:val="22"/>
        </w:rPr>
        <w:t>.  The</w:t>
      </w:r>
      <w:r w:rsidR="00513A66" w:rsidRPr="009F5E32">
        <w:rPr>
          <w:rFonts w:cs="Arial"/>
          <w:szCs w:val="22"/>
        </w:rPr>
        <w:t xml:space="preserve"> other condition assumed that </w:t>
      </w:r>
      <w:r w:rsidR="000958C3" w:rsidRPr="009F5E32">
        <w:rPr>
          <w:rFonts w:cs="Arial"/>
          <w:szCs w:val="22"/>
        </w:rPr>
        <w:t>2,462.5</w:t>
      </w:r>
      <w:r w:rsidR="00513A66" w:rsidRPr="009F5E32">
        <w:rPr>
          <w:rFonts w:cs="Arial"/>
          <w:szCs w:val="22"/>
        </w:rPr>
        <w:t xml:space="preserve"> scfm of </w:t>
      </w:r>
      <w:r w:rsidR="00E96732" w:rsidRPr="009F5E32">
        <w:rPr>
          <w:rFonts w:cs="Arial"/>
          <w:szCs w:val="22"/>
        </w:rPr>
        <w:t xml:space="preserve">collected </w:t>
      </w:r>
      <w:r w:rsidR="005711F5" w:rsidRPr="009F5E32">
        <w:rPr>
          <w:rFonts w:cs="Arial"/>
          <w:szCs w:val="22"/>
        </w:rPr>
        <w:t>LFG</w:t>
      </w:r>
      <w:r w:rsidR="00513A66" w:rsidRPr="009F5E32">
        <w:rPr>
          <w:rFonts w:cs="Arial"/>
          <w:szCs w:val="22"/>
        </w:rPr>
        <w:t xml:space="preserve"> was combusted in the flares, while the five </w:t>
      </w:r>
      <w:r w:rsidR="008445AE" w:rsidRPr="009F5E32">
        <w:rPr>
          <w:rFonts w:cs="Arial"/>
          <w:szCs w:val="22"/>
        </w:rPr>
        <w:t xml:space="preserve">(5) </w:t>
      </w:r>
      <w:r w:rsidR="005711F5" w:rsidRPr="009F5E32">
        <w:rPr>
          <w:rFonts w:cs="Arial"/>
          <w:szCs w:val="22"/>
        </w:rPr>
        <w:t xml:space="preserve">CAT </w:t>
      </w:r>
      <w:r w:rsidR="000958C3" w:rsidRPr="009F5E32">
        <w:rPr>
          <w:rFonts w:cs="Arial"/>
          <w:szCs w:val="22"/>
        </w:rPr>
        <w:t xml:space="preserve">G3520C </w:t>
      </w:r>
      <w:r w:rsidR="00513A66" w:rsidRPr="009F5E32">
        <w:rPr>
          <w:rFonts w:cs="Arial"/>
          <w:szCs w:val="22"/>
        </w:rPr>
        <w:t xml:space="preserve">engines at the </w:t>
      </w:r>
      <w:r w:rsidR="007B671A" w:rsidRPr="009F5E32">
        <w:rPr>
          <w:rFonts w:cs="Arial"/>
          <w:szCs w:val="22"/>
        </w:rPr>
        <w:t xml:space="preserve">LFGTE Operation </w:t>
      </w:r>
      <w:r w:rsidR="00513A66" w:rsidRPr="009F5E32">
        <w:rPr>
          <w:rFonts w:cs="Arial"/>
          <w:szCs w:val="22"/>
        </w:rPr>
        <w:t xml:space="preserve">combusted the remaining </w:t>
      </w:r>
      <w:r w:rsidR="000958C3" w:rsidRPr="009F5E32">
        <w:rPr>
          <w:rFonts w:cs="Arial"/>
          <w:szCs w:val="22"/>
        </w:rPr>
        <w:t>2,537.5</w:t>
      </w:r>
      <w:r w:rsidR="00513A66" w:rsidRPr="009F5E32">
        <w:rPr>
          <w:rFonts w:cs="Arial"/>
          <w:szCs w:val="22"/>
        </w:rPr>
        <w:t xml:space="preserve"> scfm of collected </w:t>
      </w:r>
      <w:r w:rsidR="005711F5" w:rsidRPr="009F5E32">
        <w:rPr>
          <w:rFonts w:cs="Arial"/>
          <w:szCs w:val="22"/>
        </w:rPr>
        <w:t>LFG</w:t>
      </w:r>
      <w:r w:rsidR="00513A66" w:rsidRPr="009F5E32">
        <w:rPr>
          <w:rFonts w:cs="Arial"/>
          <w:szCs w:val="22"/>
        </w:rPr>
        <w:t xml:space="preserve">.  </w:t>
      </w:r>
    </w:p>
    <w:p w14:paraId="41F0B551" w14:textId="77777777" w:rsidR="00ED2E88" w:rsidRPr="009F5E32" w:rsidRDefault="00ED2E88">
      <w:pPr>
        <w:widowControl/>
        <w:autoSpaceDE/>
        <w:autoSpaceDN/>
        <w:adjustRightInd/>
        <w:ind w:left="0" w:firstLine="0"/>
        <w:jc w:val="left"/>
        <w:rPr>
          <w:szCs w:val="22"/>
        </w:rPr>
      </w:pPr>
    </w:p>
    <w:p w14:paraId="51DF65A8" w14:textId="72911F08" w:rsidR="00ED2E88" w:rsidRPr="009F5E32" w:rsidRDefault="00ED2E88">
      <w:pPr>
        <w:widowControl/>
        <w:autoSpaceDE/>
        <w:autoSpaceDN/>
        <w:adjustRightInd/>
        <w:ind w:left="0" w:firstLine="0"/>
        <w:jc w:val="left"/>
        <w:rPr>
          <w:szCs w:val="22"/>
        </w:rPr>
      </w:pPr>
      <w:r w:rsidRPr="009F5E32">
        <w:rPr>
          <w:szCs w:val="22"/>
        </w:rPr>
        <w:br w:type="page"/>
      </w:r>
    </w:p>
    <w:tbl>
      <w:tblPr>
        <w:tblW w:w="8640"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1"/>
        <w:gridCol w:w="1076"/>
        <w:gridCol w:w="1791"/>
        <w:gridCol w:w="2773"/>
        <w:gridCol w:w="1999"/>
      </w:tblGrid>
      <w:tr w:rsidR="001A55C0" w:rsidRPr="009F5E32" w14:paraId="300FFE35" w14:textId="77777777" w:rsidTr="00A955C5">
        <w:trPr>
          <w:cantSplit/>
          <w:trHeight w:val="738"/>
          <w:tblHeader/>
        </w:trPr>
        <w:tc>
          <w:tcPr>
            <w:tcW w:w="8640" w:type="dxa"/>
            <w:gridSpan w:val="5"/>
            <w:tcBorders>
              <w:top w:val="double" w:sz="4" w:space="0" w:color="auto"/>
              <w:bottom w:val="single" w:sz="4" w:space="0" w:color="auto"/>
            </w:tcBorders>
            <w:shd w:val="clear" w:color="auto" w:fill="F2F2F2" w:themeFill="background1" w:themeFillShade="F2"/>
            <w:tcMar>
              <w:top w:w="29" w:type="dxa"/>
              <w:bottom w:w="29" w:type="dxa"/>
            </w:tcMar>
            <w:vAlign w:val="center"/>
          </w:tcPr>
          <w:p w14:paraId="02121940" w14:textId="73C00895" w:rsidR="003A6D0D" w:rsidRPr="009F5E32" w:rsidRDefault="001A55C0" w:rsidP="00772AEB">
            <w:pPr>
              <w:ind w:left="0" w:firstLine="0"/>
              <w:jc w:val="center"/>
              <w:rPr>
                <w:rFonts w:cs="Arial"/>
                <w:b/>
                <w:bCs/>
                <w:color w:val="000000"/>
                <w:szCs w:val="22"/>
              </w:rPr>
            </w:pPr>
            <w:r w:rsidRPr="009F5E32">
              <w:rPr>
                <w:rFonts w:cs="Arial"/>
                <w:b/>
                <w:bCs/>
                <w:color w:val="000000"/>
                <w:szCs w:val="22"/>
              </w:rPr>
              <w:lastRenderedPageBreak/>
              <w:t>Table 3-</w:t>
            </w:r>
            <w:r w:rsidR="005B5E49" w:rsidRPr="009F5E32">
              <w:rPr>
                <w:rFonts w:cs="Arial"/>
                <w:b/>
                <w:bCs/>
                <w:color w:val="000000"/>
                <w:szCs w:val="22"/>
              </w:rPr>
              <w:t>2</w:t>
            </w:r>
            <w:r w:rsidRPr="009F5E32">
              <w:rPr>
                <w:rFonts w:cs="Arial"/>
                <w:b/>
                <w:bCs/>
                <w:color w:val="000000"/>
                <w:szCs w:val="22"/>
              </w:rPr>
              <w:t xml:space="preserve"> - Estimated Emissions from </w:t>
            </w:r>
            <w:r w:rsidR="00ED7468" w:rsidRPr="009F5E32">
              <w:rPr>
                <w:rFonts w:cs="Arial"/>
                <w:b/>
                <w:bCs/>
                <w:color w:val="000000"/>
                <w:szCs w:val="22"/>
              </w:rPr>
              <w:t xml:space="preserve">Landfill </w:t>
            </w:r>
            <w:r w:rsidR="008D1160" w:rsidRPr="009F5E32">
              <w:rPr>
                <w:rFonts w:cs="Arial"/>
                <w:b/>
                <w:bCs/>
                <w:color w:val="000000"/>
                <w:szCs w:val="22"/>
              </w:rPr>
              <w:t xml:space="preserve">Operation </w:t>
            </w:r>
            <w:r w:rsidRPr="009F5E32">
              <w:rPr>
                <w:rFonts w:cs="Arial"/>
                <w:b/>
                <w:bCs/>
                <w:color w:val="000000"/>
                <w:szCs w:val="22"/>
              </w:rPr>
              <w:t>Flares</w:t>
            </w:r>
          </w:p>
          <w:p w14:paraId="024BC6A3" w14:textId="252662E3" w:rsidR="001A55C0" w:rsidRPr="009F5E32" w:rsidRDefault="003A6D0D" w:rsidP="0016198B">
            <w:pPr>
              <w:ind w:left="0" w:firstLine="0"/>
              <w:jc w:val="center"/>
              <w:rPr>
                <w:rFonts w:cs="Arial"/>
                <w:b/>
                <w:bCs/>
                <w:sz w:val="20"/>
              </w:rPr>
            </w:pPr>
            <w:r w:rsidRPr="009F5E32">
              <w:rPr>
                <w:rFonts w:cs="Arial"/>
                <w:b/>
                <w:bCs/>
                <w:color w:val="000000"/>
                <w:szCs w:val="22"/>
              </w:rPr>
              <w:t xml:space="preserve">Combustion of </w:t>
            </w:r>
            <w:r w:rsidR="0016198B" w:rsidRPr="009F5E32">
              <w:rPr>
                <w:rFonts w:cs="Arial"/>
                <w:b/>
                <w:bCs/>
                <w:color w:val="000000"/>
                <w:szCs w:val="22"/>
              </w:rPr>
              <w:t>5,000</w:t>
            </w:r>
            <w:r w:rsidR="00AD22C7" w:rsidRPr="009F5E32">
              <w:rPr>
                <w:rFonts w:cs="Arial"/>
                <w:b/>
                <w:bCs/>
                <w:color w:val="000000"/>
                <w:szCs w:val="22"/>
              </w:rPr>
              <w:t xml:space="preserve"> </w:t>
            </w:r>
            <w:r w:rsidRPr="009F5E32">
              <w:rPr>
                <w:rFonts w:cs="Arial"/>
                <w:b/>
                <w:bCs/>
                <w:color w:val="000000"/>
                <w:szCs w:val="22"/>
              </w:rPr>
              <w:t>scfm of LFG</w:t>
            </w:r>
          </w:p>
        </w:tc>
      </w:tr>
      <w:tr w:rsidR="001A55C0" w:rsidRPr="00FD516E" w14:paraId="50F439B3" w14:textId="77777777" w:rsidTr="00A955C5">
        <w:tblPrEx>
          <w:tblCellMar>
            <w:left w:w="120" w:type="dxa"/>
            <w:right w:w="120" w:type="dxa"/>
          </w:tblCellMar>
        </w:tblPrEx>
        <w:trPr>
          <w:cantSplit/>
          <w:trHeight w:val="420"/>
        </w:trPr>
        <w:tc>
          <w:tcPr>
            <w:tcW w:w="1001" w:type="dxa"/>
            <w:vMerge w:val="restart"/>
            <w:tcBorders>
              <w:top w:val="single" w:sz="4" w:space="0" w:color="auto"/>
              <w:bottom w:val="single" w:sz="6" w:space="0" w:color="auto"/>
              <w:right w:val="single" w:sz="6" w:space="0" w:color="auto"/>
            </w:tcBorders>
            <w:shd w:val="clear" w:color="auto" w:fill="F2F2F2" w:themeFill="background1" w:themeFillShade="F2"/>
            <w:vAlign w:val="center"/>
          </w:tcPr>
          <w:p w14:paraId="70980A6D" w14:textId="77777777" w:rsidR="001A55C0" w:rsidRPr="00FD516E" w:rsidRDefault="001A55C0" w:rsidP="00772AEB">
            <w:pPr>
              <w:ind w:left="0" w:firstLine="0"/>
              <w:jc w:val="center"/>
              <w:rPr>
                <w:rFonts w:cs="Arial"/>
                <w:sz w:val="18"/>
                <w:szCs w:val="18"/>
              </w:rPr>
            </w:pPr>
            <w:r w:rsidRPr="00FD516E">
              <w:rPr>
                <w:rFonts w:cs="Arial"/>
                <w:sz w:val="18"/>
                <w:szCs w:val="18"/>
              </w:rPr>
              <w:t>Pollutant</w:t>
            </w:r>
          </w:p>
        </w:tc>
        <w:tc>
          <w:tcPr>
            <w:tcW w:w="5640"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13D4D9E8" w14:textId="77777777" w:rsidR="001A55C0" w:rsidRPr="00FD516E" w:rsidRDefault="001A55C0" w:rsidP="00772AEB">
            <w:pPr>
              <w:ind w:left="0" w:firstLine="0"/>
              <w:jc w:val="center"/>
              <w:rPr>
                <w:rFonts w:cs="Arial"/>
                <w:sz w:val="18"/>
                <w:szCs w:val="18"/>
              </w:rPr>
            </w:pPr>
            <w:r w:rsidRPr="00FD516E">
              <w:rPr>
                <w:rFonts w:cs="Arial"/>
                <w:sz w:val="18"/>
                <w:szCs w:val="18"/>
              </w:rPr>
              <w:t>Emission Factor</w:t>
            </w:r>
          </w:p>
        </w:tc>
        <w:tc>
          <w:tcPr>
            <w:tcW w:w="1999" w:type="dxa"/>
            <w:vMerge w:val="restart"/>
            <w:tcBorders>
              <w:top w:val="single" w:sz="4" w:space="0" w:color="auto"/>
              <w:left w:val="single" w:sz="6" w:space="0" w:color="auto"/>
            </w:tcBorders>
            <w:shd w:val="clear" w:color="auto" w:fill="F2F2F2" w:themeFill="background1" w:themeFillShade="F2"/>
            <w:vAlign w:val="center"/>
          </w:tcPr>
          <w:p w14:paraId="26316B75" w14:textId="24740CB5" w:rsidR="001A55C0" w:rsidRPr="00FD516E" w:rsidRDefault="00B21C03" w:rsidP="00772AEB">
            <w:pPr>
              <w:ind w:left="0" w:firstLine="0"/>
              <w:jc w:val="center"/>
              <w:rPr>
                <w:rFonts w:cs="Arial"/>
                <w:sz w:val="18"/>
                <w:szCs w:val="18"/>
              </w:rPr>
            </w:pPr>
            <w:r w:rsidRPr="00FD516E">
              <w:rPr>
                <w:rFonts w:cs="Arial"/>
                <w:sz w:val="18"/>
                <w:szCs w:val="18"/>
              </w:rPr>
              <w:t>Estimated</w:t>
            </w:r>
            <w:r w:rsidR="001A55C0" w:rsidRPr="00FD516E">
              <w:rPr>
                <w:rFonts w:cs="Arial"/>
                <w:sz w:val="18"/>
                <w:szCs w:val="18"/>
              </w:rPr>
              <w:t xml:space="preserve"> Emissions</w:t>
            </w:r>
            <w:r w:rsidR="00772AEB" w:rsidRPr="00FD516E">
              <w:rPr>
                <w:rFonts w:cs="Arial"/>
                <w:sz w:val="18"/>
                <w:szCs w:val="18"/>
              </w:rPr>
              <w:t xml:space="preserve"> </w:t>
            </w:r>
            <w:r w:rsidR="001A55C0" w:rsidRPr="00FD516E">
              <w:rPr>
                <w:rFonts w:cs="Arial"/>
                <w:sz w:val="18"/>
                <w:szCs w:val="18"/>
              </w:rPr>
              <w:t>tons per year</w:t>
            </w:r>
          </w:p>
        </w:tc>
      </w:tr>
      <w:tr w:rsidR="001A55C0" w:rsidRPr="009F5E32" w14:paraId="11385A16" w14:textId="77777777" w:rsidTr="00A955C5">
        <w:tblPrEx>
          <w:tblCellMar>
            <w:left w:w="120" w:type="dxa"/>
            <w:right w:w="120" w:type="dxa"/>
          </w:tblCellMar>
        </w:tblPrEx>
        <w:trPr>
          <w:cantSplit/>
          <w:trHeight w:val="408"/>
        </w:trPr>
        <w:tc>
          <w:tcPr>
            <w:tcW w:w="1001" w:type="dxa"/>
            <w:vMerge/>
            <w:tcBorders>
              <w:top w:val="single" w:sz="6" w:space="0" w:color="auto"/>
              <w:bottom w:val="double" w:sz="4" w:space="0" w:color="auto"/>
              <w:right w:val="single" w:sz="6" w:space="0" w:color="auto"/>
            </w:tcBorders>
            <w:shd w:val="clear" w:color="auto" w:fill="F2F2F2" w:themeFill="background1" w:themeFillShade="F2"/>
          </w:tcPr>
          <w:p w14:paraId="44566BD5" w14:textId="77777777" w:rsidR="001A55C0" w:rsidRPr="003E764D" w:rsidRDefault="001A55C0" w:rsidP="004611FC">
            <w:pPr>
              <w:ind w:left="0" w:firstLine="0"/>
              <w:rPr>
                <w:rFonts w:cs="Arial"/>
                <w:sz w:val="18"/>
                <w:szCs w:val="18"/>
              </w:rPr>
            </w:pPr>
          </w:p>
        </w:tc>
        <w:tc>
          <w:tcPr>
            <w:tcW w:w="1076"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4273A21F" w14:textId="77777777" w:rsidR="001A55C0" w:rsidRPr="003E764D" w:rsidRDefault="001A55C0" w:rsidP="00772AEB">
            <w:pPr>
              <w:ind w:left="0" w:firstLine="0"/>
              <w:jc w:val="center"/>
              <w:rPr>
                <w:rFonts w:cs="Arial"/>
                <w:sz w:val="18"/>
                <w:szCs w:val="18"/>
              </w:rPr>
            </w:pPr>
            <w:r w:rsidRPr="003E764D">
              <w:rPr>
                <w:rFonts w:cs="Arial"/>
                <w:sz w:val="18"/>
                <w:szCs w:val="18"/>
              </w:rPr>
              <w:t>Factor</w:t>
            </w:r>
          </w:p>
        </w:tc>
        <w:tc>
          <w:tcPr>
            <w:tcW w:w="1791"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691F4DA2" w14:textId="73402953" w:rsidR="001A55C0" w:rsidRPr="003E764D" w:rsidRDefault="001A55C0" w:rsidP="00A705E0">
            <w:pPr>
              <w:ind w:left="0" w:firstLine="0"/>
              <w:jc w:val="center"/>
              <w:rPr>
                <w:rFonts w:cs="Arial"/>
                <w:sz w:val="18"/>
                <w:szCs w:val="18"/>
                <w:vertAlign w:val="superscript"/>
              </w:rPr>
            </w:pPr>
            <w:r w:rsidRPr="003E764D">
              <w:rPr>
                <w:rFonts w:cs="Arial"/>
                <w:sz w:val="18"/>
                <w:szCs w:val="18"/>
              </w:rPr>
              <w:t xml:space="preserve">Units </w:t>
            </w:r>
          </w:p>
        </w:tc>
        <w:tc>
          <w:tcPr>
            <w:tcW w:w="2773"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70F23FE7" w14:textId="77777777" w:rsidR="001A55C0" w:rsidRPr="003E764D" w:rsidRDefault="001A55C0" w:rsidP="00772AEB">
            <w:pPr>
              <w:ind w:left="0" w:firstLine="0"/>
              <w:jc w:val="center"/>
              <w:rPr>
                <w:rFonts w:cs="Arial"/>
                <w:sz w:val="18"/>
                <w:szCs w:val="18"/>
              </w:rPr>
            </w:pPr>
            <w:r w:rsidRPr="003E764D">
              <w:rPr>
                <w:rFonts w:cs="Arial"/>
                <w:sz w:val="18"/>
                <w:szCs w:val="18"/>
              </w:rPr>
              <w:t>Source</w:t>
            </w:r>
          </w:p>
        </w:tc>
        <w:tc>
          <w:tcPr>
            <w:tcW w:w="1999" w:type="dxa"/>
            <w:vMerge/>
            <w:tcBorders>
              <w:left w:val="single" w:sz="6" w:space="0" w:color="auto"/>
              <w:bottom w:val="double" w:sz="4" w:space="0" w:color="auto"/>
            </w:tcBorders>
            <w:vAlign w:val="center"/>
          </w:tcPr>
          <w:p w14:paraId="188A6B05" w14:textId="77777777" w:rsidR="001A55C0" w:rsidRPr="003E764D" w:rsidRDefault="001A55C0" w:rsidP="004611FC">
            <w:pPr>
              <w:ind w:left="0" w:firstLine="0"/>
              <w:jc w:val="center"/>
              <w:rPr>
                <w:rFonts w:cs="Arial"/>
                <w:sz w:val="18"/>
                <w:szCs w:val="18"/>
              </w:rPr>
            </w:pPr>
          </w:p>
        </w:tc>
      </w:tr>
      <w:tr w:rsidR="00096EE7" w:rsidRPr="00FD516E" w14:paraId="229511A3" w14:textId="77777777" w:rsidTr="00033758">
        <w:tblPrEx>
          <w:tblCellMar>
            <w:left w:w="120" w:type="dxa"/>
            <w:right w:w="120" w:type="dxa"/>
          </w:tblCellMar>
        </w:tblPrEx>
        <w:trPr>
          <w:cantSplit/>
          <w:trHeight w:val="480"/>
        </w:trPr>
        <w:tc>
          <w:tcPr>
            <w:tcW w:w="1001" w:type="dxa"/>
            <w:tcBorders>
              <w:top w:val="double" w:sz="4" w:space="0" w:color="auto"/>
              <w:bottom w:val="single" w:sz="6" w:space="0" w:color="auto"/>
              <w:right w:val="single" w:sz="6" w:space="0" w:color="auto"/>
            </w:tcBorders>
            <w:vAlign w:val="center"/>
          </w:tcPr>
          <w:p w14:paraId="39E4CB78" w14:textId="77777777" w:rsidR="00096EE7" w:rsidRPr="00FD516E" w:rsidRDefault="00096EE7" w:rsidP="00772AEB">
            <w:pPr>
              <w:ind w:left="0" w:firstLine="0"/>
              <w:jc w:val="center"/>
              <w:rPr>
                <w:rFonts w:cs="Arial"/>
                <w:sz w:val="18"/>
                <w:szCs w:val="18"/>
              </w:rPr>
            </w:pPr>
            <w:r w:rsidRPr="00FD516E">
              <w:rPr>
                <w:rFonts w:cs="Arial"/>
                <w:sz w:val="18"/>
                <w:szCs w:val="18"/>
              </w:rPr>
              <w:t>SO</w:t>
            </w:r>
            <w:r w:rsidRPr="00FD516E">
              <w:rPr>
                <w:rFonts w:cs="Arial"/>
                <w:sz w:val="18"/>
                <w:szCs w:val="18"/>
                <w:vertAlign w:val="subscript"/>
              </w:rPr>
              <w:t>2</w:t>
            </w:r>
          </w:p>
        </w:tc>
        <w:tc>
          <w:tcPr>
            <w:tcW w:w="1076" w:type="dxa"/>
            <w:tcBorders>
              <w:top w:val="double" w:sz="4" w:space="0" w:color="auto"/>
              <w:left w:val="single" w:sz="6" w:space="0" w:color="auto"/>
              <w:bottom w:val="single" w:sz="6" w:space="0" w:color="auto"/>
              <w:right w:val="single" w:sz="6" w:space="0" w:color="auto"/>
            </w:tcBorders>
            <w:vAlign w:val="center"/>
          </w:tcPr>
          <w:p w14:paraId="195E8D64" w14:textId="0230FA47" w:rsidR="00096EE7" w:rsidRPr="00FD516E" w:rsidRDefault="00096EE7" w:rsidP="00772AEB">
            <w:pPr>
              <w:ind w:left="0" w:firstLine="0"/>
              <w:jc w:val="center"/>
              <w:rPr>
                <w:rFonts w:cs="Arial"/>
                <w:sz w:val="18"/>
                <w:szCs w:val="18"/>
              </w:rPr>
            </w:pPr>
            <w:r w:rsidRPr="00FD516E">
              <w:rPr>
                <w:rFonts w:cs="Arial"/>
                <w:sz w:val="18"/>
                <w:szCs w:val="18"/>
              </w:rPr>
              <w:t>0.136</w:t>
            </w:r>
          </w:p>
        </w:tc>
        <w:tc>
          <w:tcPr>
            <w:tcW w:w="1791" w:type="dxa"/>
            <w:vMerge w:val="restart"/>
            <w:tcBorders>
              <w:top w:val="double" w:sz="4" w:space="0" w:color="auto"/>
              <w:left w:val="single" w:sz="6" w:space="0" w:color="auto"/>
              <w:right w:val="single" w:sz="6" w:space="0" w:color="auto"/>
            </w:tcBorders>
            <w:vAlign w:val="center"/>
          </w:tcPr>
          <w:p w14:paraId="5B630427" w14:textId="7F7E3C40" w:rsidR="00096EE7" w:rsidRPr="00FD516E" w:rsidRDefault="00096EE7" w:rsidP="00772AEB">
            <w:pPr>
              <w:ind w:left="0"/>
              <w:jc w:val="center"/>
              <w:rPr>
                <w:rFonts w:cs="Arial"/>
                <w:sz w:val="18"/>
                <w:szCs w:val="18"/>
              </w:rPr>
            </w:pPr>
            <w:r w:rsidRPr="00FD516E">
              <w:rPr>
                <w:rFonts w:cs="Arial"/>
                <w:sz w:val="18"/>
                <w:szCs w:val="18"/>
              </w:rPr>
              <w:t>lb/MMBtu</w:t>
            </w:r>
            <w:r w:rsidR="00A705E0" w:rsidRPr="00FD516E">
              <w:rPr>
                <w:rFonts w:cs="Arial"/>
                <w:sz w:val="18"/>
                <w:szCs w:val="18"/>
              </w:rPr>
              <w:t xml:space="preserve"> </w:t>
            </w:r>
            <w:r w:rsidR="00A705E0" w:rsidRPr="00FD516E">
              <w:rPr>
                <w:rFonts w:cs="Arial"/>
                <w:sz w:val="20"/>
                <w:vertAlign w:val="superscript"/>
              </w:rPr>
              <w:t>1</w:t>
            </w:r>
          </w:p>
        </w:tc>
        <w:tc>
          <w:tcPr>
            <w:tcW w:w="2773" w:type="dxa"/>
            <w:tcBorders>
              <w:top w:val="double" w:sz="4" w:space="0" w:color="auto"/>
              <w:left w:val="single" w:sz="6" w:space="0" w:color="auto"/>
              <w:bottom w:val="single" w:sz="4" w:space="0" w:color="auto"/>
              <w:right w:val="single" w:sz="6" w:space="0" w:color="auto"/>
            </w:tcBorders>
            <w:vAlign w:val="center"/>
          </w:tcPr>
          <w:p w14:paraId="00A3294F" w14:textId="6078A307" w:rsidR="00096EE7" w:rsidRPr="00FD516E" w:rsidRDefault="00096EE7" w:rsidP="00772AEB">
            <w:pPr>
              <w:ind w:left="0" w:firstLine="0"/>
              <w:jc w:val="center"/>
              <w:rPr>
                <w:rFonts w:cs="Arial"/>
                <w:sz w:val="18"/>
                <w:szCs w:val="18"/>
              </w:rPr>
            </w:pPr>
            <w:r w:rsidRPr="00FD516E">
              <w:rPr>
                <w:rFonts w:cs="Arial"/>
                <w:sz w:val="18"/>
                <w:szCs w:val="18"/>
              </w:rPr>
              <w:t>Site Specific Data - Application for #AOP-14-034</w:t>
            </w:r>
          </w:p>
        </w:tc>
        <w:tc>
          <w:tcPr>
            <w:tcW w:w="1999" w:type="dxa"/>
            <w:tcBorders>
              <w:top w:val="double" w:sz="4" w:space="0" w:color="auto"/>
              <w:left w:val="single" w:sz="6" w:space="0" w:color="auto"/>
              <w:bottom w:val="single" w:sz="6" w:space="0" w:color="auto"/>
            </w:tcBorders>
            <w:vAlign w:val="center"/>
          </w:tcPr>
          <w:p w14:paraId="0E7466B6" w14:textId="1CCD6519" w:rsidR="00096EE7" w:rsidRPr="00FD516E" w:rsidRDefault="00B21C03" w:rsidP="00EB080C">
            <w:pPr>
              <w:ind w:left="0" w:firstLine="0"/>
              <w:jc w:val="center"/>
              <w:rPr>
                <w:rFonts w:cs="Arial"/>
                <w:sz w:val="18"/>
                <w:szCs w:val="18"/>
              </w:rPr>
            </w:pPr>
            <w:r w:rsidRPr="00FD516E">
              <w:rPr>
                <w:rFonts w:cs="Arial"/>
                <w:sz w:val="18"/>
                <w:szCs w:val="18"/>
              </w:rPr>
              <w:t>89.</w:t>
            </w:r>
            <w:r w:rsidR="00EB080C" w:rsidRPr="00FD516E">
              <w:rPr>
                <w:rFonts w:cs="Arial"/>
                <w:sz w:val="18"/>
                <w:szCs w:val="18"/>
              </w:rPr>
              <w:t>35</w:t>
            </w:r>
          </w:p>
        </w:tc>
      </w:tr>
      <w:tr w:rsidR="00096EE7" w:rsidRPr="00FD516E" w14:paraId="4C582107" w14:textId="77777777" w:rsidTr="00033758">
        <w:tblPrEx>
          <w:tblCellMar>
            <w:left w:w="120" w:type="dxa"/>
            <w:right w:w="120" w:type="dxa"/>
          </w:tblCellMar>
        </w:tblPrEx>
        <w:trPr>
          <w:cantSplit/>
          <w:trHeight w:val="525"/>
        </w:trPr>
        <w:tc>
          <w:tcPr>
            <w:tcW w:w="1001" w:type="dxa"/>
            <w:tcBorders>
              <w:top w:val="single" w:sz="6" w:space="0" w:color="auto"/>
              <w:bottom w:val="single" w:sz="6" w:space="0" w:color="auto"/>
              <w:right w:val="single" w:sz="6" w:space="0" w:color="auto"/>
            </w:tcBorders>
            <w:vAlign w:val="center"/>
          </w:tcPr>
          <w:p w14:paraId="4BD25E10" w14:textId="77777777" w:rsidR="00096EE7" w:rsidRPr="00FD516E" w:rsidRDefault="00096EE7" w:rsidP="00772AEB">
            <w:pPr>
              <w:ind w:left="0" w:firstLine="0"/>
              <w:jc w:val="center"/>
              <w:rPr>
                <w:rFonts w:cs="Arial"/>
                <w:sz w:val="18"/>
                <w:szCs w:val="18"/>
              </w:rPr>
            </w:pPr>
            <w:r w:rsidRPr="00FD516E">
              <w:rPr>
                <w:rFonts w:cs="Arial"/>
                <w:sz w:val="18"/>
                <w:szCs w:val="18"/>
              </w:rPr>
              <w:t>NO</w:t>
            </w:r>
            <w:r w:rsidRPr="00FD516E">
              <w:rPr>
                <w:rFonts w:cs="Arial"/>
                <w:sz w:val="18"/>
                <w:szCs w:val="18"/>
                <w:vertAlign w:val="subscript"/>
              </w:rPr>
              <w:t>x</w:t>
            </w:r>
          </w:p>
        </w:tc>
        <w:tc>
          <w:tcPr>
            <w:tcW w:w="1076" w:type="dxa"/>
            <w:tcBorders>
              <w:top w:val="single" w:sz="6" w:space="0" w:color="auto"/>
              <w:left w:val="single" w:sz="6" w:space="0" w:color="auto"/>
              <w:bottom w:val="single" w:sz="6" w:space="0" w:color="auto"/>
              <w:right w:val="single" w:sz="6" w:space="0" w:color="auto"/>
            </w:tcBorders>
            <w:vAlign w:val="center"/>
          </w:tcPr>
          <w:p w14:paraId="606F64B7" w14:textId="18C27AE5" w:rsidR="00096EE7" w:rsidRPr="00FD516E" w:rsidRDefault="00096EE7" w:rsidP="00772AEB">
            <w:pPr>
              <w:ind w:left="0" w:firstLine="0"/>
              <w:jc w:val="center"/>
              <w:rPr>
                <w:rFonts w:cs="Arial"/>
                <w:sz w:val="18"/>
                <w:szCs w:val="18"/>
              </w:rPr>
            </w:pPr>
            <w:r w:rsidRPr="00FD516E">
              <w:rPr>
                <w:rFonts w:cs="Arial"/>
                <w:sz w:val="18"/>
                <w:szCs w:val="18"/>
              </w:rPr>
              <w:t>0.068</w:t>
            </w:r>
          </w:p>
        </w:tc>
        <w:tc>
          <w:tcPr>
            <w:tcW w:w="1791" w:type="dxa"/>
            <w:vMerge/>
            <w:tcBorders>
              <w:left w:val="single" w:sz="6" w:space="0" w:color="auto"/>
              <w:bottom w:val="single" w:sz="6" w:space="0" w:color="auto"/>
              <w:right w:val="single" w:sz="6" w:space="0" w:color="auto"/>
            </w:tcBorders>
            <w:vAlign w:val="center"/>
          </w:tcPr>
          <w:p w14:paraId="2C779AFF" w14:textId="64A34B1A" w:rsidR="00096EE7" w:rsidRPr="00FD516E" w:rsidRDefault="00096EE7" w:rsidP="00772AEB">
            <w:pPr>
              <w:ind w:left="0" w:firstLine="0"/>
              <w:jc w:val="center"/>
              <w:rPr>
                <w:rFonts w:cs="Arial"/>
                <w:sz w:val="18"/>
                <w:szCs w:val="18"/>
              </w:rPr>
            </w:pPr>
          </w:p>
        </w:tc>
        <w:tc>
          <w:tcPr>
            <w:tcW w:w="2773" w:type="dxa"/>
            <w:tcBorders>
              <w:top w:val="single" w:sz="4" w:space="0" w:color="auto"/>
              <w:left w:val="single" w:sz="6" w:space="0" w:color="auto"/>
              <w:bottom w:val="single" w:sz="6" w:space="0" w:color="auto"/>
              <w:right w:val="single" w:sz="6" w:space="0" w:color="auto"/>
            </w:tcBorders>
            <w:vAlign w:val="center"/>
          </w:tcPr>
          <w:p w14:paraId="0381EC4D" w14:textId="51242330" w:rsidR="00096EE7" w:rsidRPr="00FD516E" w:rsidRDefault="00096EE7" w:rsidP="00772AEB">
            <w:pPr>
              <w:ind w:left="0" w:firstLine="0"/>
              <w:jc w:val="center"/>
              <w:rPr>
                <w:rFonts w:cs="Arial"/>
                <w:sz w:val="18"/>
                <w:szCs w:val="18"/>
              </w:rPr>
            </w:pPr>
            <w:r w:rsidRPr="00FD516E">
              <w:rPr>
                <w:rFonts w:cs="Arial"/>
                <w:sz w:val="18"/>
                <w:szCs w:val="18"/>
              </w:rPr>
              <w:t>Vendor Supplied – Application for #AOP-14-034</w:t>
            </w:r>
          </w:p>
        </w:tc>
        <w:tc>
          <w:tcPr>
            <w:tcW w:w="1999" w:type="dxa"/>
            <w:tcBorders>
              <w:top w:val="single" w:sz="6" w:space="0" w:color="auto"/>
              <w:left w:val="single" w:sz="6" w:space="0" w:color="auto"/>
              <w:bottom w:val="single" w:sz="6" w:space="0" w:color="auto"/>
            </w:tcBorders>
            <w:vAlign w:val="center"/>
          </w:tcPr>
          <w:p w14:paraId="2A52FA46" w14:textId="544A138D" w:rsidR="00096EE7" w:rsidRPr="00FD516E" w:rsidRDefault="00364AD7" w:rsidP="00772AEB">
            <w:pPr>
              <w:ind w:left="0" w:firstLine="0"/>
              <w:jc w:val="center"/>
              <w:rPr>
                <w:rFonts w:cs="Arial"/>
                <w:sz w:val="18"/>
                <w:szCs w:val="18"/>
              </w:rPr>
            </w:pPr>
            <w:r w:rsidRPr="00FD516E">
              <w:rPr>
                <w:rFonts w:cs="Arial"/>
                <w:sz w:val="18"/>
                <w:szCs w:val="18"/>
              </w:rPr>
              <w:t>44.68</w:t>
            </w:r>
          </w:p>
        </w:tc>
      </w:tr>
      <w:tr w:rsidR="001A55C0" w:rsidRPr="00FD516E" w14:paraId="4F31DF32" w14:textId="77777777" w:rsidTr="00033758">
        <w:tblPrEx>
          <w:tblCellMar>
            <w:left w:w="120" w:type="dxa"/>
            <w:right w:w="120" w:type="dxa"/>
          </w:tblCellMar>
        </w:tblPrEx>
        <w:trPr>
          <w:cantSplit/>
          <w:trHeight w:val="354"/>
        </w:trPr>
        <w:tc>
          <w:tcPr>
            <w:tcW w:w="1001" w:type="dxa"/>
            <w:tcBorders>
              <w:top w:val="single" w:sz="6" w:space="0" w:color="auto"/>
              <w:bottom w:val="single" w:sz="6" w:space="0" w:color="auto"/>
              <w:right w:val="single" w:sz="6" w:space="0" w:color="auto"/>
            </w:tcBorders>
            <w:vAlign w:val="center"/>
          </w:tcPr>
          <w:p w14:paraId="6BF7DBF6" w14:textId="77777777" w:rsidR="001A55C0" w:rsidRPr="00FD516E" w:rsidRDefault="001A55C0" w:rsidP="00772AEB">
            <w:pPr>
              <w:ind w:left="0" w:firstLine="0"/>
              <w:jc w:val="center"/>
              <w:rPr>
                <w:rFonts w:cs="Arial"/>
                <w:sz w:val="18"/>
                <w:szCs w:val="18"/>
              </w:rPr>
            </w:pPr>
            <w:r w:rsidRPr="00FD516E">
              <w:rPr>
                <w:rFonts w:cs="Arial"/>
                <w:sz w:val="18"/>
                <w:szCs w:val="18"/>
              </w:rPr>
              <w:t>PM</w:t>
            </w:r>
          </w:p>
        </w:tc>
        <w:tc>
          <w:tcPr>
            <w:tcW w:w="1076" w:type="dxa"/>
            <w:tcBorders>
              <w:top w:val="single" w:sz="6" w:space="0" w:color="auto"/>
              <w:left w:val="single" w:sz="6" w:space="0" w:color="auto"/>
              <w:bottom w:val="single" w:sz="6" w:space="0" w:color="auto"/>
              <w:right w:val="single" w:sz="6" w:space="0" w:color="auto"/>
            </w:tcBorders>
            <w:vAlign w:val="center"/>
          </w:tcPr>
          <w:p w14:paraId="1EBE6514" w14:textId="1D7870C2" w:rsidR="001A55C0" w:rsidRPr="00FD516E" w:rsidRDefault="004B65DB" w:rsidP="00772AEB">
            <w:pPr>
              <w:ind w:left="0" w:firstLine="0"/>
              <w:jc w:val="center"/>
              <w:rPr>
                <w:rFonts w:cs="Arial"/>
                <w:sz w:val="18"/>
                <w:szCs w:val="18"/>
              </w:rPr>
            </w:pPr>
            <w:r w:rsidRPr="00FD516E">
              <w:rPr>
                <w:rFonts w:cs="Arial"/>
                <w:sz w:val="18"/>
                <w:szCs w:val="18"/>
              </w:rPr>
              <w:t>26</w:t>
            </w:r>
          </w:p>
        </w:tc>
        <w:tc>
          <w:tcPr>
            <w:tcW w:w="1791" w:type="dxa"/>
            <w:tcBorders>
              <w:top w:val="nil"/>
              <w:left w:val="single" w:sz="6" w:space="0" w:color="auto"/>
              <w:bottom w:val="single" w:sz="6" w:space="0" w:color="auto"/>
              <w:right w:val="single" w:sz="6" w:space="0" w:color="auto"/>
            </w:tcBorders>
            <w:vAlign w:val="center"/>
          </w:tcPr>
          <w:p w14:paraId="09387BB9" w14:textId="28DA610E" w:rsidR="001A55C0" w:rsidRPr="00FD516E" w:rsidRDefault="00772AEB" w:rsidP="00772AEB">
            <w:pPr>
              <w:ind w:left="0" w:firstLine="0"/>
              <w:jc w:val="center"/>
              <w:rPr>
                <w:rFonts w:cs="Arial"/>
                <w:sz w:val="18"/>
                <w:szCs w:val="18"/>
              </w:rPr>
            </w:pPr>
            <w:r w:rsidRPr="00FD516E">
              <w:rPr>
                <w:rFonts w:cs="Arial"/>
                <w:sz w:val="18"/>
                <w:szCs w:val="18"/>
              </w:rPr>
              <w:t>lb/MMcf methane</w:t>
            </w:r>
            <w:r w:rsidR="00A705E0" w:rsidRPr="00FD516E">
              <w:rPr>
                <w:rFonts w:cs="Arial"/>
                <w:sz w:val="18"/>
                <w:szCs w:val="18"/>
              </w:rPr>
              <w:t xml:space="preserve"> </w:t>
            </w:r>
            <w:r w:rsidR="00A705E0" w:rsidRPr="00FD516E">
              <w:rPr>
                <w:rFonts w:cs="Arial"/>
                <w:sz w:val="20"/>
                <w:vertAlign w:val="superscript"/>
              </w:rPr>
              <w:t>2</w:t>
            </w:r>
          </w:p>
        </w:tc>
        <w:tc>
          <w:tcPr>
            <w:tcW w:w="2773" w:type="dxa"/>
            <w:tcBorders>
              <w:top w:val="single" w:sz="6" w:space="0" w:color="auto"/>
              <w:left w:val="single" w:sz="6" w:space="0" w:color="auto"/>
              <w:bottom w:val="single" w:sz="6" w:space="0" w:color="auto"/>
              <w:right w:val="single" w:sz="6" w:space="0" w:color="auto"/>
            </w:tcBorders>
            <w:vAlign w:val="center"/>
          </w:tcPr>
          <w:p w14:paraId="56EF184F" w14:textId="55382064" w:rsidR="001A55C0" w:rsidRPr="00FD516E" w:rsidRDefault="002B0F48" w:rsidP="002B0F48">
            <w:pPr>
              <w:ind w:left="0" w:firstLine="0"/>
              <w:jc w:val="center"/>
              <w:rPr>
                <w:rFonts w:cs="Arial"/>
                <w:sz w:val="18"/>
                <w:szCs w:val="18"/>
              </w:rPr>
            </w:pPr>
            <w:r w:rsidRPr="00FD516E">
              <w:rPr>
                <w:rFonts w:cs="Arial"/>
                <w:sz w:val="18"/>
                <w:szCs w:val="18"/>
              </w:rPr>
              <w:t>AP-42, Municipal Solid Waste Landfills, Table 2.4-5 (11/98)</w:t>
            </w:r>
            <w:r w:rsidR="00600E59" w:rsidRPr="00FD516E">
              <w:rPr>
                <w:rFonts w:cs="Arial"/>
                <w:sz w:val="18"/>
                <w:szCs w:val="18"/>
              </w:rPr>
              <w:t xml:space="preserve"> plus PM emissions from siloxane combustion</w:t>
            </w:r>
          </w:p>
        </w:tc>
        <w:tc>
          <w:tcPr>
            <w:tcW w:w="1999" w:type="dxa"/>
            <w:tcBorders>
              <w:top w:val="single" w:sz="6" w:space="0" w:color="auto"/>
              <w:left w:val="single" w:sz="6" w:space="0" w:color="auto"/>
              <w:bottom w:val="single" w:sz="6" w:space="0" w:color="auto"/>
            </w:tcBorders>
            <w:vAlign w:val="center"/>
          </w:tcPr>
          <w:p w14:paraId="2D848011" w14:textId="4D76C54F" w:rsidR="001A55C0" w:rsidRPr="00FD516E" w:rsidRDefault="004B65DB" w:rsidP="00772AEB">
            <w:pPr>
              <w:ind w:left="0" w:firstLine="0"/>
              <w:jc w:val="center"/>
              <w:rPr>
                <w:rFonts w:cs="Arial"/>
                <w:sz w:val="18"/>
                <w:szCs w:val="18"/>
              </w:rPr>
            </w:pPr>
            <w:r w:rsidRPr="00FD516E">
              <w:rPr>
                <w:rFonts w:cs="Arial"/>
                <w:sz w:val="18"/>
                <w:szCs w:val="18"/>
              </w:rPr>
              <w:t>17.31</w:t>
            </w:r>
          </w:p>
        </w:tc>
      </w:tr>
      <w:tr w:rsidR="00022588" w:rsidRPr="00FD516E" w14:paraId="62497094" w14:textId="77777777" w:rsidTr="00033758">
        <w:tblPrEx>
          <w:tblCellMar>
            <w:left w:w="120" w:type="dxa"/>
            <w:right w:w="120" w:type="dxa"/>
          </w:tblCellMar>
        </w:tblPrEx>
        <w:trPr>
          <w:cantSplit/>
          <w:trHeight w:val="444"/>
        </w:trPr>
        <w:tc>
          <w:tcPr>
            <w:tcW w:w="1001" w:type="dxa"/>
            <w:tcBorders>
              <w:top w:val="single" w:sz="6" w:space="0" w:color="auto"/>
              <w:bottom w:val="single" w:sz="6" w:space="0" w:color="auto"/>
              <w:right w:val="single" w:sz="6" w:space="0" w:color="auto"/>
            </w:tcBorders>
            <w:vAlign w:val="center"/>
          </w:tcPr>
          <w:p w14:paraId="474C64E5" w14:textId="77777777" w:rsidR="00022588" w:rsidRPr="00FD516E" w:rsidRDefault="00022588" w:rsidP="00772AEB">
            <w:pPr>
              <w:ind w:left="0" w:firstLine="0"/>
              <w:jc w:val="center"/>
              <w:rPr>
                <w:rFonts w:cs="Arial"/>
                <w:sz w:val="18"/>
                <w:szCs w:val="18"/>
              </w:rPr>
            </w:pPr>
            <w:r w:rsidRPr="00FD516E">
              <w:rPr>
                <w:rFonts w:cs="Arial"/>
                <w:sz w:val="18"/>
                <w:szCs w:val="18"/>
              </w:rPr>
              <w:t>CO</w:t>
            </w:r>
          </w:p>
        </w:tc>
        <w:tc>
          <w:tcPr>
            <w:tcW w:w="1076" w:type="dxa"/>
            <w:tcBorders>
              <w:top w:val="single" w:sz="6" w:space="0" w:color="auto"/>
              <w:left w:val="single" w:sz="6" w:space="0" w:color="auto"/>
              <w:bottom w:val="single" w:sz="6" w:space="0" w:color="auto"/>
              <w:right w:val="single" w:sz="6" w:space="0" w:color="auto"/>
            </w:tcBorders>
            <w:vAlign w:val="center"/>
          </w:tcPr>
          <w:p w14:paraId="58C775F7" w14:textId="387F8F12" w:rsidR="00022588" w:rsidRPr="00FD516E" w:rsidRDefault="00022588" w:rsidP="00772AEB">
            <w:pPr>
              <w:ind w:left="0" w:firstLine="0"/>
              <w:jc w:val="center"/>
              <w:rPr>
                <w:rFonts w:cs="Arial"/>
                <w:sz w:val="18"/>
                <w:szCs w:val="18"/>
              </w:rPr>
            </w:pPr>
            <w:r w:rsidRPr="00FD516E">
              <w:rPr>
                <w:rFonts w:cs="Arial"/>
                <w:sz w:val="18"/>
                <w:szCs w:val="18"/>
              </w:rPr>
              <w:t>0.37</w:t>
            </w:r>
          </w:p>
        </w:tc>
        <w:tc>
          <w:tcPr>
            <w:tcW w:w="1791" w:type="dxa"/>
            <w:vMerge w:val="restart"/>
            <w:tcBorders>
              <w:top w:val="single" w:sz="6" w:space="0" w:color="auto"/>
              <w:left w:val="single" w:sz="6" w:space="0" w:color="auto"/>
              <w:right w:val="single" w:sz="6" w:space="0" w:color="auto"/>
            </w:tcBorders>
            <w:vAlign w:val="center"/>
          </w:tcPr>
          <w:p w14:paraId="77055739" w14:textId="5CCA2F06" w:rsidR="00022588" w:rsidRPr="00FD516E" w:rsidRDefault="00022588" w:rsidP="00772AEB">
            <w:pPr>
              <w:ind w:left="0" w:firstLine="0"/>
              <w:jc w:val="center"/>
              <w:rPr>
                <w:rFonts w:cs="Arial"/>
                <w:sz w:val="18"/>
                <w:szCs w:val="18"/>
              </w:rPr>
            </w:pPr>
            <w:r w:rsidRPr="00FD516E">
              <w:rPr>
                <w:rFonts w:cs="Arial"/>
                <w:sz w:val="18"/>
                <w:szCs w:val="18"/>
              </w:rPr>
              <w:t>lb/MMBtu</w:t>
            </w:r>
            <w:r w:rsidR="00A705E0" w:rsidRPr="00FD516E">
              <w:rPr>
                <w:rFonts w:cs="Arial"/>
                <w:sz w:val="18"/>
                <w:szCs w:val="18"/>
              </w:rPr>
              <w:t xml:space="preserve"> </w:t>
            </w:r>
            <w:r w:rsidR="00A705E0" w:rsidRPr="00FD516E">
              <w:rPr>
                <w:rFonts w:cs="Arial"/>
                <w:sz w:val="20"/>
                <w:vertAlign w:val="superscript"/>
              </w:rPr>
              <w:t>1</w:t>
            </w:r>
          </w:p>
        </w:tc>
        <w:tc>
          <w:tcPr>
            <w:tcW w:w="2773" w:type="dxa"/>
            <w:tcBorders>
              <w:top w:val="single" w:sz="6" w:space="0" w:color="auto"/>
              <w:left w:val="single" w:sz="6" w:space="0" w:color="auto"/>
              <w:bottom w:val="single" w:sz="6" w:space="0" w:color="auto"/>
              <w:right w:val="single" w:sz="6" w:space="0" w:color="auto"/>
            </w:tcBorders>
            <w:vAlign w:val="center"/>
          </w:tcPr>
          <w:p w14:paraId="22F02563" w14:textId="26A315CE" w:rsidR="00022588" w:rsidRPr="00FD516E" w:rsidRDefault="00022588" w:rsidP="00772AEB">
            <w:pPr>
              <w:ind w:left="0" w:firstLine="0"/>
              <w:jc w:val="center"/>
              <w:rPr>
                <w:rFonts w:cs="Arial"/>
                <w:sz w:val="18"/>
                <w:szCs w:val="18"/>
              </w:rPr>
            </w:pPr>
            <w:r w:rsidRPr="00FD516E">
              <w:rPr>
                <w:rFonts w:cs="Arial"/>
                <w:sz w:val="18"/>
                <w:szCs w:val="18"/>
              </w:rPr>
              <w:t>Vendor Supplied – Application for #AOP-14-034</w:t>
            </w:r>
          </w:p>
        </w:tc>
        <w:tc>
          <w:tcPr>
            <w:tcW w:w="1999" w:type="dxa"/>
            <w:tcBorders>
              <w:top w:val="single" w:sz="6" w:space="0" w:color="auto"/>
              <w:left w:val="single" w:sz="6" w:space="0" w:color="auto"/>
              <w:bottom w:val="single" w:sz="6" w:space="0" w:color="auto"/>
            </w:tcBorders>
            <w:vAlign w:val="center"/>
          </w:tcPr>
          <w:p w14:paraId="71D70E38" w14:textId="0E65FFA4" w:rsidR="00022588" w:rsidRPr="00FD516E" w:rsidRDefault="00022588" w:rsidP="00772AEB">
            <w:pPr>
              <w:ind w:left="0" w:firstLine="0"/>
              <w:jc w:val="center"/>
              <w:rPr>
                <w:rFonts w:cs="Arial"/>
                <w:sz w:val="18"/>
                <w:szCs w:val="18"/>
              </w:rPr>
            </w:pPr>
            <w:r w:rsidRPr="00FD516E">
              <w:rPr>
                <w:rFonts w:cs="Arial"/>
                <w:sz w:val="18"/>
                <w:szCs w:val="18"/>
              </w:rPr>
              <w:t>243.09</w:t>
            </w:r>
          </w:p>
        </w:tc>
      </w:tr>
      <w:tr w:rsidR="00022588" w:rsidRPr="00FD516E" w14:paraId="52527130" w14:textId="77777777" w:rsidTr="00033758">
        <w:tblPrEx>
          <w:tblCellMar>
            <w:left w:w="120" w:type="dxa"/>
            <w:right w:w="120" w:type="dxa"/>
          </w:tblCellMar>
        </w:tblPrEx>
        <w:trPr>
          <w:cantSplit/>
          <w:trHeight w:val="288"/>
        </w:trPr>
        <w:tc>
          <w:tcPr>
            <w:tcW w:w="1001" w:type="dxa"/>
            <w:tcBorders>
              <w:top w:val="single" w:sz="6" w:space="0" w:color="auto"/>
              <w:bottom w:val="single" w:sz="6" w:space="0" w:color="auto"/>
              <w:right w:val="single" w:sz="6" w:space="0" w:color="auto"/>
            </w:tcBorders>
            <w:vAlign w:val="center"/>
          </w:tcPr>
          <w:p w14:paraId="3670CFE2" w14:textId="77777777" w:rsidR="00022588" w:rsidRPr="00FD516E" w:rsidRDefault="00022588" w:rsidP="00772AEB">
            <w:pPr>
              <w:ind w:left="0" w:firstLine="0"/>
              <w:jc w:val="center"/>
              <w:rPr>
                <w:rFonts w:cs="Arial"/>
                <w:sz w:val="18"/>
                <w:szCs w:val="18"/>
              </w:rPr>
            </w:pPr>
            <w:r w:rsidRPr="00FD516E">
              <w:rPr>
                <w:rFonts w:cs="Arial"/>
                <w:sz w:val="18"/>
                <w:szCs w:val="18"/>
              </w:rPr>
              <w:t>VOC</w:t>
            </w:r>
          </w:p>
        </w:tc>
        <w:tc>
          <w:tcPr>
            <w:tcW w:w="1076" w:type="dxa"/>
            <w:tcBorders>
              <w:top w:val="single" w:sz="6" w:space="0" w:color="auto"/>
              <w:left w:val="single" w:sz="6" w:space="0" w:color="auto"/>
              <w:bottom w:val="single" w:sz="6" w:space="0" w:color="auto"/>
              <w:right w:val="single" w:sz="6" w:space="0" w:color="auto"/>
            </w:tcBorders>
            <w:vAlign w:val="center"/>
          </w:tcPr>
          <w:p w14:paraId="20E3DD15" w14:textId="5D70A4D3" w:rsidR="00022588" w:rsidRPr="00FD516E" w:rsidRDefault="00022588" w:rsidP="00022588">
            <w:pPr>
              <w:ind w:left="0" w:firstLine="0"/>
              <w:jc w:val="center"/>
              <w:rPr>
                <w:rFonts w:cs="Arial"/>
                <w:sz w:val="18"/>
                <w:szCs w:val="18"/>
              </w:rPr>
            </w:pPr>
            <w:r w:rsidRPr="00FD516E">
              <w:rPr>
                <w:rFonts w:cs="Arial"/>
                <w:sz w:val="18"/>
                <w:szCs w:val="18"/>
              </w:rPr>
              <w:t>2.00E-03</w:t>
            </w:r>
          </w:p>
        </w:tc>
        <w:tc>
          <w:tcPr>
            <w:tcW w:w="1791" w:type="dxa"/>
            <w:vMerge/>
            <w:tcBorders>
              <w:left w:val="single" w:sz="6" w:space="0" w:color="auto"/>
              <w:right w:val="single" w:sz="6" w:space="0" w:color="auto"/>
            </w:tcBorders>
            <w:vAlign w:val="center"/>
          </w:tcPr>
          <w:p w14:paraId="60A52925" w14:textId="085F18F2" w:rsidR="00022588" w:rsidRPr="00FD516E" w:rsidRDefault="00022588" w:rsidP="00772AEB">
            <w:pPr>
              <w:ind w:left="0" w:firstLine="0"/>
              <w:jc w:val="center"/>
              <w:rPr>
                <w:rFonts w:cs="Arial"/>
                <w:sz w:val="18"/>
                <w:szCs w:val="18"/>
              </w:rPr>
            </w:pPr>
          </w:p>
        </w:tc>
        <w:tc>
          <w:tcPr>
            <w:tcW w:w="2773" w:type="dxa"/>
            <w:vMerge w:val="restart"/>
            <w:tcBorders>
              <w:top w:val="single" w:sz="6" w:space="0" w:color="auto"/>
              <w:left w:val="single" w:sz="6" w:space="0" w:color="auto"/>
              <w:right w:val="single" w:sz="6" w:space="0" w:color="auto"/>
            </w:tcBorders>
            <w:vAlign w:val="center"/>
          </w:tcPr>
          <w:p w14:paraId="3B286B53" w14:textId="1994A7E7" w:rsidR="00022588" w:rsidRPr="00FD516E" w:rsidRDefault="00022588" w:rsidP="00772AEB">
            <w:pPr>
              <w:ind w:left="0" w:firstLine="0"/>
              <w:jc w:val="center"/>
              <w:rPr>
                <w:rFonts w:cs="Arial"/>
                <w:sz w:val="18"/>
                <w:szCs w:val="18"/>
              </w:rPr>
            </w:pPr>
            <w:r w:rsidRPr="00FD516E">
              <w:rPr>
                <w:rFonts w:cs="Arial"/>
                <w:sz w:val="18"/>
                <w:szCs w:val="18"/>
              </w:rPr>
              <w:t>Site Specific Data - Application for #AOP-14-034</w:t>
            </w:r>
          </w:p>
        </w:tc>
        <w:tc>
          <w:tcPr>
            <w:tcW w:w="1999" w:type="dxa"/>
            <w:tcBorders>
              <w:top w:val="single" w:sz="6" w:space="0" w:color="auto"/>
              <w:left w:val="single" w:sz="6" w:space="0" w:color="auto"/>
              <w:bottom w:val="single" w:sz="6" w:space="0" w:color="auto"/>
            </w:tcBorders>
            <w:vAlign w:val="center"/>
          </w:tcPr>
          <w:p w14:paraId="18AA24CC" w14:textId="7A0CF058" w:rsidR="00022588" w:rsidRPr="00FD516E" w:rsidRDefault="00022588" w:rsidP="00772AEB">
            <w:pPr>
              <w:ind w:left="0" w:firstLine="0"/>
              <w:jc w:val="center"/>
              <w:rPr>
                <w:rFonts w:cs="Arial"/>
                <w:sz w:val="18"/>
                <w:szCs w:val="18"/>
              </w:rPr>
            </w:pPr>
            <w:r w:rsidRPr="00FD516E">
              <w:rPr>
                <w:rFonts w:cs="Arial"/>
                <w:sz w:val="18"/>
                <w:szCs w:val="18"/>
              </w:rPr>
              <w:t>1.31</w:t>
            </w:r>
          </w:p>
        </w:tc>
      </w:tr>
      <w:tr w:rsidR="00022588" w:rsidRPr="00FD516E" w14:paraId="241E188D" w14:textId="77777777" w:rsidTr="00033758">
        <w:tblPrEx>
          <w:tblCellMar>
            <w:left w:w="120" w:type="dxa"/>
            <w:right w:w="120" w:type="dxa"/>
          </w:tblCellMar>
        </w:tblPrEx>
        <w:trPr>
          <w:cantSplit/>
          <w:trHeight w:val="288"/>
        </w:trPr>
        <w:tc>
          <w:tcPr>
            <w:tcW w:w="1001" w:type="dxa"/>
            <w:tcBorders>
              <w:top w:val="single" w:sz="6" w:space="0" w:color="auto"/>
              <w:bottom w:val="double" w:sz="4" w:space="0" w:color="auto"/>
              <w:right w:val="single" w:sz="6" w:space="0" w:color="auto"/>
            </w:tcBorders>
            <w:vAlign w:val="center"/>
          </w:tcPr>
          <w:p w14:paraId="3FCD186D" w14:textId="77777777" w:rsidR="00022588" w:rsidRPr="00FD516E" w:rsidRDefault="00022588" w:rsidP="00772AEB">
            <w:pPr>
              <w:ind w:left="0" w:firstLine="0"/>
              <w:jc w:val="center"/>
              <w:rPr>
                <w:rFonts w:cs="Arial"/>
                <w:sz w:val="18"/>
                <w:szCs w:val="18"/>
              </w:rPr>
            </w:pPr>
            <w:r w:rsidRPr="00FD516E">
              <w:rPr>
                <w:rFonts w:cs="Arial"/>
                <w:sz w:val="18"/>
                <w:szCs w:val="18"/>
              </w:rPr>
              <w:t>HAPs</w:t>
            </w:r>
          </w:p>
        </w:tc>
        <w:tc>
          <w:tcPr>
            <w:tcW w:w="1076" w:type="dxa"/>
            <w:tcBorders>
              <w:top w:val="single" w:sz="6" w:space="0" w:color="auto"/>
              <w:left w:val="single" w:sz="6" w:space="0" w:color="auto"/>
              <w:bottom w:val="double" w:sz="4" w:space="0" w:color="auto"/>
              <w:right w:val="single" w:sz="6" w:space="0" w:color="auto"/>
            </w:tcBorders>
            <w:vAlign w:val="center"/>
          </w:tcPr>
          <w:p w14:paraId="3A2EED35" w14:textId="4B385EF8" w:rsidR="00022588" w:rsidRPr="00FD516E" w:rsidRDefault="00022588" w:rsidP="00022588">
            <w:pPr>
              <w:ind w:left="0" w:firstLine="0"/>
              <w:jc w:val="center"/>
              <w:rPr>
                <w:rFonts w:cs="Arial"/>
                <w:sz w:val="18"/>
                <w:szCs w:val="18"/>
              </w:rPr>
            </w:pPr>
            <w:r w:rsidRPr="00FD516E">
              <w:rPr>
                <w:rFonts w:cs="Arial"/>
                <w:sz w:val="18"/>
                <w:szCs w:val="18"/>
              </w:rPr>
              <w:t>6.90E-04</w:t>
            </w:r>
          </w:p>
        </w:tc>
        <w:tc>
          <w:tcPr>
            <w:tcW w:w="1791" w:type="dxa"/>
            <w:vMerge/>
            <w:tcBorders>
              <w:left w:val="single" w:sz="6" w:space="0" w:color="auto"/>
              <w:bottom w:val="double" w:sz="4" w:space="0" w:color="auto"/>
              <w:right w:val="single" w:sz="6" w:space="0" w:color="auto"/>
            </w:tcBorders>
            <w:vAlign w:val="center"/>
          </w:tcPr>
          <w:p w14:paraId="354EDB67" w14:textId="434CBE27" w:rsidR="00022588" w:rsidRPr="00FD516E" w:rsidRDefault="00022588" w:rsidP="00772AEB">
            <w:pPr>
              <w:ind w:left="0" w:firstLine="0"/>
              <w:jc w:val="center"/>
              <w:rPr>
                <w:rFonts w:cs="Arial"/>
                <w:sz w:val="18"/>
                <w:szCs w:val="18"/>
              </w:rPr>
            </w:pPr>
          </w:p>
        </w:tc>
        <w:tc>
          <w:tcPr>
            <w:tcW w:w="2773" w:type="dxa"/>
            <w:vMerge/>
            <w:tcBorders>
              <w:left w:val="single" w:sz="6" w:space="0" w:color="auto"/>
              <w:bottom w:val="double" w:sz="4" w:space="0" w:color="auto"/>
              <w:right w:val="single" w:sz="6" w:space="0" w:color="auto"/>
            </w:tcBorders>
            <w:vAlign w:val="center"/>
          </w:tcPr>
          <w:p w14:paraId="2D43CD65" w14:textId="6A2A541E" w:rsidR="00022588" w:rsidRPr="00FD516E" w:rsidRDefault="00022588" w:rsidP="00772AEB">
            <w:pPr>
              <w:ind w:left="0" w:firstLine="0"/>
              <w:jc w:val="center"/>
              <w:rPr>
                <w:rFonts w:cs="Arial"/>
                <w:sz w:val="18"/>
                <w:szCs w:val="18"/>
              </w:rPr>
            </w:pPr>
          </w:p>
        </w:tc>
        <w:tc>
          <w:tcPr>
            <w:tcW w:w="1999" w:type="dxa"/>
            <w:tcBorders>
              <w:top w:val="single" w:sz="6" w:space="0" w:color="auto"/>
              <w:left w:val="single" w:sz="6" w:space="0" w:color="auto"/>
              <w:bottom w:val="double" w:sz="4" w:space="0" w:color="auto"/>
            </w:tcBorders>
            <w:vAlign w:val="center"/>
          </w:tcPr>
          <w:p w14:paraId="1D2B6067" w14:textId="191E84E8" w:rsidR="00022588" w:rsidRPr="00FD516E" w:rsidRDefault="00022588" w:rsidP="00772AEB">
            <w:pPr>
              <w:ind w:left="0" w:firstLine="0"/>
              <w:jc w:val="center"/>
              <w:rPr>
                <w:rFonts w:cs="Arial"/>
                <w:sz w:val="18"/>
                <w:szCs w:val="18"/>
              </w:rPr>
            </w:pPr>
            <w:r w:rsidRPr="00FD516E">
              <w:rPr>
                <w:rFonts w:cs="Arial"/>
                <w:sz w:val="18"/>
                <w:szCs w:val="18"/>
              </w:rPr>
              <w:t>0.45</w:t>
            </w:r>
          </w:p>
        </w:tc>
      </w:tr>
    </w:tbl>
    <w:p w14:paraId="44B1A624" w14:textId="77777777" w:rsidR="00033758" w:rsidRPr="00FD516E" w:rsidRDefault="00033758" w:rsidP="00033758">
      <w:pPr>
        <w:ind w:left="0" w:firstLine="0"/>
        <w:rPr>
          <w:sz w:val="18"/>
          <w:szCs w:val="18"/>
        </w:rPr>
      </w:pPr>
    </w:p>
    <w:p w14:paraId="6E3F94DB" w14:textId="77777777" w:rsidR="00033758" w:rsidRPr="00FD516E" w:rsidRDefault="00033758" w:rsidP="00033758">
      <w:pPr>
        <w:ind w:left="720" w:firstLine="0"/>
        <w:rPr>
          <w:sz w:val="18"/>
          <w:szCs w:val="18"/>
        </w:rPr>
      </w:pPr>
      <w:r w:rsidRPr="00FD516E">
        <w:rPr>
          <w:sz w:val="20"/>
          <w:vertAlign w:val="superscript"/>
        </w:rPr>
        <w:t>1</w:t>
      </w:r>
      <w:r w:rsidRPr="00FD516E">
        <w:rPr>
          <w:sz w:val="18"/>
          <w:szCs w:val="18"/>
        </w:rPr>
        <w:t xml:space="preserve"> lb/MMBtu equals pounds of pollutant emitted per million British thermal units of heat input.  </w:t>
      </w:r>
    </w:p>
    <w:p w14:paraId="183E9756" w14:textId="77777777" w:rsidR="00033758" w:rsidRPr="00FD516E" w:rsidRDefault="00033758" w:rsidP="00033758">
      <w:pPr>
        <w:ind w:left="720" w:firstLine="0"/>
        <w:rPr>
          <w:sz w:val="18"/>
          <w:szCs w:val="18"/>
        </w:rPr>
      </w:pPr>
      <w:proofErr w:type="gramStart"/>
      <w:r w:rsidRPr="00FD516E">
        <w:rPr>
          <w:sz w:val="20"/>
          <w:vertAlign w:val="superscript"/>
        </w:rPr>
        <w:t xml:space="preserve">2  </w:t>
      </w:r>
      <w:r w:rsidRPr="00FD516E">
        <w:rPr>
          <w:sz w:val="18"/>
          <w:szCs w:val="18"/>
        </w:rPr>
        <w:t>lb</w:t>
      </w:r>
      <w:proofErr w:type="gramEnd"/>
      <w:r w:rsidRPr="00FD516E">
        <w:rPr>
          <w:sz w:val="18"/>
          <w:szCs w:val="18"/>
        </w:rPr>
        <w:t xml:space="preserve">/MMcf methane equals pounds of pollutant emitted per million cubic feet of methane input.  </w:t>
      </w:r>
    </w:p>
    <w:p w14:paraId="78E06E13" w14:textId="77777777" w:rsidR="001A55C0" w:rsidRPr="00FD516E" w:rsidRDefault="001A55C0" w:rsidP="001A55C0">
      <w:pPr>
        <w:ind w:left="0" w:firstLine="0"/>
        <w:rPr>
          <w:szCs w:val="22"/>
        </w:rPr>
      </w:pPr>
    </w:p>
    <w:tbl>
      <w:tblPr>
        <w:tblW w:w="8640"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1"/>
        <w:gridCol w:w="1065"/>
        <w:gridCol w:w="1772"/>
        <w:gridCol w:w="2744"/>
        <w:gridCol w:w="1978"/>
      </w:tblGrid>
      <w:tr w:rsidR="00AF783D" w:rsidRPr="00FD516E" w14:paraId="178DE927" w14:textId="77777777" w:rsidTr="0019185D">
        <w:trPr>
          <w:cantSplit/>
          <w:trHeight w:val="738"/>
          <w:tblHeader/>
        </w:trPr>
        <w:tc>
          <w:tcPr>
            <w:tcW w:w="8775" w:type="dxa"/>
            <w:gridSpan w:val="5"/>
            <w:tcBorders>
              <w:top w:val="double" w:sz="4" w:space="0" w:color="auto"/>
              <w:bottom w:val="single" w:sz="4" w:space="0" w:color="auto"/>
            </w:tcBorders>
            <w:shd w:val="clear" w:color="auto" w:fill="E6E6E6"/>
            <w:tcMar>
              <w:top w:w="29" w:type="dxa"/>
              <w:bottom w:w="29" w:type="dxa"/>
            </w:tcMar>
            <w:vAlign w:val="center"/>
          </w:tcPr>
          <w:p w14:paraId="2D7DA7C6" w14:textId="306026DF" w:rsidR="00AF783D" w:rsidRPr="00FD516E" w:rsidRDefault="00AF783D" w:rsidP="00AF783D">
            <w:pPr>
              <w:jc w:val="center"/>
              <w:rPr>
                <w:rFonts w:cs="Arial"/>
                <w:b/>
                <w:bCs/>
                <w:color w:val="000000"/>
                <w:szCs w:val="22"/>
              </w:rPr>
            </w:pPr>
            <w:r w:rsidRPr="00FD516E">
              <w:rPr>
                <w:rFonts w:cs="Arial"/>
                <w:b/>
                <w:bCs/>
                <w:color w:val="000000"/>
                <w:szCs w:val="22"/>
              </w:rPr>
              <w:t>Table 3-</w:t>
            </w:r>
            <w:r w:rsidR="005B5E49" w:rsidRPr="00FD516E">
              <w:rPr>
                <w:rFonts w:cs="Arial"/>
                <w:b/>
                <w:bCs/>
                <w:color w:val="000000"/>
                <w:szCs w:val="22"/>
              </w:rPr>
              <w:t>3</w:t>
            </w:r>
            <w:r w:rsidRPr="00FD516E">
              <w:rPr>
                <w:rFonts w:cs="Arial"/>
                <w:b/>
                <w:bCs/>
                <w:color w:val="000000"/>
                <w:szCs w:val="22"/>
              </w:rPr>
              <w:t xml:space="preserve"> - Estimated Emissions from </w:t>
            </w:r>
            <w:r w:rsidR="00ED7468" w:rsidRPr="00FD516E">
              <w:rPr>
                <w:rFonts w:cs="Arial"/>
                <w:b/>
                <w:bCs/>
                <w:color w:val="000000"/>
                <w:szCs w:val="22"/>
              </w:rPr>
              <w:t xml:space="preserve">Landfill </w:t>
            </w:r>
            <w:r w:rsidR="008D1160" w:rsidRPr="00FD516E">
              <w:rPr>
                <w:rFonts w:cs="Arial"/>
                <w:b/>
                <w:bCs/>
                <w:color w:val="000000"/>
                <w:szCs w:val="22"/>
              </w:rPr>
              <w:t xml:space="preserve">Operation </w:t>
            </w:r>
            <w:r w:rsidRPr="00FD516E">
              <w:rPr>
                <w:rFonts w:cs="Arial"/>
                <w:b/>
                <w:bCs/>
                <w:color w:val="000000"/>
                <w:szCs w:val="22"/>
              </w:rPr>
              <w:t>Flare</w:t>
            </w:r>
          </w:p>
          <w:p w14:paraId="67F405C3" w14:textId="489A1545" w:rsidR="00AF783D" w:rsidRPr="00FD516E" w:rsidRDefault="00AF783D" w:rsidP="00AF783D">
            <w:pPr>
              <w:ind w:left="0" w:firstLine="0"/>
              <w:jc w:val="center"/>
              <w:rPr>
                <w:rFonts w:cs="Arial"/>
                <w:b/>
                <w:bCs/>
                <w:sz w:val="20"/>
              </w:rPr>
            </w:pPr>
            <w:r w:rsidRPr="00FD516E">
              <w:rPr>
                <w:rFonts w:cs="Arial"/>
                <w:b/>
                <w:bCs/>
                <w:color w:val="000000"/>
                <w:szCs w:val="22"/>
              </w:rPr>
              <w:t>Combustion of 2,462.5 scfm of LFG</w:t>
            </w:r>
          </w:p>
        </w:tc>
      </w:tr>
      <w:tr w:rsidR="00AF783D" w:rsidRPr="00FD516E" w14:paraId="72639BB0" w14:textId="77777777" w:rsidTr="00A955C5">
        <w:tblPrEx>
          <w:tblCellMar>
            <w:left w:w="120" w:type="dxa"/>
            <w:right w:w="120" w:type="dxa"/>
          </w:tblCellMar>
        </w:tblPrEx>
        <w:trPr>
          <w:cantSplit/>
          <w:trHeight w:val="420"/>
        </w:trPr>
        <w:tc>
          <w:tcPr>
            <w:tcW w:w="1095" w:type="dxa"/>
            <w:vMerge w:val="restart"/>
            <w:tcBorders>
              <w:top w:val="single" w:sz="4" w:space="0" w:color="auto"/>
              <w:bottom w:val="single" w:sz="6" w:space="0" w:color="auto"/>
              <w:right w:val="single" w:sz="6" w:space="0" w:color="auto"/>
            </w:tcBorders>
            <w:shd w:val="clear" w:color="auto" w:fill="F2F2F2" w:themeFill="background1" w:themeFillShade="F2"/>
            <w:vAlign w:val="center"/>
          </w:tcPr>
          <w:p w14:paraId="3A363271" w14:textId="77777777" w:rsidR="00AF783D" w:rsidRPr="00FD516E" w:rsidRDefault="00AF783D" w:rsidP="00AF783D">
            <w:pPr>
              <w:ind w:left="0" w:firstLine="0"/>
              <w:jc w:val="center"/>
              <w:rPr>
                <w:rFonts w:cs="Arial"/>
                <w:sz w:val="18"/>
                <w:szCs w:val="18"/>
              </w:rPr>
            </w:pPr>
            <w:r w:rsidRPr="00FD516E">
              <w:rPr>
                <w:rFonts w:cs="Arial"/>
                <w:sz w:val="18"/>
                <w:szCs w:val="18"/>
              </w:rPr>
              <w:t>Pollutant</w:t>
            </w:r>
          </w:p>
        </w:tc>
        <w:tc>
          <w:tcPr>
            <w:tcW w:w="5670"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4C39F882" w14:textId="77777777" w:rsidR="00AF783D" w:rsidRPr="00FD516E" w:rsidRDefault="00AF783D" w:rsidP="00AF783D">
            <w:pPr>
              <w:ind w:left="0" w:firstLine="0"/>
              <w:jc w:val="center"/>
              <w:rPr>
                <w:rFonts w:cs="Arial"/>
                <w:sz w:val="18"/>
                <w:szCs w:val="18"/>
              </w:rPr>
            </w:pPr>
            <w:r w:rsidRPr="00FD516E">
              <w:rPr>
                <w:rFonts w:cs="Arial"/>
                <w:sz w:val="18"/>
                <w:szCs w:val="18"/>
              </w:rPr>
              <w:t>Emission Factor</w:t>
            </w:r>
          </w:p>
        </w:tc>
        <w:tc>
          <w:tcPr>
            <w:tcW w:w="2010" w:type="dxa"/>
            <w:vMerge w:val="restart"/>
            <w:tcBorders>
              <w:top w:val="single" w:sz="4" w:space="0" w:color="auto"/>
              <w:left w:val="single" w:sz="6" w:space="0" w:color="auto"/>
            </w:tcBorders>
            <w:shd w:val="clear" w:color="auto" w:fill="F2F2F2" w:themeFill="background1" w:themeFillShade="F2"/>
            <w:vAlign w:val="center"/>
          </w:tcPr>
          <w:p w14:paraId="66FF7CCC" w14:textId="77777777" w:rsidR="00AF783D" w:rsidRPr="00FD516E" w:rsidRDefault="00AF783D" w:rsidP="00AF783D">
            <w:pPr>
              <w:ind w:left="0" w:firstLine="0"/>
              <w:jc w:val="center"/>
              <w:rPr>
                <w:rFonts w:cs="Arial"/>
                <w:sz w:val="18"/>
                <w:szCs w:val="18"/>
              </w:rPr>
            </w:pPr>
            <w:r w:rsidRPr="00FD516E">
              <w:rPr>
                <w:rFonts w:cs="Arial"/>
                <w:sz w:val="18"/>
                <w:szCs w:val="18"/>
              </w:rPr>
              <w:t>Allowable Emissions tons per year</w:t>
            </w:r>
          </w:p>
        </w:tc>
      </w:tr>
      <w:tr w:rsidR="00AF783D" w:rsidRPr="009F5E32" w14:paraId="7DD56038" w14:textId="77777777" w:rsidTr="00A955C5">
        <w:tblPrEx>
          <w:tblCellMar>
            <w:left w:w="120" w:type="dxa"/>
            <w:right w:w="120" w:type="dxa"/>
          </w:tblCellMar>
        </w:tblPrEx>
        <w:trPr>
          <w:cantSplit/>
          <w:trHeight w:val="408"/>
        </w:trPr>
        <w:tc>
          <w:tcPr>
            <w:tcW w:w="1095" w:type="dxa"/>
            <w:vMerge/>
            <w:tcBorders>
              <w:top w:val="single" w:sz="6" w:space="0" w:color="auto"/>
              <w:bottom w:val="double" w:sz="4" w:space="0" w:color="auto"/>
              <w:right w:val="single" w:sz="6" w:space="0" w:color="auto"/>
            </w:tcBorders>
          </w:tcPr>
          <w:p w14:paraId="72589942" w14:textId="77777777" w:rsidR="00AF783D" w:rsidRPr="003E764D" w:rsidRDefault="00AF783D" w:rsidP="00AF783D">
            <w:pPr>
              <w:ind w:left="0" w:firstLine="0"/>
              <w:rPr>
                <w:rFonts w:cs="Arial"/>
                <w:sz w:val="18"/>
                <w:szCs w:val="18"/>
              </w:rPr>
            </w:pPr>
          </w:p>
        </w:tc>
        <w:tc>
          <w:tcPr>
            <w:tcW w:w="108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4BFC6F96" w14:textId="77777777" w:rsidR="00AF783D" w:rsidRPr="003E764D" w:rsidRDefault="00AF783D" w:rsidP="00AF783D">
            <w:pPr>
              <w:ind w:left="0" w:firstLine="0"/>
              <w:jc w:val="center"/>
              <w:rPr>
                <w:rFonts w:cs="Arial"/>
                <w:sz w:val="18"/>
                <w:szCs w:val="18"/>
              </w:rPr>
            </w:pPr>
            <w:r w:rsidRPr="003E764D">
              <w:rPr>
                <w:rFonts w:cs="Arial"/>
                <w:sz w:val="18"/>
                <w:szCs w:val="18"/>
              </w:rPr>
              <w:t>Factor</w:t>
            </w:r>
          </w:p>
        </w:tc>
        <w:tc>
          <w:tcPr>
            <w:tcW w:w="180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2E51BC03" w14:textId="022C9104" w:rsidR="00AF783D" w:rsidRPr="003E764D" w:rsidRDefault="00AF783D" w:rsidP="008D1160">
            <w:pPr>
              <w:ind w:left="0" w:firstLine="0"/>
              <w:jc w:val="center"/>
              <w:rPr>
                <w:rFonts w:cs="Arial"/>
                <w:sz w:val="18"/>
                <w:szCs w:val="18"/>
                <w:vertAlign w:val="superscript"/>
              </w:rPr>
            </w:pPr>
            <w:r w:rsidRPr="003E764D">
              <w:rPr>
                <w:rFonts w:cs="Arial"/>
                <w:sz w:val="18"/>
                <w:szCs w:val="18"/>
              </w:rPr>
              <w:t>Units</w:t>
            </w:r>
          </w:p>
        </w:tc>
        <w:tc>
          <w:tcPr>
            <w:tcW w:w="279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0A695DC" w14:textId="77777777" w:rsidR="00AF783D" w:rsidRPr="003E764D" w:rsidRDefault="00AF783D" w:rsidP="00AF783D">
            <w:pPr>
              <w:ind w:left="0" w:firstLine="0"/>
              <w:jc w:val="center"/>
              <w:rPr>
                <w:rFonts w:cs="Arial"/>
                <w:sz w:val="18"/>
                <w:szCs w:val="18"/>
              </w:rPr>
            </w:pPr>
            <w:r w:rsidRPr="003E764D">
              <w:rPr>
                <w:rFonts w:cs="Arial"/>
                <w:sz w:val="18"/>
                <w:szCs w:val="18"/>
              </w:rPr>
              <w:t>Source</w:t>
            </w:r>
          </w:p>
        </w:tc>
        <w:tc>
          <w:tcPr>
            <w:tcW w:w="2010" w:type="dxa"/>
            <w:vMerge/>
            <w:tcBorders>
              <w:left w:val="single" w:sz="6" w:space="0" w:color="auto"/>
              <w:bottom w:val="double" w:sz="4" w:space="0" w:color="auto"/>
            </w:tcBorders>
            <w:vAlign w:val="center"/>
          </w:tcPr>
          <w:p w14:paraId="61CFD96F" w14:textId="77777777" w:rsidR="00AF783D" w:rsidRPr="003E764D" w:rsidRDefault="00AF783D" w:rsidP="00AF783D">
            <w:pPr>
              <w:ind w:left="0" w:firstLine="0"/>
              <w:jc w:val="center"/>
              <w:rPr>
                <w:rFonts w:cs="Arial"/>
                <w:sz w:val="18"/>
                <w:szCs w:val="18"/>
              </w:rPr>
            </w:pPr>
          </w:p>
        </w:tc>
      </w:tr>
      <w:tr w:rsidR="00A705E0" w:rsidRPr="00FD516E" w14:paraId="17A41C0B" w14:textId="77777777" w:rsidTr="0019185D">
        <w:tblPrEx>
          <w:tblCellMar>
            <w:left w:w="120" w:type="dxa"/>
            <w:right w:w="120" w:type="dxa"/>
          </w:tblCellMar>
        </w:tblPrEx>
        <w:trPr>
          <w:cantSplit/>
          <w:trHeight w:val="480"/>
        </w:trPr>
        <w:tc>
          <w:tcPr>
            <w:tcW w:w="1095" w:type="dxa"/>
            <w:tcBorders>
              <w:top w:val="double" w:sz="4" w:space="0" w:color="auto"/>
              <w:bottom w:val="single" w:sz="6" w:space="0" w:color="auto"/>
              <w:right w:val="single" w:sz="6" w:space="0" w:color="auto"/>
            </w:tcBorders>
            <w:vAlign w:val="center"/>
          </w:tcPr>
          <w:p w14:paraId="7DD94FEF" w14:textId="77777777" w:rsidR="00A705E0" w:rsidRPr="00FD516E" w:rsidRDefault="00A705E0" w:rsidP="00A705E0">
            <w:pPr>
              <w:ind w:left="0" w:firstLine="0"/>
              <w:jc w:val="center"/>
              <w:rPr>
                <w:rFonts w:cs="Arial"/>
                <w:sz w:val="18"/>
                <w:szCs w:val="18"/>
              </w:rPr>
            </w:pPr>
            <w:r w:rsidRPr="00FD516E">
              <w:rPr>
                <w:rFonts w:cs="Arial"/>
                <w:sz w:val="18"/>
                <w:szCs w:val="18"/>
              </w:rPr>
              <w:t>SO</w:t>
            </w:r>
            <w:r w:rsidRPr="00FD516E">
              <w:rPr>
                <w:rFonts w:cs="Arial"/>
                <w:sz w:val="18"/>
                <w:szCs w:val="18"/>
                <w:vertAlign w:val="subscript"/>
              </w:rPr>
              <w:t>2</w:t>
            </w:r>
          </w:p>
        </w:tc>
        <w:tc>
          <w:tcPr>
            <w:tcW w:w="1080" w:type="dxa"/>
            <w:tcBorders>
              <w:top w:val="double" w:sz="4" w:space="0" w:color="auto"/>
              <w:left w:val="single" w:sz="6" w:space="0" w:color="auto"/>
              <w:bottom w:val="single" w:sz="6" w:space="0" w:color="auto"/>
              <w:right w:val="single" w:sz="6" w:space="0" w:color="auto"/>
            </w:tcBorders>
            <w:vAlign w:val="center"/>
          </w:tcPr>
          <w:p w14:paraId="14DC6CF4" w14:textId="77777777" w:rsidR="00A705E0" w:rsidRPr="00FD516E" w:rsidRDefault="00A705E0" w:rsidP="00A705E0">
            <w:pPr>
              <w:ind w:left="0" w:firstLine="0"/>
              <w:jc w:val="center"/>
              <w:rPr>
                <w:rFonts w:cs="Arial"/>
                <w:sz w:val="18"/>
                <w:szCs w:val="18"/>
              </w:rPr>
            </w:pPr>
            <w:r w:rsidRPr="00FD516E">
              <w:rPr>
                <w:rFonts w:cs="Arial"/>
                <w:sz w:val="18"/>
                <w:szCs w:val="18"/>
              </w:rPr>
              <w:t>0.136</w:t>
            </w:r>
          </w:p>
        </w:tc>
        <w:tc>
          <w:tcPr>
            <w:tcW w:w="1800" w:type="dxa"/>
            <w:vMerge w:val="restart"/>
            <w:tcBorders>
              <w:top w:val="double" w:sz="4" w:space="0" w:color="auto"/>
              <w:left w:val="single" w:sz="6" w:space="0" w:color="auto"/>
              <w:right w:val="single" w:sz="6" w:space="0" w:color="auto"/>
            </w:tcBorders>
            <w:vAlign w:val="center"/>
          </w:tcPr>
          <w:p w14:paraId="674C7A1F" w14:textId="443A25D0" w:rsidR="00A705E0" w:rsidRPr="00FD516E" w:rsidRDefault="00A705E0" w:rsidP="00A705E0">
            <w:pPr>
              <w:ind w:left="0" w:firstLine="0"/>
              <w:jc w:val="center"/>
              <w:rPr>
                <w:rFonts w:cs="Arial"/>
                <w:sz w:val="18"/>
                <w:szCs w:val="18"/>
              </w:rPr>
            </w:pPr>
            <w:r w:rsidRPr="00FD516E">
              <w:rPr>
                <w:rFonts w:cs="Arial"/>
                <w:sz w:val="18"/>
                <w:szCs w:val="18"/>
              </w:rPr>
              <w:t xml:space="preserve">lb/MMBtu </w:t>
            </w:r>
            <w:r w:rsidRPr="00FD516E">
              <w:rPr>
                <w:rFonts w:cs="Arial"/>
                <w:sz w:val="20"/>
                <w:vertAlign w:val="superscript"/>
              </w:rPr>
              <w:t>1</w:t>
            </w:r>
          </w:p>
        </w:tc>
        <w:tc>
          <w:tcPr>
            <w:tcW w:w="2790" w:type="dxa"/>
            <w:tcBorders>
              <w:top w:val="double" w:sz="4" w:space="0" w:color="auto"/>
              <w:left w:val="single" w:sz="6" w:space="0" w:color="auto"/>
              <w:bottom w:val="single" w:sz="4" w:space="0" w:color="auto"/>
              <w:right w:val="single" w:sz="6" w:space="0" w:color="auto"/>
            </w:tcBorders>
            <w:vAlign w:val="center"/>
          </w:tcPr>
          <w:p w14:paraId="7BF5DAEA" w14:textId="77777777" w:rsidR="00A705E0" w:rsidRPr="00FD516E" w:rsidRDefault="00A705E0" w:rsidP="00A705E0">
            <w:pPr>
              <w:ind w:left="0" w:firstLine="0"/>
              <w:jc w:val="center"/>
              <w:rPr>
                <w:rFonts w:cs="Arial"/>
                <w:sz w:val="18"/>
                <w:szCs w:val="18"/>
              </w:rPr>
            </w:pPr>
            <w:r w:rsidRPr="00FD516E">
              <w:rPr>
                <w:rFonts w:cs="Arial"/>
                <w:sz w:val="18"/>
                <w:szCs w:val="18"/>
              </w:rPr>
              <w:t>Site Specific Data - Application for #AOP-14-034</w:t>
            </w:r>
          </w:p>
        </w:tc>
        <w:tc>
          <w:tcPr>
            <w:tcW w:w="2010" w:type="dxa"/>
            <w:tcBorders>
              <w:top w:val="double" w:sz="4" w:space="0" w:color="auto"/>
              <w:left w:val="single" w:sz="6" w:space="0" w:color="auto"/>
              <w:bottom w:val="single" w:sz="6" w:space="0" w:color="auto"/>
            </w:tcBorders>
            <w:vAlign w:val="center"/>
          </w:tcPr>
          <w:p w14:paraId="21DC332D" w14:textId="6B1A24D0" w:rsidR="00A705E0" w:rsidRPr="00FD516E" w:rsidRDefault="00A705E0" w:rsidP="00A705E0">
            <w:pPr>
              <w:ind w:left="0" w:firstLine="0"/>
              <w:jc w:val="center"/>
              <w:rPr>
                <w:rFonts w:cs="Arial"/>
                <w:sz w:val="18"/>
                <w:szCs w:val="18"/>
              </w:rPr>
            </w:pPr>
            <w:r w:rsidRPr="00FD516E">
              <w:rPr>
                <w:rFonts w:cs="Arial"/>
                <w:sz w:val="18"/>
                <w:szCs w:val="18"/>
              </w:rPr>
              <w:t>44.01</w:t>
            </w:r>
          </w:p>
        </w:tc>
      </w:tr>
      <w:tr w:rsidR="00A705E0" w:rsidRPr="00FD516E" w14:paraId="16BC6D52" w14:textId="77777777" w:rsidTr="0019185D">
        <w:tblPrEx>
          <w:tblCellMar>
            <w:left w:w="120" w:type="dxa"/>
            <w:right w:w="120" w:type="dxa"/>
          </w:tblCellMar>
        </w:tblPrEx>
        <w:trPr>
          <w:cantSplit/>
          <w:trHeight w:val="525"/>
        </w:trPr>
        <w:tc>
          <w:tcPr>
            <w:tcW w:w="1095" w:type="dxa"/>
            <w:tcBorders>
              <w:top w:val="single" w:sz="6" w:space="0" w:color="auto"/>
              <w:bottom w:val="single" w:sz="6" w:space="0" w:color="auto"/>
              <w:right w:val="single" w:sz="6" w:space="0" w:color="auto"/>
            </w:tcBorders>
            <w:vAlign w:val="center"/>
          </w:tcPr>
          <w:p w14:paraId="0DD48B8B" w14:textId="77777777" w:rsidR="00A705E0" w:rsidRPr="00FD516E" w:rsidRDefault="00A705E0" w:rsidP="00A705E0">
            <w:pPr>
              <w:ind w:left="0" w:firstLine="0"/>
              <w:jc w:val="center"/>
              <w:rPr>
                <w:rFonts w:cs="Arial"/>
                <w:sz w:val="18"/>
                <w:szCs w:val="18"/>
              </w:rPr>
            </w:pPr>
            <w:r w:rsidRPr="00FD516E">
              <w:rPr>
                <w:rFonts w:cs="Arial"/>
                <w:sz w:val="18"/>
                <w:szCs w:val="18"/>
              </w:rPr>
              <w:t>NO</w:t>
            </w:r>
            <w:r w:rsidRPr="00FD516E">
              <w:rPr>
                <w:rFonts w:cs="Arial"/>
                <w:sz w:val="18"/>
                <w:szCs w:val="18"/>
                <w:vertAlign w:val="subscript"/>
              </w:rPr>
              <w:t>x</w:t>
            </w:r>
          </w:p>
        </w:tc>
        <w:tc>
          <w:tcPr>
            <w:tcW w:w="1080" w:type="dxa"/>
            <w:tcBorders>
              <w:top w:val="single" w:sz="6" w:space="0" w:color="auto"/>
              <w:left w:val="single" w:sz="6" w:space="0" w:color="auto"/>
              <w:bottom w:val="single" w:sz="6" w:space="0" w:color="auto"/>
              <w:right w:val="single" w:sz="6" w:space="0" w:color="auto"/>
            </w:tcBorders>
            <w:vAlign w:val="center"/>
          </w:tcPr>
          <w:p w14:paraId="2DFA1A28" w14:textId="77777777" w:rsidR="00A705E0" w:rsidRPr="00FD516E" w:rsidRDefault="00A705E0" w:rsidP="00A705E0">
            <w:pPr>
              <w:ind w:left="0" w:firstLine="0"/>
              <w:jc w:val="center"/>
              <w:rPr>
                <w:rFonts w:cs="Arial"/>
                <w:sz w:val="18"/>
                <w:szCs w:val="18"/>
              </w:rPr>
            </w:pPr>
            <w:r w:rsidRPr="00FD516E">
              <w:rPr>
                <w:rFonts w:cs="Arial"/>
                <w:sz w:val="18"/>
                <w:szCs w:val="18"/>
              </w:rPr>
              <w:t>0.068</w:t>
            </w:r>
          </w:p>
        </w:tc>
        <w:tc>
          <w:tcPr>
            <w:tcW w:w="1800" w:type="dxa"/>
            <w:vMerge/>
            <w:tcBorders>
              <w:left w:val="single" w:sz="6" w:space="0" w:color="auto"/>
              <w:bottom w:val="single" w:sz="6" w:space="0" w:color="auto"/>
              <w:right w:val="single" w:sz="6" w:space="0" w:color="auto"/>
            </w:tcBorders>
            <w:vAlign w:val="center"/>
          </w:tcPr>
          <w:p w14:paraId="6ECA2F05" w14:textId="77777777" w:rsidR="00A705E0" w:rsidRPr="00FD516E" w:rsidRDefault="00A705E0" w:rsidP="00A705E0">
            <w:pPr>
              <w:ind w:left="0" w:firstLine="0"/>
              <w:jc w:val="center"/>
              <w:rPr>
                <w:rFonts w:cs="Arial"/>
                <w:sz w:val="18"/>
                <w:szCs w:val="18"/>
              </w:rPr>
            </w:pPr>
          </w:p>
        </w:tc>
        <w:tc>
          <w:tcPr>
            <w:tcW w:w="2790" w:type="dxa"/>
            <w:tcBorders>
              <w:top w:val="single" w:sz="4" w:space="0" w:color="auto"/>
              <w:left w:val="single" w:sz="6" w:space="0" w:color="auto"/>
              <w:bottom w:val="single" w:sz="6" w:space="0" w:color="auto"/>
              <w:right w:val="single" w:sz="6" w:space="0" w:color="auto"/>
            </w:tcBorders>
            <w:vAlign w:val="center"/>
          </w:tcPr>
          <w:p w14:paraId="5D7ABF63" w14:textId="77777777" w:rsidR="00A705E0" w:rsidRPr="00FD516E" w:rsidRDefault="00A705E0" w:rsidP="00A705E0">
            <w:pPr>
              <w:ind w:left="0" w:firstLine="0"/>
              <w:jc w:val="center"/>
              <w:rPr>
                <w:rFonts w:cs="Arial"/>
                <w:sz w:val="18"/>
                <w:szCs w:val="18"/>
              </w:rPr>
            </w:pPr>
            <w:r w:rsidRPr="00FD516E">
              <w:rPr>
                <w:rFonts w:cs="Arial"/>
                <w:sz w:val="18"/>
                <w:szCs w:val="18"/>
              </w:rPr>
              <w:t>Vendor Supplied – Application for #AOP-14-034</w:t>
            </w:r>
          </w:p>
        </w:tc>
        <w:tc>
          <w:tcPr>
            <w:tcW w:w="2010" w:type="dxa"/>
            <w:tcBorders>
              <w:top w:val="single" w:sz="6" w:space="0" w:color="auto"/>
              <w:left w:val="single" w:sz="6" w:space="0" w:color="auto"/>
              <w:bottom w:val="single" w:sz="6" w:space="0" w:color="auto"/>
            </w:tcBorders>
            <w:vAlign w:val="center"/>
          </w:tcPr>
          <w:p w14:paraId="490D1A72" w14:textId="078E55BB" w:rsidR="00A705E0" w:rsidRPr="00FD516E" w:rsidRDefault="00A705E0" w:rsidP="00A705E0">
            <w:pPr>
              <w:ind w:left="0" w:firstLine="0"/>
              <w:jc w:val="center"/>
              <w:rPr>
                <w:rFonts w:cs="Arial"/>
                <w:sz w:val="18"/>
                <w:szCs w:val="18"/>
              </w:rPr>
            </w:pPr>
            <w:r w:rsidRPr="00FD516E">
              <w:rPr>
                <w:rFonts w:cs="Arial"/>
                <w:sz w:val="18"/>
                <w:szCs w:val="18"/>
              </w:rPr>
              <w:t>22.00</w:t>
            </w:r>
          </w:p>
        </w:tc>
      </w:tr>
      <w:tr w:rsidR="00A705E0" w:rsidRPr="00FD516E" w14:paraId="1C559A5B" w14:textId="77777777" w:rsidTr="0019185D">
        <w:tblPrEx>
          <w:tblCellMar>
            <w:left w:w="120" w:type="dxa"/>
            <w:right w:w="120" w:type="dxa"/>
          </w:tblCellMar>
        </w:tblPrEx>
        <w:trPr>
          <w:cantSplit/>
          <w:trHeight w:val="354"/>
        </w:trPr>
        <w:tc>
          <w:tcPr>
            <w:tcW w:w="1095" w:type="dxa"/>
            <w:tcBorders>
              <w:top w:val="single" w:sz="6" w:space="0" w:color="auto"/>
              <w:bottom w:val="single" w:sz="6" w:space="0" w:color="auto"/>
              <w:right w:val="single" w:sz="6" w:space="0" w:color="auto"/>
            </w:tcBorders>
            <w:vAlign w:val="center"/>
          </w:tcPr>
          <w:p w14:paraId="55BA9776" w14:textId="77777777" w:rsidR="00A705E0" w:rsidRPr="00FD516E" w:rsidRDefault="00A705E0" w:rsidP="00A705E0">
            <w:pPr>
              <w:ind w:left="0" w:firstLine="0"/>
              <w:jc w:val="center"/>
              <w:rPr>
                <w:rFonts w:cs="Arial"/>
                <w:sz w:val="18"/>
                <w:szCs w:val="18"/>
              </w:rPr>
            </w:pPr>
            <w:r w:rsidRPr="00FD516E">
              <w:rPr>
                <w:rFonts w:cs="Arial"/>
                <w:sz w:val="18"/>
                <w:szCs w:val="18"/>
              </w:rPr>
              <w:t>PM</w:t>
            </w:r>
          </w:p>
        </w:tc>
        <w:tc>
          <w:tcPr>
            <w:tcW w:w="1080" w:type="dxa"/>
            <w:tcBorders>
              <w:top w:val="single" w:sz="6" w:space="0" w:color="auto"/>
              <w:left w:val="single" w:sz="6" w:space="0" w:color="auto"/>
              <w:bottom w:val="single" w:sz="6" w:space="0" w:color="auto"/>
              <w:right w:val="single" w:sz="6" w:space="0" w:color="auto"/>
            </w:tcBorders>
            <w:vAlign w:val="center"/>
          </w:tcPr>
          <w:p w14:paraId="72517E4E" w14:textId="26185550" w:rsidR="00A705E0" w:rsidRPr="00FD516E" w:rsidRDefault="004B65DB" w:rsidP="00A705E0">
            <w:pPr>
              <w:ind w:left="0" w:firstLine="0"/>
              <w:jc w:val="center"/>
              <w:rPr>
                <w:rFonts w:cs="Arial"/>
                <w:sz w:val="18"/>
                <w:szCs w:val="18"/>
              </w:rPr>
            </w:pPr>
            <w:r w:rsidRPr="00FD516E">
              <w:rPr>
                <w:rFonts w:cs="Arial"/>
                <w:sz w:val="18"/>
                <w:szCs w:val="18"/>
              </w:rPr>
              <w:t>26</w:t>
            </w:r>
          </w:p>
        </w:tc>
        <w:tc>
          <w:tcPr>
            <w:tcW w:w="1800" w:type="dxa"/>
            <w:tcBorders>
              <w:top w:val="nil"/>
              <w:left w:val="single" w:sz="6" w:space="0" w:color="auto"/>
              <w:bottom w:val="single" w:sz="6" w:space="0" w:color="auto"/>
              <w:right w:val="single" w:sz="6" w:space="0" w:color="auto"/>
            </w:tcBorders>
            <w:vAlign w:val="center"/>
          </w:tcPr>
          <w:p w14:paraId="3B675A84" w14:textId="7835D505" w:rsidR="00A705E0" w:rsidRPr="00FD516E" w:rsidRDefault="00A705E0" w:rsidP="00A705E0">
            <w:pPr>
              <w:ind w:left="0" w:firstLine="0"/>
              <w:jc w:val="center"/>
              <w:rPr>
                <w:rFonts w:cs="Arial"/>
                <w:sz w:val="18"/>
                <w:szCs w:val="18"/>
              </w:rPr>
            </w:pPr>
            <w:r w:rsidRPr="00FD516E">
              <w:rPr>
                <w:rFonts w:cs="Arial"/>
                <w:sz w:val="18"/>
                <w:szCs w:val="18"/>
              </w:rPr>
              <w:t xml:space="preserve">lb/MMcf methane </w:t>
            </w:r>
            <w:r w:rsidRPr="00FD516E">
              <w:rPr>
                <w:rFonts w:cs="Arial"/>
                <w:sz w:val="20"/>
                <w:vertAlign w:val="superscript"/>
              </w:rPr>
              <w:t>2</w:t>
            </w:r>
          </w:p>
        </w:tc>
        <w:tc>
          <w:tcPr>
            <w:tcW w:w="2790" w:type="dxa"/>
            <w:tcBorders>
              <w:top w:val="single" w:sz="6" w:space="0" w:color="auto"/>
              <w:left w:val="single" w:sz="6" w:space="0" w:color="auto"/>
              <w:bottom w:val="single" w:sz="6" w:space="0" w:color="auto"/>
              <w:right w:val="single" w:sz="6" w:space="0" w:color="auto"/>
            </w:tcBorders>
            <w:vAlign w:val="center"/>
          </w:tcPr>
          <w:p w14:paraId="07084E40" w14:textId="42366C04" w:rsidR="00A705E0" w:rsidRPr="00FD516E" w:rsidRDefault="005C6573" w:rsidP="00A705E0">
            <w:pPr>
              <w:ind w:left="0" w:firstLine="0"/>
              <w:jc w:val="center"/>
              <w:rPr>
                <w:rFonts w:cs="Arial"/>
                <w:sz w:val="18"/>
                <w:szCs w:val="18"/>
              </w:rPr>
            </w:pPr>
            <w:r w:rsidRPr="00FD516E">
              <w:rPr>
                <w:rFonts w:cs="Arial"/>
                <w:sz w:val="18"/>
                <w:szCs w:val="18"/>
              </w:rPr>
              <w:t>AP-42, Municipal Solid Waste Landfills, Table 2.4-5 (11/98) plus PM emissions from siloxane combustion</w:t>
            </w:r>
          </w:p>
        </w:tc>
        <w:tc>
          <w:tcPr>
            <w:tcW w:w="2010" w:type="dxa"/>
            <w:tcBorders>
              <w:top w:val="single" w:sz="6" w:space="0" w:color="auto"/>
              <w:left w:val="single" w:sz="6" w:space="0" w:color="auto"/>
              <w:bottom w:val="single" w:sz="6" w:space="0" w:color="auto"/>
            </w:tcBorders>
            <w:vAlign w:val="center"/>
          </w:tcPr>
          <w:p w14:paraId="64AEADFC" w14:textId="1A4CD869" w:rsidR="00A705E0" w:rsidRPr="00FD516E" w:rsidRDefault="004B65DB" w:rsidP="00A705E0">
            <w:pPr>
              <w:ind w:left="0" w:firstLine="0"/>
              <w:jc w:val="center"/>
              <w:rPr>
                <w:rFonts w:cs="Arial"/>
                <w:sz w:val="18"/>
                <w:szCs w:val="18"/>
              </w:rPr>
            </w:pPr>
            <w:r w:rsidRPr="00FD516E">
              <w:rPr>
                <w:rFonts w:cs="Arial"/>
                <w:sz w:val="18"/>
                <w:szCs w:val="18"/>
              </w:rPr>
              <w:t>8.53</w:t>
            </w:r>
          </w:p>
        </w:tc>
      </w:tr>
      <w:tr w:rsidR="00A705E0" w:rsidRPr="00FD516E" w14:paraId="0CB3520E" w14:textId="77777777" w:rsidTr="0019185D">
        <w:tblPrEx>
          <w:tblCellMar>
            <w:left w:w="120" w:type="dxa"/>
            <w:right w:w="120" w:type="dxa"/>
          </w:tblCellMar>
        </w:tblPrEx>
        <w:trPr>
          <w:cantSplit/>
          <w:trHeight w:val="435"/>
        </w:trPr>
        <w:tc>
          <w:tcPr>
            <w:tcW w:w="1095" w:type="dxa"/>
            <w:tcBorders>
              <w:top w:val="single" w:sz="6" w:space="0" w:color="auto"/>
              <w:bottom w:val="single" w:sz="6" w:space="0" w:color="auto"/>
              <w:right w:val="single" w:sz="6" w:space="0" w:color="auto"/>
            </w:tcBorders>
            <w:vAlign w:val="center"/>
          </w:tcPr>
          <w:p w14:paraId="1B0F4790" w14:textId="77777777" w:rsidR="00A705E0" w:rsidRPr="00FD516E" w:rsidRDefault="00A705E0" w:rsidP="00A705E0">
            <w:pPr>
              <w:ind w:left="0" w:firstLine="0"/>
              <w:jc w:val="center"/>
              <w:rPr>
                <w:rFonts w:cs="Arial"/>
                <w:sz w:val="18"/>
                <w:szCs w:val="18"/>
              </w:rPr>
            </w:pPr>
            <w:r w:rsidRPr="00FD516E">
              <w:rPr>
                <w:rFonts w:cs="Arial"/>
                <w:sz w:val="18"/>
                <w:szCs w:val="18"/>
              </w:rPr>
              <w:t>CO</w:t>
            </w:r>
          </w:p>
        </w:tc>
        <w:tc>
          <w:tcPr>
            <w:tcW w:w="1080" w:type="dxa"/>
            <w:tcBorders>
              <w:top w:val="single" w:sz="6" w:space="0" w:color="auto"/>
              <w:left w:val="single" w:sz="6" w:space="0" w:color="auto"/>
              <w:bottom w:val="single" w:sz="6" w:space="0" w:color="auto"/>
              <w:right w:val="single" w:sz="6" w:space="0" w:color="auto"/>
            </w:tcBorders>
            <w:vAlign w:val="center"/>
          </w:tcPr>
          <w:p w14:paraId="34392320" w14:textId="77777777" w:rsidR="00A705E0" w:rsidRPr="00FD516E" w:rsidRDefault="00A705E0" w:rsidP="00A705E0">
            <w:pPr>
              <w:ind w:left="0" w:firstLine="0"/>
              <w:jc w:val="center"/>
              <w:rPr>
                <w:rFonts w:cs="Arial"/>
                <w:sz w:val="18"/>
                <w:szCs w:val="18"/>
              </w:rPr>
            </w:pPr>
            <w:r w:rsidRPr="00FD516E">
              <w:rPr>
                <w:rFonts w:cs="Arial"/>
                <w:sz w:val="18"/>
                <w:szCs w:val="18"/>
              </w:rPr>
              <w:t>0.37</w:t>
            </w:r>
          </w:p>
        </w:tc>
        <w:tc>
          <w:tcPr>
            <w:tcW w:w="1800" w:type="dxa"/>
            <w:vMerge w:val="restart"/>
            <w:tcBorders>
              <w:top w:val="single" w:sz="6" w:space="0" w:color="auto"/>
              <w:left w:val="single" w:sz="6" w:space="0" w:color="auto"/>
              <w:right w:val="single" w:sz="6" w:space="0" w:color="auto"/>
            </w:tcBorders>
            <w:vAlign w:val="center"/>
          </w:tcPr>
          <w:p w14:paraId="0F0544DD" w14:textId="4DB6C87A" w:rsidR="00A705E0" w:rsidRPr="00FD516E" w:rsidRDefault="00A705E0" w:rsidP="00A705E0">
            <w:pPr>
              <w:ind w:left="0" w:firstLine="0"/>
              <w:jc w:val="center"/>
              <w:rPr>
                <w:rFonts w:cs="Arial"/>
                <w:sz w:val="18"/>
                <w:szCs w:val="18"/>
              </w:rPr>
            </w:pPr>
            <w:r w:rsidRPr="00FD516E">
              <w:rPr>
                <w:rFonts w:cs="Arial"/>
                <w:sz w:val="18"/>
                <w:szCs w:val="18"/>
              </w:rPr>
              <w:t xml:space="preserve">lb/MMBtu </w:t>
            </w:r>
            <w:r w:rsidRPr="00FD516E">
              <w:rPr>
                <w:rFonts w:cs="Arial"/>
                <w:sz w:val="20"/>
                <w:vertAlign w:val="superscript"/>
              </w:rPr>
              <w:t>1</w:t>
            </w:r>
          </w:p>
        </w:tc>
        <w:tc>
          <w:tcPr>
            <w:tcW w:w="2790" w:type="dxa"/>
            <w:tcBorders>
              <w:top w:val="single" w:sz="6" w:space="0" w:color="auto"/>
              <w:left w:val="single" w:sz="6" w:space="0" w:color="auto"/>
              <w:bottom w:val="single" w:sz="6" w:space="0" w:color="auto"/>
              <w:right w:val="single" w:sz="6" w:space="0" w:color="auto"/>
            </w:tcBorders>
            <w:vAlign w:val="center"/>
          </w:tcPr>
          <w:p w14:paraId="582F9BA4" w14:textId="77777777" w:rsidR="00A705E0" w:rsidRPr="00FD516E" w:rsidRDefault="00A705E0" w:rsidP="00A705E0">
            <w:pPr>
              <w:ind w:left="0" w:firstLine="0"/>
              <w:jc w:val="center"/>
              <w:rPr>
                <w:rFonts w:cs="Arial"/>
                <w:sz w:val="18"/>
                <w:szCs w:val="18"/>
              </w:rPr>
            </w:pPr>
            <w:r w:rsidRPr="00FD516E">
              <w:rPr>
                <w:rFonts w:cs="Arial"/>
                <w:sz w:val="18"/>
                <w:szCs w:val="18"/>
              </w:rPr>
              <w:t>Vendor Supplied – Application for #AOP-14-034</w:t>
            </w:r>
          </w:p>
        </w:tc>
        <w:tc>
          <w:tcPr>
            <w:tcW w:w="2010" w:type="dxa"/>
            <w:tcBorders>
              <w:top w:val="single" w:sz="6" w:space="0" w:color="auto"/>
              <w:left w:val="single" w:sz="6" w:space="0" w:color="auto"/>
              <w:bottom w:val="single" w:sz="6" w:space="0" w:color="auto"/>
            </w:tcBorders>
            <w:vAlign w:val="center"/>
          </w:tcPr>
          <w:p w14:paraId="3572B5C0" w14:textId="7504871D" w:rsidR="00A705E0" w:rsidRPr="00FD516E" w:rsidRDefault="00A705E0" w:rsidP="00A705E0">
            <w:pPr>
              <w:ind w:left="0" w:firstLine="0"/>
              <w:jc w:val="center"/>
              <w:rPr>
                <w:rFonts w:cs="Arial"/>
                <w:sz w:val="18"/>
                <w:szCs w:val="18"/>
              </w:rPr>
            </w:pPr>
            <w:r w:rsidRPr="00FD516E">
              <w:rPr>
                <w:rFonts w:cs="Arial"/>
                <w:sz w:val="18"/>
                <w:szCs w:val="18"/>
              </w:rPr>
              <w:t>119.72</w:t>
            </w:r>
          </w:p>
        </w:tc>
      </w:tr>
      <w:tr w:rsidR="00022588" w:rsidRPr="00FD516E" w14:paraId="648B8906" w14:textId="77777777" w:rsidTr="0019185D">
        <w:tblPrEx>
          <w:tblCellMar>
            <w:left w:w="120" w:type="dxa"/>
            <w:right w:w="120" w:type="dxa"/>
          </w:tblCellMar>
        </w:tblPrEx>
        <w:trPr>
          <w:cantSplit/>
          <w:trHeight w:val="288"/>
        </w:trPr>
        <w:tc>
          <w:tcPr>
            <w:tcW w:w="1095" w:type="dxa"/>
            <w:tcBorders>
              <w:top w:val="single" w:sz="6" w:space="0" w:color="auto"/>
              <w:bottom w:val="single" w:sz="6" w:space="0" w:color="auto"/>
              <w:right w:val="single" w:sz="6" w:space="0" w:color="auto"/>
            </w:tcBorders>
            <w:vAlign w:val="center"/>
          </w:tcPr>
          <w:p w14:paraId="565FAB9E" w14:textId="77777777" w:rsidR="00022588" w:rsidRPr="00FD516E" w:rsidRDefault="00022588" w:rsidP="00022588">
            <w:pPr>
              <w:ind w:left="0" w:firstLine="0"/>
              <w:jc w:val="center"/>
              <w:rPr>
                <w:rFonts w:cs="Arial"/>
                <w:sz w:val="18"/>
                <w:szCs w:val="18"/>
              </w:rPr>
            </w:pPr>
            <w:r w:rsidRPr="00FD516E">
              <w:rPr>
                <w:rFonts w:cs="Arial"/>
                <w:sz w:val="18"/>
                <w:szCs w:val="18"/>
              </w:rPr>
              <w:t>VOC</w:t>
            </w:r>
          </w:p>
        </w:tc>
        <w:tc>
          <w:tcPr>
            <w:tcW w:w="1080" w:type="dxa"/>
            <w:tcBorders>
              <w:top w:val="single" w:sz="6" w:space="0" w:color="auto"/>
              <w:left w:val="single" w:sz="6" w:space="0" w:color="auto"/>
              <w:bottom w:val="single" w:sz="6" w:space="0" w:color="auto"/>
              <w:right w:val="single" w:sz="6" w:space="0" w:color="auto"/>
            </w:tcBorders>
            <w:vAlign w:val="center"/>
          </w:tcPr>
          <w:p w14:paraId="2F479FA5" w14:textId="45D38316" w:rsidR="00022588" w:rsidRPr="00FD516E" w:rsidRDefault="00022588" w:rsidP="00022588">
            <w:pPr>
              <w:ind w:left="0" w:firstLine="0"/>
              <w:jc w:val="center"/>
              <w:rPr>
                <w:rFonts w:cs="Arial"/>
                <w:sz w:val="18"/>
                <w:szCs w:val="18"/>
              </w:rPr>
            </w:pPr>
            <w:r w:rsidRPr="00FD516E">
              <w:rPr>
                <w:rFonts w:cs="Arial"/>
                <w:sz w:val="18"/>
                <w:szCs w:val="18"/>
              </w:rPr>
              <w:t>2.00E-03</w:t>
            </w:r>
          </w:p>
        </w:tc>
        <w:tc>
          <w:tcPr>
            <w:tcW w:w="1800" w:type="dxa"/>
            <w:vMerge/>
            <w:tcBorders>
              <w:left w:val="single" w:sz="6" w:space="0" w:color="auto"/>
              <w:right w:val="single" w:sz="6" w:space="0" w:color="auto"/>
            </w:tcBorders>
            <w:vAlign w:val="center"/>
          </w:tcPr>
          <w:p w14:paraId="69C44F36" w14:textId="1080C2C0" w:rsidR="00022588" w:rsidRPr="00FD516E" w:rsidRDefault="00022588" w:rsidP="00022588">
            <w:pPr>
              <w:ind w:left="0"/>
              <w:jc w:val="center"/>
              <w:rPr>
                <w:rFonts w:cs="Arial"/>
                <w:sz w:val="18"/>
                <w:szCs w:val="18"/>
              </w:rPr>
            </w:pPr>
          </w:p>
        </w:tc>
        <w:tc>
          <w:tcPr>
            <w:tcW w:w="2790" w:type="dxa"/>
            <w:vMerge w:val="restart"/>
            <w:tcBorders>
              <w:top w:val="single" w:sz="6" w:space="0" w:color="auto"/>
              <w:left w:val="single" w:sz="6" w:space="0" w:color="auto"/>
              <w:right w:val="single" w:sz="6" w:space="0" w:color="auto"/>
            </w:tcBorders>
            <w:vAlign w:val="center"/>
          </w:tcPr>
          <w:p w14:paraId="2B1FB564" w14:textId="77777777" w:rsidR="00022588" w:rsidRPr="00FD516E" w:rsidRDefault="00022588" w:rsidP="00022588">
            <w:pPr>
              <w:ind w:left="0" w:firstLine="0"/>
              <w:jc w:val="center"/>
              <w:rPr>
                <w:rFonts w:cs="Arial"/>
                <w:sz w:val="18"/>
                <w:szCs w:val="18"/>
              </w:rPr>
            </w:pPr>
            <w:r w:rsidRPr="00FD516E">
              <w:rPr>
                <w:rFonts w:cs="Arial"/>
                <w:sz w:val="18"/>
                <w:szCs w:val="18"/>
              </w:rPr>
              <w:t>Site Specific Data - Application for #AOP-14-034</w:t>
            </w:r>
          </w:p>
        </w:tc>
        <w:tc>
          <w:tcPr>
            <w:tcW w:w="2010" w:type="dxa"/>
            <w:tcBorders>
              <w:top w:val="single" w:sz="6" w:space="0" w:color="auto"/>
              <w:left w:val="single" w:sz="6" w:space="0" w:color="auto"/>
              <w:bottom w:val="single" w:sz="6" w:space="0" w:color="auto"/>
            </w:tcBorders>
            <w:vAlign w:val="center"/>
          </w:tcPr>
          <w:p w14:paraId="7A7E90F2" w14:textId="383EB9C2" w:rsidR="00022588" w:rsidRPr="00FD516E" w:rsidRDefault="00022588" w:rsidP="00022588">
            <w:pPr>
              <w:ind w:left="0" w:firstLine="0"/>
              <w:jc w:val="center"/>
              <w:rPr>
                <w:rFonts w:cs="Arial"/>
                <w:sz w:val="18"/>
                <w:szCs w:val="18"/>
              </w:rPr>
            </w:pPr>
            <w:r w:rsidRPr="00FD516E">
              <w:rPr>
                <w:rFonts w:cs="Arial"/>
                <w:sz w:val="18"/>
                <w:szCs w:val="18"/>
              </w:rPr>
              <w:t>0.65</w:t>
            </w:r>
          </w:p>
        </w:tc>
      </w:tr>
      <w:tr w:rsidR="00022588" w:rsidRPr="00FD516E" w14:paraId="61CA0B4C" w14:textId="77777777" w:rsidTr="0019185D">
        <w:tblPrEx>
          <w:tblCellMar>
            <w:left w:w="120" w:type="dxa"/>
            <w:right w:w="120" w:type="dxa"/>
          </w:tblCellMar>
        </w:tblPrEx>
        <w:trPr>
          <w:cantSplit/>
          <w:trHeight w:val="288"/>
        </w:trPr>
        <w:tc>
          <w:tcPr>
            <w:tcW w:w="1095" w:type="dxa"/>
            <w:tcBorders>
              <w:top w:val="single" w:sz="6" w:space="0" w:color="auto"/>
              <w:bottom w:val="double" w:sz="4" w:space="0" w:color="auto"/>
              <w:right w:val="single" w:sz="6" w:space="0" w:color="auto"/>
            </w:tcBorders>
            <w:vAlign w:val="center"/>
          </w:tcPr>
          <w:p w14:paraId="5814A7C9" w14:textId="77777777" w:rsidR="00022588" w:rsidRPr="00FD516E" w:rsidRDefault="00022588" w:rsidP="00022588">
            <w:pPr>
              <w:ind w:left="0" w:firstLine="0"/>
              <w:jc w:val="center"/>
              <w:rPr>
                <w:rFonts w:cs="Arial"/>
                <w:sz w:val="18"/>
                <w:szCs w:val="18"/>
              </w:rPr>
            </w:pPr>
            <w:r w:rsidRPr="00FD516E">
              <w:rPr>
                <w:rFonts w:cs="Arial"/>
                <w:sz w:val="18"/>
                <w:szCs w:val="18"/>
              </w:rPr>
              <w:t>HAPs</w:t>
            </w:r>
          </w:p>
        </w:tc>
        <w:tc>
          <w:tcPr>
            <w:tcW w:w="1080" w:type="dxa"/>
            <w:tcBorders>
              <w:top w:val="single" w:sz="6" w:space="0" w:color="auto"/>
              <w:left w:val="single" w:sz="6" w:space="0" w:color="auto"/>
              <w:bottom w:val="double" w:sz="4" w:space="0" w:color="auto"/>
              <w:right w:val="single" w:sz="6" w:space="0" w:color="auto"/>
            </w:tcBorders>
            <w:vAlign w:val="center"/>
          </w:tcPr>
          <w:p w14:paraId="2B75A67C" w14:textId="0D42A9B3" w:rsidR="00022588" w:rsidRPr="00FD516E" w:rsidRDefault="00022588" w:rsidP="00022588">
            <w:pPr>
              <w:ind w:left="0" w:firstLine="0"/>
              <w:jc w:val="center"/>
              <w:rPr>
                <w:rFonts w:cs="Arial"/>
                <w:sz w:val="18"/>
                <w:szCs w:val="18"/>
              </w:rPr>
            </w:pPr>
            <w:r w:rsidRPr="00FD516E">
              <w:rPr>
                <w:rFonts w:cs="Arial"/>
                <w:sz w:val="18"/>
                <w:szCs w:val="18"/>
              </w:rPr>
              <w:t>6.90E-04</w:t>
            </w:r>
          </w:p>
        </w:tc>
        <w:tc>
          <w:tcPr>
            <w:tcW w:w="1800" w:type="dxa"/>
            <w:vMerge/>
            <w:tcBorders>
              <w:left w:val="single" w:sz="6" w:space="0" w:color="auto"/>
              <w:bottom w:val="double" w:sz="4" w:space="0" w:color="auto"/>
              <w:right w:val="single" w:sz="6" w:space="0" w:color="auto"/>
            </w:tcBorders>
            <w:vAlign w:val="center"/>
          </w:tcPr>
          <w:p w14:paraId="5B809C11" w14:textId="39E9A7B5" w:rsidR="00022588" w:rsidRPr="00FD516E" w:rsidRDefault="00022588" w:rsidP="00022588">
            <w:pPr>
              <w:ind w:left="0" w:firstLine="0"/>
              <w:jc w:val="center"/>
              <w:rPr>
                <w:rFonts w:cs="Arial"/>
                <w:sz w:val="18"/>
                <w:szCs w:val="18"/>
              </w:rPr>
            </w:pPr>
          </w:p>
        </w:tc>
        <w:tc>
          <w:tcPr>
            <w:tcW w:w="2790" w:type="dxa"/>
            <w:vMerge/>
            <w:tcBorders>
              <w:left w:val="single" w:sz="6" w:space="0" w:color="auto"/>
              <w:bottom w:val="double" w:sz="4" w:space="0" w:color="auto"/>
              <w:right w:val="single" w:sz="6" w:space="0" w:color="auto"/>
            </w:tcBorders>
            <w:vAlign w:val="center"/>
          </w:tcPr>
          <w:p w14:paraId="6FF01AC7" w14:textId="77777777" w:rsidR="00022588" w:rsidRPr="00FD516E" w:rsidRDefault="00022588" w:rsidP="00022588">
            <w:pPr>
              <w:ind w:left="0" w:firstLine="0"/>
              <w:jc w:val="center"/>
              <w:rPr>
                <w:rFonts w:cs="Arial"/>
                <w:sz w:val="18"/>
                <w:szCs w:val="18"/>
              </w:rPr>
            </w:pPr>
          </w:p>
        </w:tc>
        <w:tc>
          <w:tcPr>
            <w:tcW w:w="2010" w:type="dxa"/>
            <w:tcBorders>
              <w:top w:val="single" w:sz="6" w:space="0" w:color="auto"/>
              <w:left w:val="single" w:sz="6" w:space="0" w:color="auto"/>
              <w:bottom w:val="double" w:sz="4" w:space="0" w:color="auto"/>
            </w:tcBorders>
            <w:vAlign w:val="center"/>
          </w:tcPr>
          <w:p w14:paraId="694045FE" w14:textId="7B2006E2" w:rsidR="00022588" w:rsidRPr="00FD516E" w:rsidRDefault="00022588" w:rsidP="00022588">
            <w:pPr>
              <w:ind w:left="0" w:firstLine="0"/>
              <w:jc w:val="center"/>
              <w:rPr>
                <w:rFonts w:cs="Arial"/>
                <w:sz w:val="18"/>
                <w:szCs w:val="18"/>
              </w:rPr>
            </w:pPr>
            <w:r w:rsidRPr="00FD516E">
              <w:rPr>
                <w:rFonts w:cs="Arial"/>
                <w:sz w:val="18"/>
                <w:szCs w:val="18"/>
              </w:rPr>
              <w:t>0.22</w:t>
            </w:r>
          </w:p>
        </w:tc>
      </w:tr>
    </w:tbl>
    <w:p w14:paraId="194A9F37" w14:textId="77777777" w:rsidR="00AF783D" w:rsidRPr="00FD516E" w:rsidRDefault="00AF783D" w:rsidP="001A55C0">
      <w:pPr>
        <w:ind w:left="0" w:firstLine="0"/>
        <w:rPr>
          <w:sz w:val="18"/>
          <w:szCs w:val="18"/>
        </w:rPr>
      </w:pPr>
    </w:p>
    <w:p w14:paraId="6C411A3C" w14:textId="36AB808D" w:rsidR="00A705E0" w:rsidRPr="00FD516E" w:rsidRDefault="00E1428C" w:rsidP="00B74D22">
      <w:pPr>
        <w:ind w:left="720" w:firstLine="0"/>
        <w:rPr>
          <w:sz w:val="18"/>
          <w:szCs w:val="18"/>
        </w:rPr>
      </w:pPr>
      <w:r w:rsidRPr="00FD516E">
        <w:rPr>
          <w:sz w:val="20"/>
          <w:vertAlign w:val="superscript"/>
        </w:rPr>
        <w:t>1</w:t>
      </w:r>
      <w:r w:rsidRPr="00FD516E">
        <w:rPr>
          <w:sz w:val="18"/>
          <w:szCs w:val="18"/>
        </w:rPr>
        <w:t xml:space="preserve"> lb/MMBtu</w:t>
      </w:r>
      <w:r w:rsidR="00A705E0" w:rsidRPr="00FD516E">
        <w:rPr>
          <w:sz w:val="18"/>
          <w:szCs w:val="18"/>
        </w:rPr>
        <w:t xml:space="preserve"> equals pounds of pollutant emitted </w:t>
      </w:r>
      <w:r w:rsidRPr="00FD516E">
        <w:rPr>
          <w:sz w:val="18"/>
          <w:szCs w:val="18"/>
        </w:rPr>
        <w:t xml:space="preserve">per million British thermal units of heat input.  </w:t>
      </w:r>
    </w:p>
    <w:p w14:paraId="0CCBB3E6" w14:textId="4BC4B2AF" w:rsidR="00E1428C" w:rsidRPr="00FD516E" w:rsidRDefault="00E1428C" w:rsidP="00B74D22">
      <w:pPr>
        <w:ind w:left="720" w:firstLine="0"/>
        <w:rPr>
          <w:sz w:val="18"/>
          <w:szCs w:val="18"/>
        </w:rPr>
      </w:pPr>
      <w:proofErr w:type="gramStart"/>
      <w:r w:rsidRPr="00FD516E">
        <w:rPr>
          <w:sz w:val="20"/>
          <w:vertAlign w:val="superscript"/>
        </w:rPr>
        <w:t xml:space="preserve">2  </w:t>
      </w:r>
      <w:r w:rsidRPr="00FD516E">
        <w:rPr>
          <w:sz w:val="18"/>
          <w:szCs w:val="18"/>
        </w:rPr>
        <w:t>lb</w:t>
      </w:r>
      <w:proofErr w:type="gramEnd"/>
      <w:r w:rsidRPr="00FD516E">
        <w:rPr>
          <w:sz w:val="18"/>
          <w:szCs w:val="18"/>
        </w:rPr>
        <w:t xml:space="preserve">/MMcf methane equals pounds of pollutant emitted per million cubic feet of methane input.  </w:t>
      </w:r>
    </w:p>
    <w:p w14:paraId="4AE55400" w14:textId="77777777" w:rsidR="001A55C0" w:rsidRPr="00FD516E" w:rsidRDefault="001A55C0" w:rsidP="0074616A">
      <w:pPr>
        <w:ind w:left="0" w:firstLine="0"/>
        <w:rPr>
          <w:szCs w:val="22"/>
        </w:rPr>
      </w:pPr>
    </w:p>
    <w:p w14:paraId="55281E69" w14:textId="77777777" w:rsidR="00ED2E88" w:rsidRPr="00FD516E" w:rsidRDefault="00ED2E88">
      <w:pPr>
        <w:widowControl/>
        <w:autoSpaceDE/>
        <w:autoSpaceDN/>
        <w:adjustRightInd/>
        <w:ind w:left="0" w:firstLine="0"/>
        <w:jc w:val="left"/>
        <w:rPr>
          <w:b/>
          <w:szCs w:val="22"/>
        </w:rPr>
      </w:pPr>
      <w:r w:rsidRPr="00FD516E">
        <w:rPr>
          <w:b/>
          <w:szCs w:val="22"/>
        </w:rPr>
        <w:br w:type="page"/>
      </w:r>
    </w:p>
    <w:p w14:paraId="5AD45020" w14:textId="30F8D5A0" w:rsidR="00CB3BAC" w:rsidRPr="00FD516E" w:rsidRDefault="00520640" w:rsidP="00B74D22">
      <w:pPr>
        <w:ind w:left="540" w:firstLine="0"/>
        <w:rPr>
          <w:b/>
          <w:szCs w:val="22"/>
        </w:rPr>
      </w:pPr>
      <w:r w:rsidRPr="00FD516E">
        <w:rPr>
          <w:b/>
          <w:szCs w:val="22"/>
        </w:rPr>
        <w:lastRenderedPageBreak/>
        <w:t>3.2.2</w:t>
      </w:r>
      <w:r w:rsidR="00CB3BAC" w:rsidRPr="00FD516E">
        <w:rPr>
          <w:b/>
          <w:szCs w:val="22"/>
        </w:rPr>
        <w:tab/>
      </w:r>
      <w:r w:rsidR="00A403AF" w:rsidRPr="00FD516E">
        <w:rPr>
          <w:b/>
          <w:szCs w:val="22"/>
        </w:rPr>
        <w:t xml:space="preserve">Reciprocating Internal Combustion </w:t>
      </w:r>
      <w:r w:rsidR="00CB3BAC" w:rsidRPr="00FD516E">
        <w:rPr>
          <w:b/>
          <w:szCs w:val="22"/>
        </w:rPr>
        <w:t xml:space="preserve">Engine Combustion Emissions </w:t>
      </w:r>
    </w:p>
    <w:p w14:paraId="1E12CA72" w14:textId="77777777" w:rsidR="00C020B4" w:rsidRPr="00FD516E" w:rsidRDefault="00C020B4" w:rsidP="0074616A">
      <w:pPr>
        <w:ind w:left="0" w:firstLine="0"/>
        <w:rPr>
          <w:szCs w:val="22"/>
        </w:rPr>
      </w:pPr>
    </w:p>
    <w:p w14:paraId="072DE02D" w14:textId="769DCF5B" w:rsidR="00A403AF" w:rsidRPr="00FD516E" w:rsidRDefault="00A403AF" w:rsidP="00B74D22">
      <w:pPr>
        <w:ind w:left="720" w:firstLine="0"/>
        <w:rPr>
          <w:szCs w:val="22"/>
          <w:u w:val="single"/>
        </w:rPr>
      </w:pPr>
      <w:r w:rsidRPr="00FD516E">
        <w:rPr>
          <w:szCs w:val="22"/>
          <w:u w:val="single"/>
        </w:rPr>
        <w:t>CAT 3520C Engines</w:t>
      </w:r>
    </w:p>
    <w:p w14:paraId="05FDD9EB" w14:textId="77777777" w:rsidR="00A403AF" w:rsidRPr="00FD516E" w:rsidRDefault="00A403AF" w:rsidP="00A403AF">
      <w:pPr>
        <w:ind w:left="0" w:firstLine="0"/>
        <w:rPr>
          <w:szCs w:val="22"/>
        </w:rPr>
      </w:pPr>
    </w:p>
    <w:p w14:paraId="5722411E" w14:textId="7197975F" w:rsidR="00056B34" w:rsidRPr="00FD516E" w:rsidRDefault="00CB4377" w:rsidP="00B74D22">
      <w:pPr>
        <w:ind w:left="720" w:firstLine="0"/>
        <w:rPr>
          <w:szCs w:val="22"/>
        </w:rPr>
      </w:pPr>
      <w:r w:rsidRPr="00FD516E">
        <w:rPr>
          <w:szCs w:val="22"/>
        </w:rPr>
        <w:t>Emissions of NOx for the</w:t>
      </w:r>
      <w:r w:rsidR="002D0237" w:rsidRPr="00FD516E">
        <w:rPr>
          <w:szCs w:val="22"/>
        </w:rPr>
        <w:t xml:space="preserve"> CAT</w:t>
      </w:r>
      <w:r w:rsidRPr="00FD516E">
        <w:rPr>
          <w:szCs w:val="22"/>
        </w:rPr>
        <w:t xml:space="preserve"> 3520C LE engines were based on emission guarantees provided by the engine manufacturer</w:t>
      </w:r>
      <w:r w:rsidR="00754E2F" w:rsidRPr="00FD516E">
        <w:rPr>
          <w:szCs w:val="22"/>
        </w:rPr>
        <w:t xml:space="preserve">, and emissions of CO were based on the revised MSER for these engines, </w:t>
      </w:r>
      <w:r w:rsidR="00056B34" w:rsidRPr="00FD516E">
        <w:rPr>
          <w:szCs w:val="22"/>
        </w:rPr>
        <w:t>which is</w:t>
      </w:r>
      <w:r w:rsidR="00754E2F" w:rsidRPr="00FD516E">
        <w:rPr>
          <w:szCs w:val="22"/>
        </w:rPr>
        <w:t xml:space="preserve"> a not-to-exceed emission rate of 3.5 g/bhp-hr.  </w:t>
      </w:r>
      <w:r w:rsidR="00056B34" w:rsidRPr="00FD516E">
        <w:rPr>
          <w:szCs w:val="22"/>
        </w:rPr>
        <w:t xml:space="preserve">Emissions of PM were estimated using November 2012 stack test data from Engine No. 5 at the </w:t>
      </w:r>
      <w:r w:rsidR="00E00696" w:rsidRPr="00FD516E">
        <w:rPr>
          <w:szCs w:val="22"/>
        </w:rPr>
        <w:t>LFGTE Operation</w:t>
      </w:r>
      <w:r w:rsidR="00056B34" w:rsidRPr="00FD516E">
        <w:rPr>
          <w:szCs w:val="22"/>
        </w:rPr>
        <w:t xml:space="preserve">.  </w:t>
      </w:r>
      <w:r w:rsidRPr="00FD516E">
        <w:rPr>
          <w:szCs w:val="22"/>
        </w:rPr>
        <w:t>Emissions of SO</w:t>
      </w:r>
      <w:r w:rsidRPr="00FD516E">
        <w:rPr>
          <w:szCs w:val="22"/>
          <w:vertAlign w:val="subscript"/>
        </w:rPr>
        <w:t>2</w:t>
      </w:r>
      <w:r w:rsidRPr="00FD516E">
        <w:rPr>
          <w:szCs w:val="22"/>
        </w:rPr>
        <w:t xml:space="preserve"> were estimated using site-specific total reduced sulfur (TRS) and hydrogen sulfide (H</w:t>
      </w:r>
      <w:r w:rsidRPr="00FD516E">
        <w:rPr>
          <w:szCs w:val="22"/>
          <w:vertAlign w:val="subscript"/>
        </w:rPr>
        <w:t>2</w:t>
      </w:r>
      <w:r w:rsidRPr="00FD516E">
        <w:rPr>
          <w:szCs w:val="22"/>
        </w:rPr>
        <w:t xml:space="preserve">S) analytical results from LFG samples collected on July 8, 2014.  </w:t>
      </w:r>
    </w:p>
    <w:p w14:paraId="3A4218F9" w14:textId="77777777" w:rsidR="00056B34" w:rsidRPr="00FD516E" w:rsidRDefault="00056B34" w:rsidP="00056B34">
      <w:pPr>
        <w:ind w:left="0" w:firstLine="0"/>
        <w:rPr>
          <w:szCs w:val="22"/>
        </w:rPr>
      </w:pPr>
    </w:p>
    <w:p w14:paraId="3AF71C7A" w14:textId="4CCD3A56" w:rsidR="00C2783D" w:rsidRPr="00FD516E" w:rsidRDefault="00754E2F" w:rsidP="00B74D22">
      <w:pPr>
        <w:ind w:left="720" w:firstLine="0"/>
        <w:rPr>
          <w:szCs w:val="22"/>
        </w:rPr>
      </w:pPr>
      <w:proofErr w:type="gramStart"/>
      <w:r w:rsidRPr="00FD516E">
        <w:rPr>
          <w:szCs w:val="22"/>
        </w:rPr>
        <w:t>With the exception of</w:t>
      </w:r>
      <w:proofErr w:type="gramEnd"/>
      <w:r w:rsidRPr="00FD516E">
        <w:rPr>
          <w:szCs w:val="22"/>
        </w:rPr>
        <w:t xml:space="preserve"> formaldehyde</w:t>
      </w:r>
      <w:r w:rsidR="00F968AA" w:rsidRPr="00FD516E">
        <w:rPr>
          <w:szCs w:val="22"/>
        </w:rPr>
        <w:t xml:space="preserve"> and acetaldehyde</w:t>
      </w:r>
      <w:r w:rsidRPr="00FD516E">
        <w:rPr>
          <w:szCs w:val="22"/>
        </w:rPr>
        <w:t xml:space="preserve">, </w:t>
      </w:r>
      <w:r w:rsidR="00CB4377" w:rsidRPr="00FD516E">
        <w:rPr>
          <w:szCs w:val="22"/>
        </w:rPr>
        <w:t xml:space="preserve">VOC and HAP emissions were based on chemical analytical results from LFG collected in August 1993 and June 2002, and an assumed 98% destruction efficiency in the combustion devices at the Facility.  </w:t>
      </w:r>
      <w:r w:rsidR="00E54DD5" w:rsidRPr="00FD516E">
        <w:rPr>
          <w:szCs w:val="22"/>
        </w:rPr>
        <w:t xml:space="preserve">Total LFG flow through the </w:t>
      </w:r>
      <w:r w:rsidR="00C2783D" w:rsidRPr="00FD516E">
        <w:rPr>
          <w:szCs w:val="22"/>
        </w:rPr>
        <w:t xml:space="preserve">five (5) </w:t>
      </w:r>
      <w:r w:rsidR="002D0237" w:rsidRPr="00FD516E">
        <w:rPr>
          <w:szCs w:val="22"/>
        </w:rPr>
        <w:t xml:space="preserve">CAT </w:t>
      </w:r>
      <w:r w:rsidR="00C2783D" w:rsidRPr="00FD516E">
        <w:rPr>
          <w:szCs w:val="22"/>
        </w:rPr>
        <w:t>3520C LE engines is estimated at 2,537.5 scfm.  Each engine is rated at 2,221 bhp for a total installed horsepower rating of 11,105 bhp.  Chemical analytical results from the Landfill indicted that VOC concentrations in LFG were 4.99 E-05 lb VOC/scf of LFG, and HAP concentrations in LFG were 1.73E-</w:t>
      </w:r>
      <w:r w:rsidR="00FE1169" w:rsidRPr="00FD516E">
        <w:rPr>
          <w:szCs w:val="22"/>
        </w:rPr>
        <w:t>0</w:t>
      </w:r>
      <w:r w:rsidR="00C2783D" w:rsidRPr="00FD516E">
        <w:rPr>
          <w:szCs w:val="22"/>
        </w:rPr>
        <w:t xml:space="preserve">5 lb HAPs/scf of LFG.  Based on these assumptions, the VOC and HAP emission factor for the engines, </w:t>
      </w:r>
      <w:r w:rsidR="00FE1169" w:rsidRPr="00FD516E">
        <w:rPr>
          <w:szCs w:val="22"/>
        </w:rPr>
        <w:t>(</w:t>
      </w:r>
      <w:r w:rsidR="00C2783D" w:rsidRPr="00FD516E">
        <w:rPr>
          <w:szCs w:val="22"/>
        </w:rPr>
        <w:t>excluding formaldehyde</w:t>
      </w:r>
      <w:r w:rsidR="00FE1169" w:rsidRPr="00FD516E">
        <w:rPr>
          <w:szCs w:val="22"/>
        </w:rPr>
        <w:t>)</w:t>
      </w:r>
      <w:r w:rsidR="00C2783D" w:rsidRPr="00FD516E">
        <w:rPr>
          <w:szCs w:val="22"/>
        </w:rPr>
        <w:t xml:space="preserve"> are </w:t>
      </w:r>
      <w:r w:rsidR="00675EDA" w:rsidRPr="00FD516E">
        <w:rPr>
          <w:szCs w:val="22"/>
        </w:rPr>
        <w:t>0.</w:t>
      </w:r>
      <w:r w:rsidR="003D748E" w:rsidRPr="00FD516E">
        <w:rPr>
          <w:szCs w:val="22"/>
        </w:rPr>
        <w:t>006</w:t>
      </w:r>
      <w:r w:rsidR="00C2783D" w:rsidRPr="00FD516E">
        <w:rPr>
          <w:szCs w:val="22"/>
        </w:rPr>
        <w:t xml:space="preserve"> g/bhp-hr and </w:t>
      </w:r>
      <w:r w:rsidR="00675EDA" w:rsidRPr="00FD516E">
        <w:rPr>
          <w:szCs w:val="22"/>
        </w:rPr>
        <w:t>0.</w:t>
      </w:r>
      <w:r w:rsidR="003D748E" w:rsidRPr="00FD516E">
        <w:rPr>
          <w:szCs w:val="22"/>
        </w:rPr>
        <w:t>002</w:t>
      </w:r>
      <w:r w:rsidR="00675EDA" w:rsidRPr="00FD516E">
        <w:rPr>
          <w:szCs w:val="22"/>
        </w:rPr>
        <w:t xml:space="preserve"> </w:t>
      </w:r>
      <w:r w:rsidR="00C2783D" w:rsidRPr="00FD516E">
        <w:rPr>
          <w:szCs w:val="22"/>
        </w:rPr>
        <w:t xml:space="preserve">g/bhp-hr, respectively.  </w:t>
      </w:r>
    </w:p>
    <w:p w14:paraId="73DADAE1" w14:textId="77777777" w:rsidR="00C91187" w:rsidRPr="00FD516E" w:rsidRDefault="00C91187" w:rsidP="00C91187">
      <w:pPr>
        <w:ind w:left="0" w:firstLine="0"/>
        <w:rPr>
          <w:szCs w:val="22"/>
        </w:rPr>
      </w:pPr>
    </w:p>
    <w:p w14:paraId="3D1DD8F5" w14:textId="6DEDA681" w:rsidR="00F65A4A" w:rsidRPr="00FD516E" w:rsidRDefault="004F5AA6" w:rsidP="00B74D22">
      <w:pPr>
        <w:ind w:left="720" w:firstLine="0"/>
        <w:rPr>
          <w:szCs w:val="22"/>
        </w:rPr>
      </w:pPr>
      <w:r w:rsidRPr="00FD516E">
        <w:rPr>
          <w:szCs w:val="22"/>
        </w:rPr>
        <w:t>Formaldehyde</w:t>
      </w:r>
      <w:r w:rsidR="00A055DD" w:rsidRPr="00FD516E">
        <w:rPr>
          <w:szCs w:val="22"/>
        </w:rPr>
        <w:t xml:space="preserve"> and acetaldehyde are</w:t>
      </w:r>
      <w:r w:rsidR="005D62C4" w:rsidRPr="00FD516E">
        <w:rPr>
          <w:szCs w:val="22"/>
        </w:rPr>
        <w:t xml:space="preserve"> </w:t>
      </w:r>
      <w:r w:rsidR="00767EBE" w:rsidRPr="00FD516E">
        <w:rPr>
          <w:szCs w:val="22"/>
        </w:rPr>
        <w:t xml:space="preserve">formed in the engines as a product of incomplete combustion, and the formaldehyde </w:t>
      </w:r>
      <w:r w:rsidR="00754E2F" w:rsidRPr="00FD516E">
        <w:rPr>
          <w:szCs w:val="22"/>
        </w:rPr>
        <w:t xml:space="preserve">emissions </w:t>
      </w:r>
      <w:r w:rsidR="00B45789" w:rsidRPr="00FD516E">
        <w:rPr>
          <w:szCs w:val="22"/>
        </w:rPr>
        <w:t xml:space="preserve">in </w:t>
      </w:r>
      <w:r w:rsidR="00130248" w:rsidRPr="00FD516E">
        <w:rPr>
          <w:szCs w:val="22"/>
          <w:vertAlign w:val="superscript"/>
        </w:rPr>
        <w:t>#</w:t>
      </w:r>
      <w:r w:rsidR="00B45789" w:rsidRPr="00FD516E">
        <w:rPr>
          <w:szCs w:val="22"/>
        </w:rPr>
        <w:t>AOP-</w:t>
      </w:r>
      <w:r w:rsidR="00130248" w:rsidRPr="00FD516E">
        <w:rPr>
          <w:szCs w:val="22"/>
        </w:rPr>
        <w:t xml:space="preserve">14-034 and </w:t>
      </w:r>
      <w:r w:rsidR="00130248" w:rsidRPr="00FD516E">
        <w:rPr>
          <w:szCs w:val="22"/>
          <w:vertAlign w:val="superscript"/>
        </w:rPr>
        <w:t>#</w:t>
      </w:r>
      <w:r w:rsidR="00130248" w:rsidRPr="00FD516E">
        <w:rPr>
          <w:szCs w:val="22"/>
        </w:rPr>
        <w:t>AOP-15-032</w:t>
      </w:r>
      <w:r w:rsidR="00B45789" w:rsidRPr="00FD516E">
        <w:rPr>
          <w:szCs w:val="22"/>
        </w:rPr>
        <w:t xml:space="preserve"> </w:t>
      </w:r>
      <w:r w:rsidR="00692EC1" w:rsidRPr="00FD516E">
        <w:rPr>
          <w:szCs w:val="22"/>
        </w:rPr>
        <w:t xml:space="preserve">were </w:t>
      </w:r>
      <w:r w:rsidR="00754E2F" w:rsidRPr="00FD516E">
        <w:rPr>
          <w:szCs w:val="22"/>
        </w:rPr>
        <w:t>based on</w:t>
      </w:r>
      <w:r w:rsidR="00767EBE" w:rsidRPr="00FD516E">
        <w:rPr>
          <w:szCs w:val="22"/>
        </w:rPr>
        <w:t xml:space="preserve"> a formaldehyde emission factor of </w:t>
      </w:r>
      <w:r w:rsidRPr="00FD516E">
        <w:rPr>
          <w:szCs w:val="22"/>
        </w:rPr>
        <w:t xml:space="preserve">5.28E-02 lb/MMBtu of heat input obtained from AP-42, </w:t>
      </w:r>
      <w:r w:rsidRPr="00FD516E">
        <w:rPr>
          <w:i/>
          <w:szCs w:val="22"/>
        </w:rPr>
        <w:t>Chapter 3:  Stationary Internal Combustion Sources, Section 3.2, Natural Gas-fired Reciprocating Engines, Table 3.2-2 Uncontrolled Emission Factors for 4-Stroke Lean-Burn Engines, (Supplement F, August 2000)</w:t>
      </w:r>
      <w:r w:rsidRPr="00FD516E">
        <w:rPr>
          <w:szCs w:val="22"/>
        </w:rPr>
        <w:t xml:space="preserve">, and by assuming a fuel heat value of 500 Btu/scf, and an LFG supply rate to </w:t>
      </w:r>
      <w:r w:rsidR="00E54DD5" w:rsidRPr="00FD516E">
        <w:rPr>
          <w:szCs w:val="22"/>
        </w:rPr>
        <w:t>each engine of 507.5 scf of LFG</w:t>
      </w:r>
      <w:r w:rsidR="00767EBE" w:rsidRPr="00FD516E">
        <w:rPr>
          <w:szCs w:val="22"/>
        </w:rPr>
        <w:t xml:space="preserve">.  </w:t>
      </w:r>
      <w:r w:rsidRPr="00FD516E">
        <w:rPr>
          <w:szCs w:val="22"/>
        </w:rPr>
        <w:t xml:space="preserve">This results in an estimated emission factor for formaldehyde of 0.164 g/bhp-hr.  </w:t>
      </w:r>
      <w:r w:rsidR="00874BDE" w:rsidRPr="00FD516E">
        <w:rPr>
          <w:szCs w:val="22"/>
        </w:rPr>
        <w:t xml:space="preserve">The VOC and HAP emission factor for the engines including formaldehyde are </w:t>
      </w:r>
      <w:r w:rsidR="00732843" w:rsidRPr="00FD516E">
        <w:rPr>
          <w:szCs w:val="22"/>
        </w:rPr>
        <w:t xml:space="preserve">therefore </w:t>
      </w:r>
      <w:r w:rsidR="00675EDA" w:rsidRPr="00FD516E">
        <w:rPr>
          <w:szCs w:val="22"/>
        </w:rPr>
        <w:t>0.</w:t>
      </w:r>
      <w:r w:rsidR="00D42A8D" w:rsidRPr="00FD516E">
        <w:rPr>
          <w:szCs w:val="22"/>
        </w:rPr>
        <w:t>170</w:t>
      </w:r>
      <w:r w:rsidR="00874BDE" w:rsidRPr="00FD516E">
        <w:rPr>
          <w:szCs w:val="22"/>
        </w:rPr>
        <w:t xml:space="preserve"> g/bhp-hr and </w:t>
      </w:r>
      <w:r w:rsidR="00675EDA" w:rsidRPr="00FD516E">
        <w:rPr>
          <w:szCs w:val="22"/>
        </w:rPr>
        <w:t>0.</w:t>
      </w:r>
      <w:r w:rsidR="00D42A8D" w:rsidRPr="00FD516E">
        <w:rPr>
          <w:szCs w:val="22"/>
        </w:rPr>
        <w:t>166</w:t>
      </w:r>
      <w:r w:rsidR="00675EDA" w:rsidRPr="00FD516E">
        <w:rPr>
          <w:szCs w:val="22"/>
        </w:rPr>
        <w:t xml:space="preserve"> </w:t>
      </w:r>
      <w:r w:rsidR="00874BDE" w:rsidRPr="00FD516E">
        <w:rPr>
          <w:szCs w:val="22"/>
        </w:rPr>
        <w:t xml:space="preserve">g/bhp-hr, respectively.  </w:t>
      </w:r>
      <w:r w:rsidR="008C0428" w:rsidRPr="00FD516E">
        <w:rPr>
          <w:szCs w:val="22"/>
        </w:rPr>
        <w:t xml:space="preserve">Acetaldehyde emissions were assumed to be negligible.  </w:t>
      </w:r>
    </w:p>
    <w:p w14:paraId="03A34196" w14:textId="77777777" w:rsidR="00F65A4A" w:rsidRPr="00FD516E" w:rsidRDefault="00F65A4A" w:rsidP="00F65A4A">
      <w:pPr>
        <w:ind w:left="0" w:firstLine="0"/>
        <w:rPr>
          <w:szCs w:val="22"/>
        </w:rPr>
      </w:pPr>
    </w:p>
    <w:p w14:paraId="34BB91AF" w14:textId="419E9CFE" w:rsidR="00D70AA6" w:rsidRPr="00FD516E" w:rsidRDefault="00F65A4A" w:rsidP="00B74D22">
      <w:pPr>
        <w:ind w:left="720" w:firstLine="0"/>
        <w:rPr>
          <w:szCs w:val="22"/>
        </w:rPr>
      </w:pPr>
      <w:r w:rsidRPr="00FD516E">
        <w:rPr>
          <w:szCs w:val="22"/>
        </w:rPr>
        <w:t xml:space="preserve">It </w:t>
      </w:r>
      <w:r w:rsidR="00130248" w:rsidRPr="00FD516E">
        <w:rPr>
          <w:szCs w:val="22"/>
        </w:rPr>
        <w:t>was</w:t>
      </w:r>
      <w:r w:rsidRPr="00FD516E">
        <w:rPr>
          <w:szCs w:val="22"/>
        </w:rPr>
        <w:t xml:space="preserve"> </w:t>
      </w:r>
      <w:r w:rsidR="00130248" w:rsidRPr="00FD516E">
        <w:rPr>
          <w:szCs w:val="22"/>
        </w:rPr>
        <w:t xml:space="preserve">previously </w:t>
      </w:r>
      <w:r w:rsidRPr="00FD516E">
        <w:rPr>
          <w:szCs w:val="22"/>
        </w:rPr>
        <w:t>noted that the</w:t>
      </w:r>
      <w:r w:rsidR="00130248" w:rsidRPr="00FD516E">
        <w:rPr>
          <w:szCs w:val="22"/>
        </w:rPr>
        <w:t xml:space="preserve"> above</w:t>
      </w:r>
      <w:r w:rsidRPr="00FD516E">
        <w:rPr>
          <w:szCs w:val="22"/>
        </w:rPr>
        <w:t xml:space="preserve"> emission factor</w:t>
      </w:r>
      <w:r w:rsidR="00130248" w:rsidRPr="00FD516E">
        <w:rPr>
          <w:szCs w:val="22"/>
        </w:rPr>
        <w:t xml:space="preserve"> for formaldehyde</w:t>
      </w:r>
      <w:r w:rsidRPr="00FD516E">
        <w:rPr>
          <w:szCs w:val="22"/>
        </w:rPr>
        <w:t xml:space="preserve"> appear</w:t>
      </w:r>
      <w:r w:rsidR="00130248" w:rsidRPr="00FD516E">
        <w:rPr>
          <w:szCs w:val="22"/>
        </w:rPr>
        <w:t>s</w:t>
      </w:r>
      <w:r w:rsidRPr="00FD516E">
        <w:rPr>
          <w:szCs w:val="22"/>
        </w:rPr>
        <w:t xml:space="preserve"> to </w:t>
      </w:r>
      <w:r w:rsidR="00130248" w:rsidRPr="00FD516E">
        <w:rPr>
          <w:szCs w:val="22"/>
        </w:rPr>
        <w:t>have been</w:t>
      </w:r>
      <w:r w:rsidRPr="00FD516E">
        <w:rPr>
          <w:szCs w:val="22"/>
        </w:rPr>
        <w:t xml:space="preserve"> less than those obtained for similar engines operating on LFG.  To provide a better estimate of the VOC and HAP emission factors for the CAT 3520C engines at the </w:t>
      </w:r>
      <w:r w:rsidR="007B671A" w:rsidRPr="00FD516E">
        <w:rPr>
          <w:szCs w:val="22"/>
        </w:rPr>
        <w:t>LFGTE Operation</w:t>
      </w:r>
      <w:r w:rsidRPr="00FD516E">
        <w:rPr>
          <w:szCs w:val="22"/>
        </w:rPr>
        <w:t xml:space="preserve">, stack testing </w:t>
      </w:r>
      <w:r w:rsidR="00367021" w:rsidRPr="00FD516E">
        <w:rPr>
          <w:szCs w:val="22"/>
        </w:rPr>
        <w:t>was performed in 2016</w:t>
      </w:r>
      <w:r w:rsidR="00D70AA6" w:rsidRPr="00FD516E">
        <w:rPr>
          <w:szCs w:val="22"/>
        </w:rPr>
        <w:t xml:space="preserve">.  </w:t>
      </w:r>
      <w:r w:rsidR="00336A16" w:rsidRPr="00FD516E">
        <w:rPr>
          <w:szCs w:val="22"/>
        </w:rPr>
        <w:t>R</w:t>
      </w:r>
      <w:r w:rsidR="00D70AA6" w:rsidRPr="00FD516E">
        <w:rPr>
          <w:szCs w:val="22"/>
        </w:rPr>
        <w:t>esults of this stack testing</w:t>
      </w:r>
      <w:r w:rsidR="00336A16" w:rsidRPr="00FD516E">
        <w:rPr>
          <w:szCs w:val="22"/>
        </w:rPr>
        <w:t xml:space="preserve"> indicated that</w:t>
      </w:r>
      <w:r w:rsidR="00D70AA6" w:rsidRPr="00FD516E">
        <w:rPr>
          <w:szCs w:val="22"/>
        </w:rPr>
        <w:t xml:space="preserve"> the formaldehyde emission factor for the CAT 3520C engines at the LFGTE Operation</w:t>
      </w:r>
      <w:r w:rsidR="00D70AA6" w:rsidRPr="00FD516E" w:rsidDel="00D70AA6">
        <w:rPr>
          <w:szCs w:val="22"/>
        </w:rPr>
        <w:t xml:space="preserve"> </w:t>
      </w:r>
      <w:r w:rsidR="00D70AA6" w:rsidRPr="00FD516E">
        <w:rPr>
          <w:szCs w:val="22"/>
        </w:rPr>
        <w:t>is 0.3</w:t>
      </w:r>
      <w:r w:rsidR="004821C7" w:rsidRPr="00FD516E">
        <w:rPr>
          <w:szCs w:val="22"/>
        </w:rPr>
        <w:t>02</w:t>
      </w:r>
      <w:r w:rsidR="00D70AA6" w:rsidRPr="00FD516E">
        <w:rPr>
          <w:szCs w:val="22"/>
        </w:rPr>
        <w:t xml:space="preserve"> g/bhp-hr</w:t>
      </w:r>
      <w:r w:rsidRPr="00FD516E">
        <w:rPr>
          <w:szCs w:val="22"/>
        </w:rPr>
        <w:t xml:space="preserve">.  </w:t>
      </w:r>
      <w:r w:rsidR="00130248" w:rsidRPr="00FD516E">
        <w:rPr>
          <w:szCs w:val="22"/>
        </w:rPr>
        <w:t xml:space="preserve">The emissions of formaldehyde from the Facility </w:t>
      </w:r>
      <w:r w:rsidR="005B3FE6" w:rsidRPr="00FD516E">
        <w:rPr>
          <w:szCs w:val="22"/>
        </w:rPr>
        <w:t>have been</w:t>
      </w:r>
      <w:r w:rsidR="00130248" w:rsidRPr="00FD516E">
        <w:rPr>
          <w:szCs w:val="22"/>
        </w:rPr>
        <w:t xml:space="preserve"> re-estimated based on the measured formaldehyde emission factor of 0.3</w:t>
      </w:r>
      <w:r w:rsidR="005B3FE6" w:rsidRPr="00FD516E">
        <w:rPr>
          <w:szCs w:val="22"/>
        </w:rPr>
        <w:t>0</w:t>
      </w:r>
      <w:r w:rsidR="00013AF2" w:rsidRPr="00FD516E">
        <w:rPr>
          <w:szCs w:val="22"/>
        </w:rPr>
        <w:t>2</w:t>
      </w:r>
      <w:r w:rsidR="00130248" w:rsidRPr="00FD516E">
        <w:rPr>
          <w:szCs w:val="22"/>
        </w:rPr>
        <w:t xml:space="preserve"> g/bhp-hr</w:t>
      </w:r>
      <w:r w:rsidR="00851D9B" w:rsidRPr="00FD516E">
        <w:rPr>
          <w:szCs w:val="22"/>
        </w:rPr>
        <w:t>.  Aceta</w:t>
      </w:r>
      <w:r w:rsidR="008C0428" w:rsidRPr="00FD516E">
        <w:rPr>
          <w:szCs w:val="22"/>
        </w:rPr>
        <w:t xml:space="preserve">ldehyde emissions </w:t>
      </w:r>
      <w:r w:rsidR="00851D9B" w:rsidRPr="00FD516E">
        <w:rPr>
          <w:szCs w:val="22"/>
        </w:rPr>
        <w:t xml:space="preserve">from the CAT 3520C engines </w:t>
      </w:r>
      <w:r w:rsidR="008C0428" w:rsidRPr="00FD516E">
        <w:rPr>
          <w:szCs w:val="22"/>
        </w:rPr>
        <w:t>have also been included</w:t>
      </w:r>
      <w:r w:rsidR="00851D9B" w:rsidRPr="00FD516E">
        <w:rPr>
          <w:szCs w:val="22"/>
        </w:rPr>
        <w:t>,</w:t>
      </w:r>
      <w:r w:rsidR="008C0428" w:rsidRPr="00FD516E">
        <w:rPr>
          <w:szCs w:val="22"/>
        </w:rPr>
        <w:t xml:space="preserve"> based on the measured acetaldehyde emission factor of 0.005 g/bhp-hr</w:t>
      </w:r>
      <w:r w:rsidR="00130248" w:rsidRPr="00FD516E">
        <w:rPr>
          <w:szCs w:val="22"/>
        </w:rPr>
        <w:t xml:space="preserve">.  </w:t>
      </w:r>
    </w:p>
    <w:p w14:paraId="3008F217" w14:textId="77777777" w:rsidR="00D70AA6" w:rsidRPr="00FD516E" w:rsidRDefault="00D70AA6" w:rsidP="00D70AA6">
      <w:pPr>
        <w:ind w:left="0" w:firstLine="0"/>
        <w:rPr>
          <w:szCs w:val="22"/>
        </w:rPr>
      </w:pPr>
    </w:p>
    <w:p w14:paraId="249EB7BE" w14:textId="567FE7FD" w:rsidR="00BA34CF" w:rsidRPr="00FD516E" w:rsidRDefault="00D70AA6" w:rsidP="00B74D22">
      <w:pPr>
        <w:ind w:left="720" w:firstLine="0"/>
        <w:rPr>
          <w:szCs w:val="22"/>
        </w:rPr>
      </w:pPr>
      <w:r w:rsidRPr="00FD516E">
        <w:rPr>
          <w:szCs w:val="22"/>
        </w:rPr>
        <w:t>Based on both the AP-42 emission factors and site-specific stack testing, t</w:t>
      </w:r>
      <w:r w:rsidR="00F65A4A" w:rsidRPr="00FD516E">
        <w:rPr>
          <w:szCs w:val="22"/>
        </w:rPr>
        <w:t xml:space="preserve">he estimated emissions of a single HAP (formaldehyde) are greater than 10 tons per year, classifying the Facility as a major HAP source.  </w:t>
      </w:r>
      <w:r w:rsidRPr="00FD516E">
        <w:rPr>
          <w:szCs w:val="22"/>
        </w:rPr>
        <w:t xml:space="preserve">In addition, based on the stack testing for formaldehyde, the </w:t>
      </w:r>
      <w:r w:rsidR="00F65A4A" w:rsidRPr="00FD516E">
        <w:rPr>
          <w:szCs w:val="22"/>
        </w:rPr>
        <w:t xml:space="preserve">emissions </w:t>
      </w:r>
      <w:r w:rsidRPr="00FD516E">
        <w:rPr>
          <w:szCs w:val="22"/>
        </w:rPr>
        <w:t xml:space="preserve">of </w:t>
      </w:r>
      <w:r w:rsidR="00F65A4A" w:rsidRPr="00FD516E">
        <w:rPr>
          <w:szCs w:val="22"/>
        </w:rPr>
        <w:t xml:space="preserve">total HAPs </w:t>
      </w:r>
      <w:r w:rsidRPr="00FD516E">
        <w:rPr>
          <w:szCs w:val="22"/>
        </w:rPr>
        <w:t>from the engines will be greater than 25</w:t>
      </w:r>
      <w:r w:rsidR="00F65A4A" w:rsidRPr="00FD516E">
        <w:rPr>
          <w:szCs w:val="22"/>
        </w:rPr>
        <w:t xml:space="preserve"> tons per yea</w:t>
      </w:r>
      <w:r w:rsidRPr="00FD516E">
        <w:rPr>
          <w:szCs w:val="22"/>
        </w:rPr>
        <w:t>r, classifying the Facility a</w:t>
      </w:r>
      <w:r w:rsidR="00F65A4A" w:rsidRPr="00FD516E">
        <w:rPr>
          <w:szCs w:val="22"/>
        </w:rPr>
        <w:t xml:space="preserve"> major HAP source.  </w:t>
      </w:r>
    </w:p>
    <w:p w14:paraId="03F3B69F" w14:textId="77777777" w:rsidR="006C7E30" w:rsidRPr="00FD516E" w:rsidRDefault="006C7E30" w:rsidP="008060F7">
      <w:pPr>
        <w:ind w:left="0" w:firstLine="0"/>
        <w:rPr>
          <w:szCs w:val="22"/>
        </w:rPr>
      </w:pPr>
    </w:p>
    <w:p w14:paraId="4ADC77B3" w14:textId="7F238053" w:rsidR="00F61351" w:rsidRPr="00FD516E" w:rsidRDefault="00F61351" w:rsidP="00B74D22">
      <w:pPr>
        <w:ind w:left="720" w:firstLine="0"/>
        <w:rPr>
          <w:rFonts w:cs="Arial"/>
          <w:szCs w:val="22"/>
        </w:rPr>
      </w:pPr>
      <w:r w:rsidRPr="00FD516E">
        <w:rPr>
          <w:rFonts w:cs="Arial"/>
          <w:szCs w:val="22"/>
        </w:rPr>
        <w:lastRenderedPageBreak/>
        <w:t xml:space="preserve">Estimated emissions </w:t>
      </w:r>
      <w:r w:rsidR="00853258" w:rsidRPr="00FD516E">
        <w:rPr>
          <w:rFonts w:cs="Arial"/>
          <w:szCs w:val="22"/>
        </w:rPr>
        <w:t xml:space="preserve">from </w:t>
      </w:r>
      <w:r w:rsidR="00B57941" w:rsidRPr="00FD516E">
        <w:rPr>
          <w:rFonts w:cs="Arial"/>
          <w:szCs w:val="22"/>
        </w:rPr>
        <w:t>the CAT 3520C engines</w:t>
      </w:r>
      <w:r w:rsidRPr="00FD516E">
        <w:rPr>
          <w:rFonts w:cs="Arial"/>
          <w:szCs w:val="22"/>
        </w:rPr>
        <w:t xml:space="preserve"> and emission factors used for these estimates are </w:t>
      </w:r>
      <w:r w:rsidR="00C0664B" w:rsidRPr="00FD516E">
        <w:rPr>
          <w:rFonts w:cs="Arial"/>
          <w:szCs w:val="22"/>
        </w:rPr>
        <w:t>summarized</w:t>
      </w:r>
      <w:r w:rsidRPr="00FD516E">
        <w:rPr>
          <w:rFonts w:cs="Arial"/>
          <w:szCs w:val="22"/>
        </w:rPr>
        <w:t xml:space="preserve"> in Table 3.</w:t>
      </w:r>
      <w:r w:rsidR="00C0664B" w:rsidRPr="00FD516E">
        <w:rPr>
          <w:rFonts w:cs="Arial"/>
          <w:szCs w:val="22"/>
        </w:rPr>
        <w:t>4</w:t>
      </w:r>
      <w:r w:rsidRPr="00FD516E">
        <w:rPr>
          <w:rFonts w:cs="Arial"/>
          <w:szCs w:val="22"/>
        </w:rPr>
        <w:t xml:space="preserve">.  </w:t>
      </w:r>
    </w:p>
    <w:p w14:paraId="089C9C1E" w14:textId="77777777" w:rsidR="00C020B4" w:rsidRPr="00FD516E" w:rsidRDefault="00C020B4" w:rsidP="00C020B4">
      <w:pPr>
        <w:ind w:left="0" w:firstLine="0"/>
        <w:rPr>
          <w:szCs w:val="22"/>
        </w:rPr>
      </w:pPr>
    </w:p>
    <w:tbl>
      <w:tblPr>
        <w:tblW w:w="8640"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34"/>
        <w:gridCol w:w="1171"/>
        <w:gridCol w:w="1171"/>
        <w:gridCol w:w="3118"/>
        <w:gridCol w:w="1846"/>
      </w:tblGrid>
      <w:tr w:rsidR="00A76C84" w:rsidRPr="009F5E32" w14:paraId="45E5A3A8" w14:textId="77777777" w:rsidTr="00A955C5">
        <w:trPr>
          <w:cantSplit/>
          <w:trHeight w:val="738"/>
          <w:tblHeader/>
        </w:trPr>
        <w:tc>
          <w:tcPr>
            <w:tcW w:w="8640" w:type="dxa"/>
            <w:gridSpan w:val="5"/>
            <w:tcBorders>
              <w:top w:val="double" w:sz="4" w:space="0" w:color="auto"/>
            </w:tcBorders>
            <w:shd w:val="clear" w:color="auto" w:fill="F2F2F2" w:themeFill="background1" w:themeFillShade="F2"/>
            <w:tcMar>
              <w:top w:w="29" w:type="dxa"/>
              <w:bottom w:w="29" w:type="dxa"/>
            </w:tcMar>
            <w:vAlign w:val="center"/>
          </w:tcPr>
          <w:p w14:paraId="4236A7A0" w14:textId="71509359" w:rsidR="00F562BA" w:rsidRPr="00FD516E" w:rsidRDefault="00A76C84" w:rsidP="00F562BA">
            <w:pPr>
              <w:jc w:val="center"/>
              <w:rPr>
                <w:rFonts w:cs="Arial"/>
                <w:b/>
                <w:bCs/>
                <w:color w:val="000000"/>
                <w:szCs w:val="22"/>
              </w:rPr>
            </w:pPr>
            <w:r w:rsidRPr="00FD516E">
              <w:rPr>
                <w:rFonts w:cs="Arial"/>
                <w:b/>
                <w:bCs/>
                <w:color w:val="000000"/>
                <w:szCs w:val="22"/>
              </w:rPr>
              <w:t>Table 3-</w:t>
            </w:r>
            <w:r w:rsidR="00C0664B" w:rsidRPr="00FD516E">
              <w:rPr>
                <w:rFonts w:cs="Arial"/>
                <w:b/>
                <w:bCs/>
                <w:color w:val="000000"/>
                <w:szCs w:val="22"/>
              </w:rPr>
              <w:t>4</w:t>
            </w:r>
            <w:r w:rsidRPr="00FD516E">
              <w:rPr>
                <w:rFonts w:cs="Arial"/>
                <w:b/>
                <w:bCs/>
                <w:color w:val="000000"/>
                <w:szCs w:val="22"/>
              </w:rPr>
              <w:t xml:space="preserve"> </w:t>
            </w:r>
            <w:r w:rsidR="00F562BA" w:rsidRPr="00FD516E">
              <w:rPr>
                <w:rFonts w:cs="Arial"/>
                <w:b/>
                <w:bCs/>
                <w:color w:val="000000"/>
                <w:szCs w:val="22"/>
              </w:rPr>
              <w:t>–</w:t>
            </w:r>
            <w:r w:rsidRPr="00FD516E">
              <w:rPr>
                <w:rFonts w:cs="Arial"/>
                <w:b/>
                <w:bCs/>
                <w:color w:val="000000"/>
                <w:szCs w:val="22"/>
              </w:rPr>
              <w:t xml:space="preserve"> </w:t>
            </w:r>
            <w:r w:rsidR="00F562BA" w:rsidRPr="00FD516E">
              <w:rPr>
                <w:rFonts w:cs="Arial"/>
                <w:b/>
                <w:bCs/>
                <w:color w:val="000000"/>
                <w:szCs w:val="22"/>
              </w:rPr>
              <w:t>Estimated Emissions from Five (5)</w:t>
            </w:r>
            <w:r w:rsidR="00373B10" w:rsidRPr="00FD516E">
              <w:rPr>
                <w:rFonts w:cs="Arial"/>
                <w:b/>
                <w:bCs/>
                <w:color w:val="000000"/>
                <w:szCs w:val="22"/>
              </w:rPr>
              <w:t xml:space="preserve"> CAT</w:t>
            </w:r>
            <w:r w:rsidR="00F562BA" w:rsidRPr="00FD516E">
              <w:rPr>
                <w:rFonts w:cs="Arial"/>
                <w:b/>
                <w:bCs/>
                <w:color w:val="000000"/>
                <w:szCs w:val="22"/>
              </w:rPr>
              <w:t xml:space="preserve"> 3520C Engines</w:t>
            </w:r>
          </w:p>
          <w:p w14:paraId="7B1DEBA2" w14:textId="0C377E56" w:rsidR="00A76C84" w:rsidRPr="00FD516E" w:rsidRDefault="00F562BA" w:rsidP="00F562BA">
            <w:pPr>
              <w:jc w:val="center"/>
              <w:rPr>
                <w:rFonts w:cs="Arial"/>
                <w:b/>
                <w:bCs/>
                <w:sz w:val="20"/>
              </w:rPr>
            </w:pPr>
            <w:r w:rsidRPr="00FD516E">
              <w:rPr>
                <w:rFonts w:cs="Arial"/>
                <w:b/>
                <w:bCs/>
                <w:color w:val="000000"/>
                <w:szCs w:val="22"/>
              </w:rPr>
              <w:t>Combustion of 2,462.5 scfm of LFG</w:t>
            </w:r>
            <w:r w:rsidR="00A76C84" w:rsidRPr="00FD516E">
              <w:rPr>
                <w:rFonts w:cs="Arial"/>
                <w:b/>
                <w:bCs/>
                <w:color w:val="000000"/>
                <w:szCs w:val="22"/>
              </w:rPr>
              <w:t>-</w:t>
            </w:r>
          </w:p>
        </w:tc>
      </w:tr>
      <w:tr w:rsidR="00A76C84" w:rsidRPr="00FD516E" w14:paraId="1E457255" w14:textId="77777777" w:rsidTr="00A955C5">
        <w:tblPrEx>
          <w:tblCellMar>
            <w:left w:w="120" w:type="dxa"/>
            <w:right w:w="120" w:type="dxa"/>
          </w:tblCellMar>
        </w:tblPrEx>
        <w:trPr>
          <w:cantSplit/>
          <w:trHeight w:val="420"/>
        </w:trPr>
        <w:tc>
          <w:tcPr>
            <w:tcW w:w="1334" w:type="dxa"/>
            <w:vMerge w:val="restart"/>
            <w:tcBorders>
              <w:top w:val="single" w:sz="4" w:space="0" w:color="auto"/>
              <w:bottom w:val="single" w:sz="6" w:space="0" w:color="auto"/>
              <w:right w:val="single" w:sz="6" w:space="0" w:color="auto"/>
            </w:tcBorders>
            <w:shd w:val="clear" w:color="auto" w:fill="F2F2F2" w:themeFill="background1" w:themeFillShade="F2"/>
            <w:vAlign w:val="center"/>
          </w:tcPr>
          <w:p w14:paraId="15C43CF9" w14:textId="77777777" w:rsidR="00A76C84" w:rsidRPr="00FD516E" w:rsidRDefault="00A76C84" w:rsidP="008147F7">
            <w:pPr>
              <w:ind w:left="0" w:firstLine="0"/>
              <w:jc w:val="center"/>
              <w:rPr>
                <w:rFonts w:cs="Arial"/>
                <w:sz w:val="18"/>
                <w:szCs w:val="18"/>
              </w:rPr>
            </w:pPr>
            <w:r w:rsidRPr="00FD516E">
              <w:rPr>
                <w:rFonts w:cs="Arial"/>
                <w:sz w:val="18"/>
                <w:szCs w:val="18"/>
              </w:rPr>
              <w:t>Pollutant</w:t>
            </w:r>
          </w:p>
        </w:tc>
        <w:tc>
          <w:tcPr>
            <w:tcW w:w="5460"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2463E73D" w14:textId="77777777" w:rsidR="00A76C84" w:rsidRPr="00FD516E" w:rsidRDefault="00A76C84" w:rsidP="008147F7">
            <w:pPr>
              <w:ind w:left="0" w:firstLine="0"/>
              <w:jc w:val="center"/>
              <w:rPr>
                <w:rFonts w:cs="Arial"/>
                <w:sz w:val="18"/>
                <w:szCs w:val="18"/>
              </w:rPr>
            </w:pPr>
            <w:r w:rsidRPr="00FD516E">
              <w:rPr>
                <w:rFonts w:cs="Arial"/>
                <w:sz w:val="18"/>
                <w:szCs w:val="18"/>
              </w:rPr>
              <w:t>Emission Factor</w:t>
            </w:r>
          </w:p>
        </w:tc>
        <w:tc>
          <w:tcPr>
            <w:tcW w:w="1846" w:type="dxa"/>
            <w:vMerge w:val="restart"/>
            <w:tcBorders>
              <w:top w:val="single" w:sz="4" w:space="0" w:color="auto"/>
              <w:left w:val="single" w:sz="6" w:space="0" w:color="auto"/>
            </w:tcBorders>
            <w:shd w:val="clear" w:color="auto" w:fill="F2F2F2" w:themeFill="background1" w:themeFillShade="F2"/>
            <w:vAlign w:val="center"/>
          </w:tcPr>
          <w:p w14:paraId="27AACD47" w14:textId="77777777" w:rsidR="00A76C84" w:rsidRPr="00FD516E" w:rsidRDefault="00A76C84" w:rsidP="008147F7">
            <w:pPr>
              <w:ind w:left="0" w:firstLine="0"/>
              <w:jc w:val="center"/>
              <w:rPr>
                <w:rFonts w:cs="Arial"/>
                <w:sz w:val="18"/>
                <w:szCs w:val="18"/>
              </w:rPr>
            </w:pPr>
            <w:r w:rsidRPr="00FD516E">
              <w:rPr>
                <w:rFonts w:cs="Arial"/>
                <w:sz w:val="18"/>
                <w:szCs w:val="18"/>
              </w:rPr>
              <w:t>Allowable Emissions</w:t>
            </w:r>
          </w:p>
          <w:p w14:paraId="5E91E685" w14:textId="77777777" w:rsidR="00A76C84" w:rsidRPr="00FD516E" w:rsidRDefault="00A76C84" w:rsidP="008147F7">
            <w:pPr>
              <w:ind w:left="0" w:firstLine="0"/>
              <w:jc w:val="center"/>
              <w:rPr>
                <w:rFonts w:cs="Arial"/>
                <w:sz w:val="18"/>
                <w:szCs w:val="18"/>
              </w:rPr>
            </w:pPr>
            <w:r w:rsidRPr="00FD516E">
              <w:rPr>
                <w:rFonts w:cs="Arial"/>
                <w:sz w:val="18"/>
                <w:szCs w:val="18"/>
              </w:rPr>
              <w:t>tons per year</w:t>
            </w:r>
          </w:p>
        </w:tc>
      </w:tr>
      <w:tr w:rsidR="00A76C84" w:rsidRPr="009F5E32" w14:paraId="5FDB2C3A" w14:textId="77777777" w:rsidTr="00A955C5">
        <w:tblPrEx>
          <w:tblCellMar>
            <w:left w:w="120" w:type="dxa"/>
            <w:right w:w="120" w:type="dxa"/>
          </w:tblCellMar>
        </w:tblPrEx>
        <w:trPr>
          <w:cantSplit/>
          <w:trHeight w:val="408"/>
        </w:trPr>
        <w:tc>
          <w:tcPr>
            <w:tcW w:w="1334" w:type="dxa"/>
            <w:vMerge/>
            <w:tcBorders>
              <w:top w:val="single" w:sz="6" w:space="0" w:color="auto"/>
              <w:bottom w:val="double" w:sz="4" w:space="0" w:color="auto"/>
              <w:right w:val="single" w:sz="6" w:space="0" w:color="auto"/>
            </w:tcBorders>
            <w:shd w:val="clear" w:color="auto" w:fill="F2F2F2" w:themeFill="background1" w:themeFillShade="F2"/>
          </w:tcPr>
          <w:p w14:paraId="693FDD93" w14:textId="77777777" w:rsidR="00A76C84" w:rsidRPr="000D50B1" w:rsidRDefault="00A76C84" w:rsidP="004611FC">
            <w:pPr>
              <w:ind w:left="0" w:firstLine="0"/>
              <w:rPr>
                <w:rFonts w:cs="Arial"/>
                <w:sz w:val="18"/>
                <w:szCs w:val="18"/>
              </w:rPr>
            </w:pPr>
          </w:p>
        </w:tc>
        <w:tc>
          <w:tcPr>
            <w:tcW w:w="1171"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5224412B" w14:textId="77777777" w:rsidR="00A76C84" w:rsidRPr="000D50B1" w:rsidRDefault="00A76C84" w:rsidP="004611FC">
            <w:pPr>
              <w:ind w:left="0" w:firstLine="0"/>
              <w:jc w:val="center"/>
              <w:rPr>
                <w:rFonts w:cs="Arial"/>
                <w:sz w:val="18"/>
                <w:szCs w:val="18"/>
              </w:rPr>
            </w:pPr>
            <w:r w:rsidRPr="000D50B1">
              <w:rPr>
                <w:rFonts w:cs="Arial"/>
                <w:sz w:val="18"/>
                <w:szCs w:val="18"/>
              </w:rPr>
              <w:t>Factor</w:t>
            </w:r>
          </w:p>
        </w:tc>
        <w:tc>
          <w:tcPr>
            <w:tcW w:w="1171"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53E4F69F" w14:textId="72FB746E" w:rsidR="00A76C84" w:rsidRPr="000D50B1" w:rsidRDefault="00A76C84" w:rsidP="00A403AF">
            <w:pPr>
              <w:ind w:left="0" w:firstLine="0"/>
              <w:jc w:val="center"/>
              <w:rPr>
                <w:rFonts w:cs="Arial"/>
                <w:sz w:val="18"/>
                <w:szCs w:val="18"/>
                <w:vertAlign w:val="superscript"/>
              </w:rPr>
            </w:pPr>
            <w:r w:rsidRPr="000D50B1">
              <w:rPr>
                <w:rFonts w:cs="Arial"/>
                <w:sz w:val="18"/>
                <w:szCs w:val="18"/>
              </w:rPr>
              <w:t>Units</w:t>
            </w:r>
          </w:p>
        </w:tc>
        <w:tc>
          <w:tcPr>
            <w:tcW w:w="3118"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1D61019" w14:textId="77777777" w:rsidR="00A76C84" w:rsidRPr="000D50B1" w:rsidRDefault="00A76C84" w:rsidP="004611FC">
            <w:pPr>
              <w:ind w:left="0" w:firstLine="0"/>
              <w:jc w:val="center"/>
              <w:rPr>
                <w:rFonts w:cs="Arial"/>
                <w:sz w:val="18"/>
                <w:szCs w:val="18"/>
              </w:rPr>
            </w:pPr>
            <w:r w:rsidRPr="000D50B1">
              <w:rPr>
                <w:rFonts w:cs="Arial"/>
                <w:sz w:val="18"/>
                <w:szCs w:val="18"/>
              </w:rPr>
              <w:t>Source</w:t>
            </w:r>
          </w:p>
        </w:tc>
        <w:tc>
          <w:tcPr>
            <w:tcW w:w="1846" w:type="dxa"/>
            <w:vMerge/>
            <w:tcBorders>
              <w:left w:val="single" w:sz="6" w:space="0" w:color="auto"/>
              <w:bottom w:val="double" w:sz="4" w:space="0" w:color="auto"/>
            </w:tcBorders>
            <w:vAlign w:val="center"/>
          </w:tcPr>
          <w:p w14:paraId="5C345CDB" w14:textId="77777777" w:rsidR="00A76C84" w:rsidRPr="000D50B1" w:rsidRDefault="00A76C84" w:rsidP="004611FC">
            <w:pPr>
              <w:ind w:left="0" w:firstLine="0"/>
              <w:jc w:val="center"/>
              <w:rPr>
                <w:rFonts w:cs="Arial"/>
                <w:sz w:val="18"/>
                <w:szCs w:val="18"/>
              </w:rPr>
            </w:pPr>
          </w:p>
        </w:tc>
      </w:tr>
      <w:tr w:rsidR="00675EDA" w:rsidRPr="00FD516E" w14:paraId="270E2C6D" w14:textId="77777777" w:rsidTr="00A955C5">
        <w:tblPrEx>
          <w:tblCellMar>
            <w:left w:w="120" w:type="dxa"/>
            <w:right w:w="120" w:type="dxa"/>
          </w:tblCellMar>
        </w:tblPrEx>
        <w:trPr>
          <w:cantSplit/>
          <w:trHeight w:val="480"/>
        </w:trPr>
        <w:tc>
          <w:tcPr>
            <w:tcW w:w="1334" w:type="dxa"/>
            <w:tcBorders>
              <w:top w:val="double" w:sz="4" w:space="0" w:color="auto"/>
              <w:bottom w:val="single" w:sz="6" w:space="0" w:color="auto"/>
              <w:right w:val="single" w:sz="6" w:space="0" w:color="auto"/>
            </w:tcBorders>
            <w:vAlign w:val="center"/>
          </w:tcPr>
          <w:p w14:paraId="763C91C5" w14:textId="77777777" w:rsidR="00675EDA" w:rsidRPr="00FD516E" w:rsidRDefault="00675EDA" w:rsidP="008147F7">
            <w:pPr>
              <w:ind w:left="0" w:firstLine="0"/>
              <w:jc w:val="center"/>
              <w:rPr>
                <w:rFonts w:cs="Arial"/>
                <w:sz w:val="18"/>
                <w:szCs w:val="18"/>
              </w:rPr>
            </w:pPr>
            <w:r w:rsidRPr="00FD516E">
              <w:rPr>
                <w:rFonts w:cs="Arial"/>
                <w:sz w:val="18"/>
                <w:szCs w:val="18"/>
              </w:rPr>
              <w:t>SO</w:t>
            </w:r>
            <w:r w:rsidRPr="00FD516E">
              <w:rPr>
                <w:rFonts w:cs="Arial"/>
                <w:sz w:val="18"/>
                <w:szCs w:val="18"/>
                <w:vertAlign w:val="subscript"/>
              </w:rPr>
              <w:t>2</w:t>
            </w:r>
          </w:p>
        </w:tc>
        <w:tc>
          <w:tcPr>
            <w:tcW w:w="1171" w:type="dxa"/>
            <w:tcBorders>
              <w:top w:val="double" w:sz="4" w:space="0" w:color="auto"/>
              <w:left w:val="single" w:sz="6" w:space="0" w:color="auto"/>
              <w:bottom w:val="single" w:sz="6" w:space="0" w:color="auto"/>
              <w:right w:val="single" w:sz="6" w:space="0" w:color="auto"/>
            </w:tcBorders>
            <w:vAlign w:val="center"/>
          </w:tcPr>
          <w:p w14:paraId="0CB13791" w14:textId="6368AC41" w:rsidR="00675EDA" w:rsidRPr="00FD516E" w:rsidRDefault="00675EDA" w:rsidP="008147F7">
            <w:pPr>
              <w:ind w:left="0" w:firstLine="0"/>
              <w:jc w:val="center"/>
              <w:rPr>
                <w:rFonts w:cs="Arial"/>
                <w:sz w:val="18"/>
                <w:szCs w:val="18"/>
              </w:rPr>
            </w:pPr>
            <w:r w:rsidRPr="00FD516E">
              <w:rPr>
                <w:rFonts w:cs="Arial"/>
                <w:sz w:val="18"/>
                <w:szCs w:val="18"/>
              </w:rPr>
              <w:t>0.42</w:t>
            </w:r>
          </w:p>
        </w:tc>
        <w:tc>
          <w:tcPr>
            <w:tcW w:w="1171" w:type="dxa"/>
            <w:vMerge w:val="restart"/>
            <w:tcBorders>
              <w:top w:val="double" w:sz="4" w:space="0" w:color="auto"/>
              <w:left w:val="single" w:sz="6" w:space="0" w:color="auto"/>
              <w:right w:val="single" w:sz="6" w:space="0" w:color="auto"/>
            </w:tcBorders>
            <w:vAlign w:val="center"/>
          </w:tcPr>
          <w:p w14:paraId="05AD790A" w14:textId="0D3ABC7D" w:rsidR="00675EDA" w:rsidRPr="00FD516E" w:rsidRDefault="00675EDA" w:rsidP="007E1BC9">
            <w:pPr>
              <w:ind w:left="0" w:firstLine="0"/>
              <w:jc w:val="center"/>
              <w:rPr>
                <w:rFonts w:cs="Arial"/>
                <w:sz w:val="18"/>
                <w:szCs w:val="18"/>
              </w:rPr>
            </w:pPr>
            <w:r w:rsidRPr="00FD516E">
              <w:rPr>
                <w:rFonts w:cs="Arial"/>
                <w:sz w:val="18"/>
                <w:szCs w:val="18"/>
              </w:rPr>
              <w:t>g/bhp-hr</w:t>
            </w:r>
            <w:r w:rsidR="00A403AF" w:rsidRPr="00FD516E">
              <w:rPr>
                <w:rFonts w:cs="Arial"/>
                <w:sz w:val="18"/>
                <w:szCs w:val="18"/>
              </w:rPr>
              <w:t xml:space="preserve"> </w:t>
            </w:r>
            <w:r w:rsidR="00A403AF" w:rsidRPr="00FD516E">
              <w:rPr>
                <w:rFonts w:cs="Arial"/>
                <w:sz w:val="20"/>
                <w:vertAlign w:val="superscript"/>
              </w:rPr>
              <w:t>1</w:t>
            </w:r>
          </w:p>
        </w:tc>
        <w:tc>
          <w:tcPr>
            <w:tcW w:w="3118" w:type="dxa"/>
            <w:tcBorders>
              <w:top w:val="double" w:sz="4" w:space="0" w:color="auto"/>
              <w:left w:val="single" w:sz="6" w:space="0" w:color="auto"/>
              <w:bottom w:val="single" w:sz="4" w:space="0" w:color="auto"/>
              <w:right w:val="single" w:sz="6" w:space="0" w:color="auto"/>
            </w:tcBorders>
            <w:vAlign w:val="center"/>
          </w:tcPr>
          <w:p w14:paraId="6B09336C" w14:textId="06E8696D" w:rsidR="00675EDA" w:rsidRPr="00FD516E" w:rsidRDefault="00675EDA" w:rsidP="008147F7">
            <w:pPr>
              <w:ind w:left="0" w:firstLine="0"/>
              <w:jc w:val="center"/>
              <w:rPr>
                <w:rFonts w:cs="Arial"/>
                <w:sz w:val="18"/>
                <w:szCs w:val="18"/>
              </w:rPr>
            </w:pPr>
            <w:r w:rsidRPr="00FD516E">
              <w:rPr>
                <w:rFonts w:cs="Arial"/>
                <w:sz w:val="18"/>
                <w:szCs w:val="18"/>
              </w:rPr>
              <w:t>Site Specific Data - Application for #AOP-14-034</w:t>
            </w:r>
          </w:p>
        </w:tc>
        <w:tc>
          <w:tcPr>
            <w:tcW w:w="1846" w:type="dxa"/>
            <w:tcBorders>
              <w:top w:val="double" w:sz="4" w:space="0" w:color="auto"/>
              <w:left w:val="single" w:sz="6" w:space="0" w:color="auto"/>
              <w:bottom w:val="single" w:sz="6" w:space="0" w:color="auto"/>
            </w:tcBorders>
            <w:vAlign w:val="center"/>
          </w:tcPr>
          <w:p w14:paraId="5B069850" w14:textId="132FDEAF" w:rsidR="00675EDA" w:rsidRPr="00FD516E" w:rsidRDefault="00D42A8D" w:rsidP="00EB080C">
            <w:pPr>
              <w:ind w:left="0" w:firstLine="0"/>
              <w:jc w:val="center"/>
              <w:rPr>
                <w:rFonts w:cs="Arial"/>
                <w:sz w:val="18"/>
                <w:szCs w:val="18"/>
              </w:rPr>
            </w:pPr>
            <w:r w:rsidRPr="00FD516E">
              <w:rPr>
                <w:rFonts w:cs="Arial"/>
                <w:sz w:val="18"/>
                <w:szCs w:val="18"/>
              </w:rPr>
              <w:t>45.14</w:t>
            </w:r>
          </w:p>
        </w:tc>
      </w:tr>
      <w:tr w:rsidR="00675EDA" w:rsidRPr="00FD516E" w14:paraId="2840E9A9" w14:textId="77777777" w:rsidTr="00B74D22">
        <w:tblPrEx>
          <w:tblCellMar>
            <w:left w:w="120" w:type="dxa"/>
            <w:right w:w="120" w:type="dxa"/>
          </w:tblCellMar>
        </w:tblPrEx>
        <w:trPr>
          <w:cantSplit/>
          <w:trHeight w:val="525"/>
        </w:trPr>
        <w:tc>
          <w:tcPr>
            <w:tcW w:w="1334" w:type="dxa"/>
            <w:tcBorders>
              <w:top w:val="single" w:sz="6" w:space="0" w:color="auto"/>
              <w:bottom w:val="single" w:sz="6" w:space="0" w:color="auto"/>
              <w:right w:val="single" w:sz="6" w:space="0" w:color="auto"/>
            </w:tcBorders>
            <w:vAlign w:val="center"/>
          </w:tcPr>
          <w:p w14:paraId="65CB12A2" w14:textId="3327D364" w:rsidR="00675EDA" w:rsidRPr="00FD516E" w:rsidRDefault="00675EDA" w:rsidP="008147F7">
            <w:pPr>
              <w:ind w:left="0" w:firstLine="0"/>
              <w:jc w:val="center"/>
              <w:rPr>
                <w:rFonts w:cs="Arial"/>
                <w:sz w:val="18"/>
                <w:szCs w:val="18"/>
              </w:rPr>
            </w:pPr>
            <w:r w:rsidRPr="00FD516E">
              <w:rPr>
                <w:rFonts w:cs="Arial"/>
                <w:sz w:val="18"/>
                <w:szCs w:val="18"/>
              </w:rPr>
              <w:t>NO</w:t>
            </w:r>
            <w:r w:rsidRPr="00FD516E">
              <w:rPr>
                <w:rFonts w:cs="Arial"/>
                <w:sz w:val="18"/>
                <w:szCs w:val="18"/>
                <w:vertAlign w:val="subscript"/>
              </w:rPr>
              <w:t>x</w:t>
            </w:r>
          </w:p>
        </w:tc>
        <w:tc>
          <w:tcPr>
            <w:tcW w:w="1171" w:type="dxa"/>
            <w:tcBorders>
              <w:top w:val="single" w:sz="6" w:space="0" w:color="auto"/>
              <w:left w:val="single" w:sz="6" w:space="0" w:color="auto"/>
              <w:bottom w:val="single" w:sz="6" w:space="0" w:color="auto"/>
              <w:right w:val="single" w:sz="6" w:space="0" w:color="auto"/>
            </w:tcBorders>
            <w:vAlign w:val="center"/>
          </w:tcPr>
          <w:p w14:paraId="3A96C42B" w14:textId="7D4AD091" w:rsidR="00675EDA" w:rsidRPr="00FD516E" w:rsidRDefault="00675EDA" w:rsidP="008147F7">
            <w:pPr>
              <w:ind w:left="0" w:firstLine="0"/>
              <w:jc w:val="center"/>
              <w:rPr>
                <w:rFonts w:cs="Arial"/>
                <w:sz w:val="18"/>
                <w:szCs w:val="18"/>
              </w:rPr>
            </w:pPr>
            <w:r w:rsidRPr="00FD516E">
              <w:rPr>
                <w:sz w:val="18"/>
                <w:szCs w:val="18"/>
              </w:rPr>
              <w:t>0.5</w:t>
            </w:r>
          </w:p>
        </w:tc>
        <w:tc>
          <w:tcPr>
            <w:tcW w:w="1171" w:type="dxa"/>
            <w:vMerge/>
            <w:tcBorders>
              <w:left w:val="single" w:sz="6" w:space="0" w:color="auto"/>
              <w:right w:val="single" w:sz="6" w:space="0" w:color="auto"/>
            </w:tcBorders>
            <w:vAlign w:val="center"/>
          </w:tcPr>
          <w:p w14:paraId="44F06E00" w14:textId="4BBA3EAD" w:rsidR="00675EDA" w:rsidRPr="00FD516E" w:rsidRDefault="00675EDA" w:rsidP="004611FC">
            <w:pPr>
              <w:ind w:left="0" w:firstLine="0"/>
              <w:jc w:val="center"/>
              <w:rPr>
                <w:rFonts w:cs="Arial"/>
                <w:sz w:val="18"/>
                <w:szCs w:val="18"/>
              </w:rPr>
            </w:pPr>
          </w:p>
        </w:tc>
        <w:tc>
          <w:tcPr>
            <w:tcW w:w="3118" w:type="dxa"/>
            <w:tcBorders>
              <w:top w:val="single" w:sz="4" w:space="0" w:color="auto"/>
              <w:left w:val="single" w:sz="6" w:space="0" w:color="auto"/>
              <w:bottom w:val="single" w:sz="6" w:space="0" w:color="auto"/>
              <w:right w:val="single" w:sz="6" w:space="0" w:color="auto"/>
            </w:tcBorders>
            <w:vAlign w:val="center"/>
          </w:tcPr>
          <w:p w14:paraId="56B8E1AC" w14:textId="1F87FF91" w:rsidR="00675EDA" w:rsidRPr="00FD516E" w:rsidRDefault="00675EDA" w:rsidP="008147F7">
            <w:pPr>
              <w:ind w:left="0" w:firstLine="0"/>
              <w:jc w:val="center"/>
              <w:rPr>
                <w:rFonts w:cs="Arial"/>
                <w:sz w:val="18"/>
                <w:szCs w:val="18"/>
              </w:rPr>
            </w:pPr>
            <w:r w:rsidRPr="00FD516E">
              <w:rPr>
                <w:rFonts w:cs="Arial"/>
                <w:sz w:val="18"/>
                <w:szCs w:val="18"/>
              </w:rPr>
              <w:t>Vendor Supplied – Application for #AOP-14-034</w:t>
            </w:r>
          </w:p>
        </w:tc>
        <w:tc>
          <w:tcPr>
            <w:tcW w:w="1846" w:type="dxa"/>
            <w:tcBorders>
              <w:top w:val="single" w:sz="6" w:space="0" w:color="auto"/>
              <w:left w:val="single" w:sz="6" w:space="0" w:color="auto"/>
              <w:bottom w:val="single" w:sz="6" w:space="0" w:color="auto"/>
            </w:tcBorders>
            <w:vAlign w:val="center"/>
          </w:tcPr>
          <w:p w14:paraId="0DB65E00" w14:textId="2CBFC409" w:rsidR="00675EDA" w:rsidRPr="00FD516E" w:rsidRDefault="00675EDA" w:rsidP="008147F7">
            <w:pPr>
              <w:ind w:left="0" w:firstLine="0"/>
              <w:jc w:val="center"/>
              <w:rPr>
                <w:rFonts w:cs="Arial"/>
                <w:sz w:val="18"/>
                <w:szCs w:val="18"/>
              </w:rPr>
            </w:pPr>
            <w:r w:rsidRPr="00FD516E">
              <w:rPr>
                <w:rFonts w:cs="Arial"/>
                <w:sz w:val="18"/>
                <w:szCs w:val="18"/>
              </w:rPr>
              <w:t>53.62</w:t>
            </w:r>
          </w:p>
        </w:tc>
      </w:tr>
      <w:tr w:rsidR="00675EDA" w:rsidRPr="00FD516E" w14:paraId="3BCD6D11" w14:textId="77777777" w:rsidTr="00B74D22">
        <w:tblPrEx>
          <w:tblCellMar>
            <w:left w:w="120" w:type="dxa"/>
            <w:right w:w="120" w:type="dxa"/>
          </w:tblCellMar>
        </w:tblPrEx>
        <w:trPr>
          <w:cantSplit/>
          <w:trHeight w:val="354"/>
        </w:trPr>
        <w:tc>
          <w:tcPr>
            <w:tcW w:w="1334" w:type="dxa"/>
            <w:tcBorders>
              <w:top w:val="single" w:sz="6" w:space="0" w:color="auto"/>
              <w:bottom w:val="single" w:sz="6" w:space="0" w:color="auto"/>
              <w:right w:val="single" w:sz="6" w:space="0" w:color="auto"/>
            </w:tcBorders>
            <w:vAlign w:val="center"/>
          </w:tcPr>
          <w:p w14:paraId="09F29BC0" w14:textId="52DDEDC8" w:rsidR="00675EDA" w:rsidRPr="00FD516E" w:rsidRDefault="00675EDA" w:rsidP="008147F7">
            <w:pPr>
              <w:ind w:left="0" w:firstLine="0"/>
              <w:jc w:val="center"/>
              <w:rPr>
                <w:rFonts w:cs="Arial"/>
                <w:sz w:val="18"/>
                <w:szCs w:val="18"/>
              </w:rPr>
            </w:pPr>
            <w:r w:rsidRPr="00FD516E">
              <w:rPr>
                <w:rFonts w:cs="Arial"/>
                <w:sz w:val="18"/>
                <w:szCs w:val="18"/>
              </w:rPr>
              <w:t>PM</w:t>
            </w:r>
          </w:p>
        </w:tc>
        <w:tc>
          <w:tcPr>
            <w:tcW w:w="1171" w:type="dxa"/>
            <w:tcBorders>
              <w:top w:val="single" w:sz="6" w:space="0" w:color="auto"/>
              <w:left w:val="single" w:sz="6" w:space="0" w:color="auto"/>
              <w:bottom w:val="single" w:sz="6" w:space="0" w:color="auto"/>
              <w:right w:val="single" w:sz="6" w:space="0" w:color="auto"/>
            </w:tcBorders>
            <w:vAlign w:val="center"/>
          </w:tcPr>
          <w:p w14:paraId="3B4DC35B" w14:textId="26F7EBDF" w:rsidR="00675EDA" w:rsidRPr="00FD516E" w:rsidRDefault="00675EDA" w:rsidP="008147F7">
            <w:pPr>
              <w:ind w:left="0" w:firstLine="0"/>
              <w:jc w:val="center"/>
              <w:rPr>
                <w:rFonts w:cs="Arial"/>
                <w:sz w:val="18"/>
                <w:szCs w:val="18"/>
              </w:rPr>
            </w:pPr>
            <w:r w:rsidRPr="00FD516E">
              <w:rPr>
                <w:rFonts w:cs="Arial"/>
                <w:sz w:val="18"/>
                <w:szCs w:val="18"/>
              </w:rPr>
              <w:t>0.153</w:t>
            </w:r>
          </w:p>
        </w:tc>
        <w:tc>
          <w:tcPr>
            <w:tcW w:w="1171" w:type="dxa"/>
            <w:vMerge/>
            <w:tcBorders>
              <w:left w:val="single" w:sz="6" w:space="0" w:color="auto"/>
              <w:right w:val="single" w:sz="6" w:space="0" w:color="auto"/>
            </w:tcBorders>
            <w:vAlign w:val="center"/>
          </w:tcPr>
          <w:p w14:paraId="314C5326" w14:textId="2657F073" w:rsidR="00675EDA" w:rsidRPr="00FD516E" w:rsidRDefault="00675EDA" w:rsidP="004611FC">
            <w:pPr>
              <w:ind w:left="0" w:firstLine="0"/>
              <w:jc w:val="center"/>
              <w:rPr>
                <w:rFonts w:cs="Arial"/>
                <w:sz w:val="18"/>
                <w:szCs w:val="18"/>
              </w:rPr>
            </w:pPr>
          </w:p>
        </w:tc>
        <w:tc>
          <w:tcPr>
            <w:tcW w:w="3118" w:type="dxa"/>
            <w:tcBorders>
              <w:top w:val="single" w:sz="6" w:space="0" w:color="auto"/>
              <w:left w:val="single" w:sz="6" w:space="0" w:color="auto"/>
              <w:bottom w:val="single" w:sz="6" w:space="0" w:color="auto"/>
              <w:right w:val="single" w:sz="6" w:space="0" w:color="auto"/>
            </w:tcBorders>
            <w:vAlign w:val="center"/>
          </w:tcPr>
          <w:p w14:paraId="581EB185" w14:textId="672A9E18" w:rsidR="00675EDA" w:rsidRPr="00FD516E" w:rsidRDefault="00675EDA" w:rsidP="008147F7">
            <w:pPr>
              <w:ind w:left="0" w:firstLine="0"/>
              <w:jc w:val="center"/>
              <w:rPr>
                <w:rFonts w:cs="Arial"/>
                <w:sz w:val="18"/>
                <w:szCs w:val="18"/>
              </w:rPr>
            </w:pPr>
            <w:r w:rsidRPr="00FD516E">
              <w:rPr>
                <w:rFonts w:cs="Arial"/>
                <w:sz w:val="18"/>
                <w:szCs w:val="18"/>
              </w:rPr>
              <w:t>Site Specific Data - Application for #AOP-14-034</w:t>
            </w:r>
          </w:p>
        </w:tc>
        <w:tc>
          <w:tcPr>
            <w:tcW w:w="1846" w:type="dxa"/>
            <w:tcBorders>
              <w:top w:val="single" w:sz="6" w:space="0" w:color="auto"/>
              <w:left w:val="single" w:sz="6" w:space="0" w:color="auto"/>
              <w:bottom w:val="single" w:sz="6" w:space="0" w:color="auto"/>
            </w:tcBorders>
            <w:vAlign w:val="center"/>
          </w:tcPr>
          <w:p w14:paraId="2C8D178E" w14:textId="53D06A2E" w:rsidR="00675EDA" w:rsidRPr="00FD516E" w:rsidRDefault="00675EDA" w:rsidP="008147F7">
            <w:pPr>
              <w:ind w:left="0" w:firstLine="0"/>
              <w:jc w:val="center"/>
              <w:rPr>
                <w:rFonts w:cs="Arial"/>
                <w:sz w:val="18"/>
                <w:szCs w:val="18"/>
              </w:rPr>
            </w:pPr>
            <w:r w:rsidRPr="00FD516E">
              <w:rPr>
                <w:rFonts w:cs="Arial"/>
                <w:sz w:val="18"/>
                <w:szCs w:val="18"/>
              </w:rPr>
              <w:t>16.41</w:t>
            </w:r>
          </w:p>
        </w:tc>
      </w:tr>
      <w:tr w:rsidR="00675EDA" w:rsidRPr="00FD516E" w14:paraId="4072EC86" w14:textId="77777777" w:rsidTr="00B74D22">
        <w:tblPrEx>
          <w:tblCellMar>
            <w:left w:w="120" w:type="dxa"/>
            <w:right w:w="120" w:type="dxa"/>
          </w:tblCellMar>
        </w:tblPrEx>
        <w:trPr>
          <w:cantSplit/>
          <w:trHeight w:val="354"/>
        </w:trPr>
        <w:tc>
          <w:tcPr>
            <w:tcW w:w="1334" w:type="dxa"/>
            <w:tcBorders>
              <w:top w:val="single" w:sz="6" w:space="0" w:color="auto"/>
              <w:bottom w:val="single" w:sz="6" w:space="0" w:color="auto"/>
              <w:right w:val="single" w:sz="6" w:space="0" w:color="auto"/>
            </w:tcBorders>
            <w:vAlign w:val="center"/>
          </w:tcPr>
          <w:p w14:paraId="65D11005" w14:textId="77777777" w:rsidR="00675EDA" w:rsidRPr="00FD516E" w:rsidRDefault="00675EDA" w:rsidP="008147F7">
            <w:pPr>
              <w:ind w:left="0" w:firstLine="0"/>
              <w:jc w:val="center"/>
              <w:rPr>
                <w:rFonts w:cs="Arial"/>
                <w:sz w:val="18"/>
                <w:szCs w:val="18"/>
              </w:rPr>
            </w:pPr>
            <w:r w:rsidRPr="00FD516E">
              <w:rPr>
                <w:rFonts w:cs="Arial"/>
                <w:sz w:val="18"/>
                <w:szCs w:val="18"/>
              </w:rPr>
              <w:t>CO</w:t>
            </w:r>
          </w:p>
        </w:tc>
        <w:tc>
          <w:tcPr>
            <w:tcW w:w="1171" w:type="dxa"/>
            <w:tcBorders>
              <w:top w:val="single" w:sz="6" w:space="0" w:color="auto"/>
              <w:left w:val="single" w:sz="6" w:space="0" w:color="auto"/>
              <w:bottom w:val="single" w:sz="6" w:space="0" w:color="auto"/>
              <w:right w:val="single" w:sz="6" w:space="0" w:color="auto"/>
            </w:tcBorders>
            <w:vAlign w:val="center"/>
          </w:tcPr>
          <w:p w14:paraId="20607592" w14:textId="6180483E" w:rsidR="00675EDA" w:rsidRPr="00FD516E" w:rsidRDefault="00675EDA" w:rsidP="008147F7">
            <w:pPr>
              <w:ind w:left="0" w:firstLine="0"/>
              <w:jc w:val="center"/>
              <w:rPr>
                <w:rFonts w:cs="Arial"/>
                <w:sz w:val="18"/>
                <w:szCs w:val="18"/>
              </w:rPr>
            </w:pPr>
            <w:r w:rsidRPr="00FD516E">
              <w:rPr>
                <w:rFonts w:cs="Arial"/>
                <w:sz w:val="18"/>
                <w:szCs w:val="18"/>
              </w:rPr>
              <w:t>3.5</w:t>
            </w:r>
          </w:p>
        </w:tc>
        <w:tc>
          <w:tcPr>
            <w:tcW w:w="1171" w:type="dxa"/>
            <w:vMerge/>
            <w:tcBorders>
              <w:left w:val="single" w:sz="6" w:space="0" w:color="auto"/>
              <w:right w:val="single" w:sz="6" w:space="0" w:color="auto"/>
            </w:tcBorders>
            <w:vAlign w:val="center"/>
          </w:tcPr>
          <w:p w14:paraId="2F8B2F24" w14:textId="14FA3B04" w:rsidR="00675EDA" w:rsidRPr="00FD516E" w:rsidRDefault="00675EDA">
            <w:pPr>
              <w:ind w:left="0" w:firstLine="0"/>
              <w:jc w:val="center"/>
              <w:rPr>
                <w:rFonts w:cs="Arial"/>
                <w:sz w:val="18"/>
                <w:szCs w:val="18"/>
              </w:rPr>
            </w:pPr>
          </w:p>
        </w:tc>
        <w:tc>
          <w:tcPr>
            <w:tcW w:w="3118" w:type="dxa"/>
            <w:tcBorders>
              <w:top w:val="single" w:sz="6" w:space="0" w:color="auto"/>
              <w:left w:val="single" w:sz="6" w:space="0" w:color="auto"/>
              <w:bottom w:val="single" w:sz="6" w:space="0" w:color="auto"/>
              <w:right w:val="single" w:sz="6" w:space="0" w:color="auto"/>
            </w:tcBorders>
            <w:vAlign w:val="center"/>
          </w:tcPr>
          <w:p w14:paraId="099C4E66" w14:textId="68FADA98" w:rsidR="00675EDA" w:rsidRPr="00FD516E" w:rsidRDefault="00675EDA" w:rsidP="008147F7">
            <w:pPr>
              <w:ind w:left="0" w:firstLine="0"/>
              <w:jc w:val="center"/>
              <w:rPr>
                <w:rFonts w:cs="Arial"/>
                <w:sz w:val="18"/>
                <w:szCs w:val="18"/>
              </w:rPr>
            </w:pPr>
            <w:r w:rsidRPr="00FD516E">
              <w:rPr>
                <w:rFonts w:cs="Arial"/>
                <w:sz w:val="18"/>
                <w:szCs w:val="18"/>
              </w:rPr>
              <w:t>MSER Limit for AOP-14-034</w:t>
            </w:r>
          </w:p>
        </w:tc>
        <w:tc>
          <w:tcPr>
            <w:tcW w:w="1846" w:type="dxa"/>
            <w:tcBorders>
              <w:top w:val="single" w:sz="6" w:space="0" w:color="auto"/>
              <w:left w:val="single" w:sz="6" w:space="0" w:color="auto"/>
              <w:bottom w:val="single" w:sz="6" w:space="0" w:color="auto"/>
            </w:tcBorders>
            <w:vAlign w:val="center"/>
          </w:tcPr>
          <w:p w14:paraId="4C785C1F" w14:textId="7D86498A" w:rsidR="00675EDA" w:rsidRPr="00FD516E" w:rsidRDefault="00675EDA" w:rsidP="008147F7">
            <w:pPr>
              <w:ind w:left="0" w:firstLine="0"/>
              <w:jc w:val="center"/>
              <w:rPr>
                <w:rFonts w:cs="Arial"/>
                <w:sz w:val="18"/>
                <w:szCs w:val="18"/>
              </w:rPr>
            </w:pPr>
            <w:r w:rsidRPr="00FD516E">
              <w:rPr>
                <w:rFonts w:cs="Arial"/>
                <w:sz w:val="18"/>
                <w:szCs w:val="18"/>
              </w:rPr>
              <w:t>375.31</w:t>
            </w:r>
          </w:p>
        </w:tc>
      </w:tr>
      <w:tr w:rsidR="00675EDA" w:rsidRPr="009F5E32" w14:paraId="551D60B8" w14:textId="77777777" w:rsidTr="00B74D22">
        <w:tblPrEx>
          <w:tblCellMar>
            <w:left w:w="120" w:type="dxa"/>
            <w:right w:w="120" w:type="dxa"/>
          </w:tblCellMar>
        </w:tblPrEx>
        <w:trPr>
          <w:cantSplit/>
        </w:trPr>
        <w:tc>
          <w:tcPr>
            <w:tcW w:w="1334" w:type="dxa"/>
            <w:tcBorders>
              <w:top w:val="single" w:sz="6" w:space="0" w:color="auto"/>
              <w:bottom w:val="single" w:sz="6" w:space="0" w:color="auto"/>
              <w:right w:val="single" w:sz="6" w:space="0" w:color="auto"/>
            </w:tcBorders>
            <w:vAlign w:val="center"/>
          </w:tcPr>
          <w:p w14:paraId="13E8B3AA" w14:textId="77777777" w:rsidR="00675EDA" w:rsidRPr="00FD516E" w:rsidRDefault="00675EDA" w:rsidP="008147F7">
            <w:pPr>
              <w:ind w:left="0" w:firstLine="0"/>
              <w:jc w:val="center"/>
              <w:rPr>
                <w:rFonts w:cs="Arial"/>
                <w:sz w:val="18"/>
                <w:szCs w:val="18"/>
              </w:rPr>
            </w:pPr>
            <w:r w:rsidRPr="00FD516E">
              <w:rPr>
                <w:rFonts w:cs="Arial"/>
                <w:sz w:val="18"/>
                <w:szCs w:val="18"/>
              </w:rPr>
              <w:t>VOC</w:t>
            </w:r>
          </w:p>
        </w:tc>
        <w:tc>
          <w:tcPr>
            <w:tcW w:w="1171" w:type="dxa"/>
            <w:tcBorders>
              <w:top w:val="single" w:sz="6" w:space="0" w:color="auto"/>
              <w:left w:val="single" w:sz="6" w:space="0" w:color="auto"/>
              <w:bottom w:val="single" w:sz="6" w:space="0" w:color="auto"/>
              <w:right w:val="single" w:sz="6" w:space="0" w:color="auto"/>
            </w:tcBorders>
            <w:vAlign w:val="center"/>
          </w:tcPr>
          <w:p w14:paraId="61413235" w14:textId="177FEF39" w:rsidR="00675EDA" w:rsidRPr="00FD516E" w:rsidRDefault="005B3FE6" w:rsidP="00D42A8D">
            <w:pPr>
              <w:ind w:left="0" w:firstLine="0"/>
              <w:jc w:val="center"/>
              <w:rPr>
                <w:rFonts w:cs="Arial"/>
                <w:sz w:val="18"/>
                <w:szCs w:val="18"/>
              </w:rPr>
            </w:pPr>
            <w:r w:rsidRPr="00FD516E">
              <w:rPr>
                <w:rFonts w:cs="Arial"/>
                <w:sz w:val="18"/>
                <w:szCs w:val="18"/>
              </w:rPr>
              <w:t>0.308</w:t>
            </w:r>
          </w:p>
        </w:tc>
        <w:tc>
          <w:tcPr>
            <w:tcW w:w="1171" w:type="dxa"/>
            <w:vMerge/>
            <w:tcBorders>
              <w:left w:val="single" w:sz="6" w:space="0" w:color="auto"/>
              <w:right w:val="single" w:sz="6" w:space="0" w:color="auto"/>
            </w:tcBorders>
            <w:vAlign w:val="center"/>
          </w:tcPr>
          <w:p w14:paraId="1D3016F7" w14:textId="77777777" w:rsidR="00675EDA" w:rsidRPr="00FD516E" w:rsidRDefault="00675EDA" w:rsidP="007E1BC9">
            <w:pPr>
              <w:ind w:left="0" w:firstLine="0"/>
              <w:jc w:val="center"/>
              <w:rPr>
                <w:rFonts w:cs="Arial"/>
                <w:sz w:val="18"/>
                <w:szCs w:val="18"/>
              </w:rPr>
            </w:pPr>
          </w:p>
        </w:tc>
        <w:tc>
          <w:tcPr>
            <w:tcW w:w="3118" w:type="dxa"/>
            <w:tcBorders>
              <w:top w:val="single" w:sz="6" w:space="0" w:color="auto"/>
              <w:left w:val="single" w:sz="6" w:space="0" w:color="auto"/>
              <w:bottom w:val="single" w:sz="6" w:space="0" w:color="auto"/>
              <w:right w:val="single" w:sz="6" w:space="0" w:color="auto"/>
            </w:tcBorders>
            <w:vAlign w:val="center"/>
          </w:tcPr>
          <w:p w14:paraId="58EDB0EF" w14:textId="63C8C2C0" w:rsidR="00675EDA" w:rsidRPr="00FD516E" w:rsidRDefault="00675EDA" w:rsidP="008147F7">
            <w:pPr>
              <w:ind w:left="0" w:firstLine="0"/>
              <w:jc w:val="center"/>
              <w:rPr>
                <w:rFonts w:cs="Arial"/>
                <w:sz w:val="18"/>
                <w:szCs w:val="18"/>
              </w:rPr>
            </w:pPr>
            <w:r w:rsidRPr="00FD516E">
              <w:rPr>
                <w:rFonts w:cs="Arial"/>
                <w:sz w:val="18"/>
                <w:szCs w:val="18"/>
              </w:rPr>
              <w:t xml:space="preserve">Site Specific Data - </w:t>
            </w:r>
            <w:r w:rsidR="00130248" w:rsidRPr="00FD516E">
              <w:rPr>
                <w:rFonts w:cs="Arial"/>
                <w:sz w:val="18"/>
                <w:szCs w:val="18"/>
              </w:rPr>
              <w:t>2016 stack testing results</w:t>
            </w:r>
          </w:p>
        </w:tc>
        <w:tc>
          <w:tcPr>
            <w:tcW w:w="1846" w:type="dxa"/>
            <w:tcBorders>
              <w:top w:val="single" w:sz="6" w:space="0" w:color="auto"/>
              <w:left w:val="single" w:sz="6" w:space="0" w:color="auto"/>
              <w:bottom w:val="single" w:sz="6" w:space="0" w:color="auto"/>
            </w:tcBorders>
            <w:vAlign w:val="center"/>
          </w:tcPr>
          <w:p w14:paraId="31A9AB4C" w14:textId="212C2BCE" w:rsidR="00675EDA" w:rsidRPr="00FD516E" w:rsidRDefault="005B3FE6" w:rsidP="008147F7">
            <w:pPr>
              <w:ind w:left="0" w:firstLine="0"/>
              <w:jc w:val="center"/>
              <w:rPr>
                <w:rFonts w:cs="Arial"/>
                <w:sz w:val="18"/>
                <w:szCs w:val="18"/>
              </w:rPr>
            </w:pPr>
            <w:r w:rsidRPr="00FD516E">
              <w:rPr>
                <w:rFonts w:cs="Arial"/>
                <w:sz w:val="18"/>
                <w:szCs w:val="18"/>
              </w:rPr>
              <w:t>33.05</w:t>
            </w:r>
          </w:p>
        </w:tc>
      </w:tr>
      <w:tr w:rsidR="00675EDA" w:rsidRPr="009F5E32" w14:paraId="6A2C485A" w14:textId="77777777" w:rsidTr="00B74D22">
        <w:tblPrEx>
          <w:tblCellMar>
            <w:left w:w="120" w:type="dxa"/>
            <w:right w:w="120" w:type="dxa"/>
          </w:tblCellMar>
        </w:tblPrEx>
        <w:trPr>
          <w:cantSplit/>
        </w:trPr>
        <w:tc>
          <w:tcPr>
            <w:tcW w:w="1334" w:type="dxa"/>
            <w:tcBorders>
              <w:top w:val="single" w:sz="6" w:space="0" w:color="auto"/>
              <w:bottom w:val="double" w:sz="4" w:space="0" w:color="auto"/>
              <w:right w:val="single" w:sz="6" w:space="0" w:color="auto"/>
            </w:tcBorders>
            <w:vAlign w:val="center"/>
          </w:tcPr>
          <w:p w14:paraId="63145213" w14:textId="77777777" w:rsidR="00675EDA" w:rsidRPr="00FD516E" w:rsidRDefault="00675EDA" w:rsidP="008147F7">
            <w:pPr>
              <w:ind w:left="0" w:firstLine="0"/>
              <w:jc w:val="center"/>
              <w:rPr>
                <w:rFonts w:cs="Arial"/>
                <w:sz w:val="18"/>
                <w:szCs w:val="18"/>
              </w:rPr>
            </w:pPr>
            <w:r w:rsidRPr="00FD516E">
              <w:rPr>
                <w:rFonts w:cs="Arial"/>
                <w:sz w:val="18"/>
                <w:szCs w:val="18"/>
              </w:rPr>
              <w:t>HAPs</w:t>
            </w:r>
          </w:p>
        </w:tc>
        <w:tc>
          <w:tcPr>
            <w:tcW w:w="1171" w:type="dxa"/>
            <w:tcBorders>
              <w:top w:val="single" w:sz="6" w:space="0" w:color="auto"/>
              <w:left w:val="single" w:sz="6" w:space="0" w:color="auto"/>
              <w:bottom w:val="double" w:sz="4" w:space="0" w:color="auto"/>
              <w:right w:val="single" w:sz="6" w:space="0" w:color="auto"/>
            </w:tcBorders>
            <w:vAlign w:val="center"/>
          </w:tcPr>
          <w:p w14:paraId="1D9D9DF0" w14:textId="38318758" w:rsidR="00675EDA" w:rsidRPr="00FD516E" w:rsidRDefault="005B3FE6" w:rsidP="00D42A8D">
            <w:pPr>
              <w:ind w:left="0" w:firstLine="0"/>
              <w:jc w:val="center"/>
              <w:rPr>
                <w:rFonts w:cs="Arial"/>
                <w:sz w:val="18"/>
                <w:szCs w:val="18"/>
              </w:rPr>
            </w:pPr>
            <w:r w:rsidRPr="00FD516E">
              <w:rPr>
                <w:rFonts w:cs="Arial"/>
                <w:sz w:val="18"/>
                <w:szCs w:val="18"/>
              </w:rPr>
              <w:t>0.304</w:t>
            </w:r>
          </w:p>
        </w:tc>
        <w:tc>
          <w:tcPr>
            <w:tcW w:w="1171" w:type="dxa"/>
            <w:vMerge/>
            <w:tcBorders>
              <w:left w:val="single" w:sz="6" w:space="0" w:color="auto"/>
              <w:bottom w:val="double" w:sz="4" w:space="0" w:color="auto"/>
              <w:right w:val="single" w:sz="6" w:space="0" w:color="auto"/>
            </w:tcBorders>
            <w:vAlign w:val="center"/>
          </w:tcPr>
          <w:p w14:paraId="42C0BD67" w14:textId="77777777" w:rsidR="00675EDA" w:rsidRPr="00FD516E" w:rsidRDefault="00675EDA" w:rsidP="007E1BC9">
            <w:pPr>
              <w:ind w:left="0" w:firstLine="0"/>
              <w:jc w:val="center"/>
              <w:rPr>
                <w:rFonts w:cs="Arial"/>
                <w:sz w:val="18"/>
                <w:szCs w:val="18"/>
              </w:rPr>
            </w:pPr>
          </w:p>
        </w:tc>
        <w:tc>
          <w:tcPr>
            <w:tcW w:w="3118" w:type="dxa"/>
            <w:tcBorders>
              <w:top w:val="single" w:sz="6" w:space="0" w:color="auto"/>
              <w:left w:val="single" w:sz="6" w:space="0" w:color="auto"/>
              <w:bottom w:val="double" w:sz="4" w:space="0" w:color="auto"/>
              <w:right w:val="single" w:sz="6" w:space="0" w:color="auto"/>
            </w:tcBorders>
            <w:vAlign w:val="center"/>
          </w:tcPr>
          <w:p w14:paraId="772F019D" w14:textId="432DB748" w:rsidR="00675EDA" w:rsidRPr="00FD516E" w:rsidRDefault="005B3FE6" w:rsidP="00A403AF">
            <w:pPr>
              <w:ind w:left="0" w:firstLine="0"/>
              <w:jc w:val="center"/>
              <w:rPr>
                <w:rFonts w:cs="Arial"/>
                <w:sz w:val="18"/>
                <w:szCs w:val="18"/>
              </w:rPr>
            </w:pPr>
            <w:r w:rsidRPr="00FD516E">
              <w:rPr>
                <w:rFonts w:cs="Arial"/>
                <w:sz w:val="18"/>
                <w:szCs w:val="18"/>
              </w:rPr>
              <w:t>Site Specific Data - 2016 stack testing results</w:t>
            </w:r>
          </w:p>
        </w:tc>
        <w:tc>
          <w:tcPr>
            <w:tcW w:w="1846" w:type="dxa"/>
            <w:tcBorders>
              <w:top w:val="single" w:sz="6" w:space="0" w:color="auto"/>
              <w:left w:val="single" w:sz="6" w:space="0" w:color="auto"/>
              <w:bottom w:val="double" w:sz="4" w:space="0" w:color="auto"/>
            </w:tcBorders>
            <w:vAlign w:val="center"/>
          </w:tcPr>
          <w:p w14:paraId="615DE523" w14:textId="0B4626CA" w:rsidR="00675EDA" w:rsidRPr="00FD516E" w:rsidRDefault="005B3FE6" w:rsidP="008147F7">
            <w:pPr>
              <w:ind w:left="0" w:firstLine="0"/>
              <w:jc w:val="center"/>
              <w:rPr>
                <w:rFonts w:cs="Arial"/>
                <w:sz w:val="18"/>
                <w:szCs w:val="18"/>
              </w:rPr>
            </w:pPr>
            <w:r w:rsidRPr="00FD516E">
              <w:rPr>
                <w:rFonts w:cs="Arial"/>
                <w:sz w:val="18"/>
                <w:szCs w:val="18"/>
              </w:rPr>
              <w:t>32.61</w:t>
            </w:r>
          </w:p>
        </w:tc>
      </w:tr>
    </w:tbl>
    <w:p w14:paraId="3FE0A054" w14:textId="77777777" w:rsidR="00A76C84" w:rsidRPr="00FD516E" w:rsidRDefault="00A76C84" w:rsidP="00C020B4">
      <w:pPr>
        <w:ind w:left="0" w:firstLine="0"/>
        <w:rPr>
          <w:sz w:val="18"/>
          <w:szCs w:val="18"/>
        </w:rPr>
      </w:pPr>
    </w:p>
    <w:p w14:paraId="6DC72DB0" w14:textId="77777777" w:rsidR="00A403AF" w:rsidRPr="00FD516E" w:rsidRDefault="00A403AF" w:rsidP="00A403AF">
      <w:pPr>
        <w:ind w:left="720" w:firstLine="0"/>
        <w:rPr>
          <w:sz w:val="18"/>
          <w:szCs w:val="18"/>
        </w:rPr>
      </w:pPr>
      <w:r w:rsidRPr="00FD516E">
        <w:rPr>
          <w:sz w:val="20"/>
          <w:vertAlign w:val="superscript"/>
        </w:rPr>
        <w:t>1</w:t>
      </w:r>
      <w:r w:rsidRPr="00FD516E">
        <w:rPr>
          <w:sz w:val="18"/>
          <w:szCs w:val="18"/>
        </w:rPr>
        <w:t xml:space="preserve"> g/</w:t>
      </w:r>
      <w:proofErr w:type="spellStart"/>
      <w:r w:rsidRPr="00FD516E">
        <w:rPr>
          <w:sz w:val="18"/>
          <w:szCs w:val="18"/>
        </w:rPr>
        <w:t>bhphr</w:t>
      </w:r>
      <w:proofErr w:type="spellEnd"/>
      <w:r w:rsidRPr="00FD516E">
        <w:rPr>
          <w:sz w:val="18"/>
          <w:szCs w:val="18"/>
        </w:rPr>
        <w:t xml:space="preserve"> equals grams of pollutant emitted per brake horsepower hour at rated load and speed.</w:t>
      </w:r>
    </w:p>
    <w:p w14:paraId="57509ED4" w14:textId="77777777" w:rsidR="00B57941" w:rsidRPr="00FD516E" w:rsidRDefault="00B57941" w:rsidP="00B57941">
      <w:pPr>
        <w:ind w:left="0" w:firstLine="0"/>
        <w:rPr>
          <w:szCs w:val="22"/>
        </w:rPr>
      </w:pPr>
    </w:p>
    <w:p w14:paraId="4AEA1E68" w14:textId="6EF1ACFD" w:rsidR="00B57941" w:rsidRPr="00FD516E" w:rsidRDefault="00B57941" w:rsidP="00B57941">
      <w:pPr>
        <w:ind w:left="720" w:firstLine="0"/>
        <w:rPr>
          <w:szCs w:val="22"/>
          <w:u w:val="single"/>
        </w:rPr>
      </w:pPr>
      <w:bookmarkStart w:id="6" w:name="_Hlk498942778"/>
      <w:r w:rsidRPr="00FD516E">
        <w:rPr>
          <w:szCs w:val="22"/>
          <w:u w:val="single"/>
        </w:rPr>
        <w:t>LFGTE Operation – Emergency Generator</w:t>
      </w:r>
    </w:p>
    <w:p w14:paraId="129D4B22" w14:textId="77777777" w:rsidR="00B57941" w:rsidRPr="00FD516E" w:rsidRDefault="00B57941" w:rsidP="00B57941">
      <w:pPr>
        <w:ind w:left="0" w:firstLine="0"/>
        <w:rPr>
          <w:szCs w:val="22"/>
        </w:rPr>
      </w:pPr>
    </w:p>
    <w:p w14:paraId="50F663F2" w14:textId="74F6FFEA" w:rsidR="00B57941" w:rsidRPr="00FD516E" w:rsidRDefault="00B57941" w:rsidP="00B57941">
      <w:pPr>
        <w:ind w:left="720" w:firstLine="0"/>
        <w:rPr>
          <w:szCs w:val="22"/>
        </w:rPr>
      </w:pPr>
      <w:r w:rsidRPr="00FD516E">
        <w:rPr>
          <w:szCs w:val="22"/>
        </w:rPr>
        <w:t xml:space="preserve">Emissions for the approximately 140 bhp Perkins 1006-6TG engine powering the </w:t>
      </w:r>
      <w:r w:rsidR="00F55B37" w:rsidRPr="00FD516E">
        <w:rPr>
          <w:szCs w:val="22"/>
        </w:rPr>
        <w:t>100-kW</w:t>
      </w:r>
      <w:r w:rsidRPr="00FD516E">
        <w:rPr>
          <w:szCs w:val="22"/>
        </w:rPr>
        <w:t xml:space="preserve"> emergency generator at the LFGTE operation </w:t>
      </w:r>
      <w:r w:rsidR="00813E8D" w:rsidRPr="00FD516E">
        <w:rPr>
          <w:szCs w:val="22"/>
        </w:rPr>
        <w:t xml:space="preserve">were based on the engine being operated for 200 hours per year.  Although the engine is allowed unrestricted hours of operation during actual emergencies, Agency policy for emissions estimation from emergency generators is to assume that emergency use would not exceed 100 hours per year.  Engine readiness testing, operation for maintenance and similar activities are limited to 100 hours per year in the current permit.  </w:t>
      </w:r>
    </w:p>
    <w:p w14:paraId="1A7B5191" w14:textId="77777777" w:rsidR="00B57941" w:rsidRPr="00FD516E" w:rsidRDefault="00B57941" w:rsidP="00B57941">
      <w:pPr>
        <w:ind w:left="0" w:firstLine="0"/>
        <w:rPr>
          <w:szCs w:val="22"/>
        </w:rPr>
      </w:pPr>
    </w:p>
    <w:p w14:paraId="495D4C65" w14:textId="65A6A5A4" w:rsidR="00813E8D" w:rsidRPr="00FD516E" w:rsidRDefault="00813E8D" w:rsidP="00813E8D">
      <w:pPr>
        <w:ind w:left="720" w:firstLine="0"/>
        <w:rPr>
          <w:szCs w:val="22"/>
        </w:rPr>
      </w:pPr>
      <w:r w:rsidRPr="00FD516E">
        <w:rPr>
          <w:szCs w:val="22"/>
        </w:rPr>
        <w:t>Emission factors used to estimate emission</w:t>
      </w:r>
      <w:r w:rsidR="00A660BE" w:rsidRPr="00FD516E">
        <w:rPr>
          <w:szCs w:val="22"/>
        </w:rPr>
        <w:t>s</w:t>
      </w:r>
      <w:r w:rsidRPr="00FD516E">
        <w:rPr>
          <w:szCs w:val="22"/>
        </w:rPr>
        <w:t xml:space="preserve"> of</w:t>
      </w:r>
      <w:r w:rsidR="00A660BE" w:rsidRPr="00FD516E">
        <w:rPr>
          <w:szCs w:val="22"/>
        </w:rPr>
        <w:t xml:space="preserve"> SO</w:t>
      </w:r>
      <w:r w:rsidR="00A660BE" w:rsidRPr="00FD516E">
        <w:rPr>
          <w:szCs w:val="22"/>
          <w:vertAlign w:val="subscript"/>
        </w:rPr>
        <w:t>2</w:t>
      </w:r>
      <w:r w:rsidR="00A660BE" w:rsidRPr="00FD516E">
        <w:rPr>
          <w:szCs w:val="22"/>
        </w:rPr>
        <w:t>,</w:t>
      </w:r>
      <w:r w:rsidRPr="00FD516E">
        <w:rPr>
          <w:szCs w:val="22"/>
        </w:rPr>
        <w:t xml:space="preserve"> NOx, CO</w:t>
      </w:r>
      <w:r w:rsidR="00A660BE" w:rsidRPr="00FD516E">
        <w:rPr>
          <w:szCs w:val="22"/>
        </w:rPr>
        <w:t>,</w:t>
      </w:r>
      <w:r w:rsidRPr="00FD516E">
        <w:rPr>
          <w:szCs w:val="22"/>
        </w:rPr>
        <w:t xml:space="preserve"> PM</w:t>
      </w:r>
      <w:r w:rsidR="00A660BE" w:rsidRPr="00FD516E">
        <w:rPr>
          <w:szCs w:val="22"/>
        </w:rPr>
        <w:t>, VOCs, and HAPs</w:t>
      </w:r>
      <w:r w:rsidRPr="00FD516E">
        <w:rPr>
          <w:szCs w:val="22"/>
        </w:rPr>
        <w:t xml:space="preserve"> </w:t>
      </w:r>
      <w:r w:rsidR="007D7CEB" w:rsidRPr="00FD516E">
        <w:rPr>
          <w:szCs w:val="22"/>
        </w:rPr>
        <w:t xml:space="preserve">from this engine </w:t>
      </w:r>
      <w:r w:rsidRPr="00FD516E">
        <w:rPr>
          <w:szCs w:val="22"/>
        </w:rPr>
        <w:t xml:space="preserve">were the emission </w:t>
      </w:r>
      <w:r w:rsidR="00A660BE" w:rsidRPr="00FD516E">
        <w:rPr>
          <w:szCs w:val="22"/>
        </w:rPr>
        <w:t>factors</w:t>
      </w:r>
      <w:r w:rsidRPr="00FD516E">
        <w:rPr>
          <w:szCs w:val="22"/>
        </w:rPr>
        <w:t xml:space="preserve"> </w:t>
      </w:r>
      <w:r w:rsidR="00A660BE" w:rsidRPr="00FD516E">
        <w:rPr>
          <w:szCs w:val="22"/>
        </w:rPr>
        <w:t xml:space="preserve">for </w:t>
      </w:r>
      <w:r w:rsidR="007D7CEB" w:rsidRPr="00FD516E">
        <w:rPr>
          <w:szCs w:val="22"/>
        </w:rPr>
        <w:t>uncertified engines</w:t>
      </w:r>
      <w:r w:rsidRPr="00FD516E">
        <w:rPr>
          <w:szCs w:val="22"/>
        </w:rPr>
        <w:t xml:space="preserve"> as described in </w:t>
      </w:r>
      <w:r w:rsidRPr="00FD516E">
        <w:rPr>
          <w:i/>
          <w:szCs w:val="22"/>
        </w:rPr>
        <w:t>AP-42, Chapter 3, Stationary Internal Combustions Sources, Section 3.</w:t>
      </w:r>
      <w:r w:rsidR="007D7CEB" w:rsidRPr="00FD516E">
        <w:rPr>
          <w:i/>
          <w:szCs w:val="22"/>
        </w:rPr>
        <w:t>3</w:t>
      </w:r>
      <w:r w:rsidRPr="00FD516E">
        <w:rPr>
          <w:i/>
          <w:szCs w:val="22"/>
        </w:rPr>
        <w:t xml:space="preserve"> –</w:t>
      </w:r>
      <w:r w:rsidR="007D7CEB" w:rsidRPr="00FD516E">
        <w:rPr>
          <w:i/>
          <w:szCs w:val="22"/>
        </w:rPr>
        <w:t xml:space="preserve">Gasoline and Diesel Industrial </w:t>
      </w:r>
      <w:r w:rsidRPr="00FD516E">
        <w:rPr>
          <w:i/>
          <w:szCs w:val="22"/>
        </w:rPr>
        <w:t>Engines, (October 1996)</w:t>
      </w:r>
      <w:r w:rsidRPr="00FD516E">
        <w:rPr>
          <w:szCs w:val="22"/>
        </w:rPr>
        <w:t>.  The engine</w:t>
      </w:r>
      <w:r w:rsidR="005C6573" w:rsidRPr="00FD516E">
        <w:rPr>
          <w:szCs w:val="22"/>
        </w:rPr>
        <w:t xml:space="preserve"> was</w:t>
      </w:r>
      <w:r w:rsidRPr="00FD516E">
        <w:rPr>
          <w:szCs w:val="22"/>
        </w:rPr>
        <w:t xml:space="preserve"> assumed to be fueled with No. 2 diesel fuel containing a maximum of 0.05% by weight sulfur with a heating value of </w:t>
      </w:r>
      <w:r w:rsidR="00BE6645">
        <w:rPr>
          <w:szCs w:val="22"/>
        </w:rPr>
        <w:t>140</w:t>
      </w:r>
      <w:r w:rsidRPr="00FD516E">
        <w:rPr>
          <w:szCs w:val="22"/>
        </w:rPr>
        <w:t xml:space="preserve">,000 Btu per gallon.  </w:t>
      </w:r>
      <w:r w:rsidR="007D7CEB" w:rsidRPr="00FD516E">
        <w:rPr>
          <w:szCs w:val="22"/>
        </w:rPr>
        <w:t xml:space="preserve">Fuel consumption for the engine was estimated at 7 gallons per hour.  </w:t>
      </w:r>
    </w:p>
    <w:bookmarkEnd w:id="6"/>
    <w:p w14:paraId="6164138D" w14:textId="77777777" w:rsidR="00813E8D" w:rsidRPr="00FD516E" w:rsidRDefault="00813E8D" w:rsidP="00813E8D">
      <w:pPr>
        <w:ind w:left="0" w:firstLine="0"/>
        <w:rPr>
          <w:szCs w:val="22"/>
        </w:rPr>
      </w:pPr>
    </w:p>
    <w:p w14:paraId="4AB9B348" w14:textId="77777777" w:rsidR="00ED2E88" w:rsidRPr="00FD516E" w:rsidRDefault="00ED2E88">
      <w:pPr>
        <w:widowControl/>
        <w:autoSpaceDE/>
        <w:autoSpaceDN/>
        <w:adjustRightInd/>
        <w:ind w:left="0" w:firstLine="0"/>
        <w:jc w:val="left"/>
        <w:rPr>
          <w:szCs w:val="22"/>
        </w:rPr>
      </w:pPr>
      <w:r w:rsidRPr="00FD516E">
        <w:rPr>
          <w:szCs w:val="22"/>
        </w:rPr>
        <w:br w:type="page"/>
      </w:r>
    </w:p>
    <w:p w14:paraId="0D368726" w14:textId="4431EF64" w:rsidR="00B57941" w:rsidRPr="00FD516E" w:rsidRDefault="00B57941" w:rsidP="00B57941">
      <w:pPr>
        <w:ind w:left="720" w:firstLine="0"/>
        <w:rPr>
          <w:szCs w:val="22"/>
        </w:rPr>
      </w:pPr>
      <w:r w:rsidRPr="00FD516E">
        <w:rPr>
          <w:szCs w:val="22"/>
        </w:rPr>
        <w:lastRenderedPageBreak/>
        <w:t xml:space="preserve">Estimated emissions for the Perkins 1006-6TG </w:t>
      </w:r>
      <w:r w:rsidR="00813E8D" w:rsidRPr="00FD516E">
        <w:rPr>
          <w:szCs w:val="22"/>
        </w:rPr>
        <w:t>engine and</w:t>
      </w:r>
      <w:r w:rsidRPr="00FD516E">
        <w:rPr>
          <w:szCs w:val="22"/>
        </w:rPr>
        <w:t xml:space="preserve"> emission factors used for these estimates are summarized in Table 3.5.  </w:t>
      </w:r>
    </w:p>
    <w:p w14:paraId="05837D60" w14:textId="77777777" w:rsidR="00B57941" w:rsidRPr="00FD516E" w:rsidRDefault="00B57941" w:rsidP="00C020B4">
      <w:pPr>
        <w:ind w:left="0" w:firstLine="0"/>
        <w:rPr>
          <w:szCs w:val="22"/>
        </w:rPr>
      </w:pPr>
    </w:p>
    <w:tbl>
      <w:tblPr>
        <w:tblW w:w="8640"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55"/>
        <w:gridCol w:w="990"/>
        <w:gridCol w:w="1170"/>
        <w:gridCol w:w="3960"/>
        <w:gridCol w:w="1365"/>
      </w:tblGrid>
      <w:tr w:rsidR="00B57941" w:rsidRPr="009F5E32" w14:paraId="719F5243" w14:textId="77777777" w:rsidTr="00A955C5">
        <w:trPr>
          <w:cantSplit/>
          <w:trHeight w:val="738"/>
          <w:tblHeader/>
        </w:trPr>
        <w:tc>
          <w:tcPr>
            <w:tcW w:w="8640" w:type="dxa"/>
            <w:gridSpan w:val="5"/>
            <w:tcBorders>
              <w:top w:val="double" w:sz="4" w:space="0" w:color="auto"/>
              <w:bottom w:val="single" w:sz="4" w:space="0" w:color="auto"/>
            </w:tcBorders>
            <w:shd w:val="clear" w:color="auto" w:fill="F2F2F2" w:themeFill="background1" w:themeFillShade="F2"/>
            <w:tcMar>
              <w:top w:w="29" w:type="dxa"/>
              <w:bottom w:w="29" w:type="dxa"/>
            </w:tcMar>
            <w:vAlign w:val="center"/>
          </w:tcPr>
          <w:p w14:paraId="6B2372A7" w14:textId="569C3D25" w:rsidR="00B57941" w:rsidRPr="00FD516E" w:rsidRDefault="00B57941" w:rsidP="00E07B7B">
            <w:pPr>
              <w:jc w:val="center"/>
              <w:rPr>
                <w:rFonts w:cs="Arial"/>
                <w:b/>
                <w:bCs/>
                <w:color w:val="000000"/>
                <w:szCs w:val="22"/>
              </w:rPr>
            </w:pPr>
            <w:r w:rsidRPr="00FD516E">
              <w:rPr>
                <w:rFonts w:cs="Arial"/>
                <w:b/>
                <w:bCs/>
                <w:color w:val="000000"/>
                <w:szCs w:val="22"/>
              </w:rPr>
              <w:t xml:space="preserve">Table 3-5 – Estimated Emissions from </w:t>
            </w:r>
            <w:r w:rsidR="00813E8D" w:rsidRPr="00FD516E">
              <w:rPr>
                <w:rFonts w:cs="Arial"/>
                <w:b/>
                <w:bCs/>
                <w:color w:val="000000"/>
                <w:szCs w:val="22"/>
              </w:rPr>
              <w:t>Perkins 1006-6TG engine</w:t>
            </w:r>
          </w:p>
          <w:p w14:paraId="49F25B24" w14:textId="252F2332" w:rsidR="00B57941" w:rsidRPr="00FD516E" w:rsidRDefault="00813E8D" w:rsidP="00E07B7B">
            <w:pPr>
              <w:jc w:val="center"/>
              <w:rPr>
                <w:rFonts w:cs="Arial"/>
                <w:b/>
                <w:bCs/>
                <w:sz w:val="20"/>
              </w:rPr>
            </w:pPr>
            <w:r w:rsidRPr="00FD516E">
              <w:rPr>
                <w:rFonts w:cs="Arial"/>
                <w:b/>
                <w:bCs/>
                <w:color w:val="000000"/>
                <w:szCs w:val="22"/>
              </w:rPr>
              <w:t>200 hours of Operation Annually</w:t>
            </w:r>
            <w:r w:rsidR="00B57941" w:rsidRPr="00FD516E">
              <w:rPr>
                <w:rFonts w:cs="Arial"/>
                <w:b/>
                <w:bCs/>
                <w:color w:val="000000"/>
                <w:szCs w:val="22"/>
              </w:rPr>
              <w:t>-</w:t>
            </w:r>
          </w:p>
        </w:tc>
      </w:tr>
      <w:tr w:rsidR="00B57941" w:rsidRPr="00FD516E" w14:paraId="12F4D437" w14:textId="77777777" w:rsidTr="00A955C5">
        <w:tblPrEx>
          <w:tblCellMar>
            <w:left w:w="120" w:type="dxa"/>
            <w:right w:w="120" w:type="dxa"/>
          </w:tblCellMar>
        </w:tblPrEx>
        <w:trPr>
          <w:cantSplit/>
          <w:trHeight w:val="420"/>
        </w:trPr>
        <w:tc>
          <w:tcPr>
            <w:tcW w:w="1155" w:type="dxa"/>
            <w:vMerge w:val="restart"/>
            <w:tcBorders>
              <w:top w:val="single" w:sz="4" w:space="0" w:color="auto"/>
              <w:bottom w:val="single" w:sz="6" w:space="0" w:color="auto"/>
              <w:right w:val="single" w:sz="6" w:space="0" w:color="auto"/>
            </w:tcBorders>
            <w:shd w:val="clear" w:color="auto" w:fill="F2F2F2" w:themeFill="background1" w:themeFillShade="F2"/>
            <w:vAlign w:val="center"/>
          </w:tcPr>
          <w:p w14:paraId="0823BA8C" w14:textId="77777777" w:rsidR="00B57941" w:rsidRPr="00FD516E" w:rsidRDefault="00B57941" w:rsidP="00E07B7B">
            <w:pPr>
              <w:ind w:left="0" w:firstLine="0"/>
              <w:jc w:val="center"/>
              <w:rPr>
                <w:rFonts w:cs="Arial"/>
                <w:sz w:val="18"/>
                <w:szCs w:val="18"/>
              </w:rPr>
            </w:pPr>
            <w:r w:rsidRPr="00FD516E">
              <w:rPr>
                <w:rFonts w:cs="Arial"/>
                <w:sz w:val="18"/>
                <w:szCs w:val="18"/>
              </w:rPr>
              <w:t>Pollutant</w:t>
            </w:r>
          </w:p>
        </w:tc>
        <w:tc>
          <w:tcPr>
            <w:tcW w:w="6120"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5DB8370B" w14:textId="77777777" w:rsidR="00B57941" w:rsidRPr="00FD516E" w:rsidRDefault="00B57941" w:rsidP="00E07B7B">
            <w:pPr>
              <w:ind w:left="0" w:firstLine="0"/>
              <w:jc w:val="center"/>
              <w:rPr>
                <w:rFonts w:cs="Arial"/>
                <w:sz w:val="18"/>
                <w:szCs w:val="18"/>
              </w:rPr>
            </w:pPr>
            <w:r w:rsidRPr="00FD516E">
              <w:rPr>
                <w:rFonts w:cs="Arial"/>
                <w:sz w:val="18"/>
                <w:szCs w:val="18"/>
              </w:rPr>
              <w:t>Emission Factor</w:t>
            </w:r>
          </w:p>
        </w:tc>
        <w:tc>
          <w:tcPr>
            <w:tcW w:w="1365" w:type="dxa"/>
            <w:vMerge w:val="restart"/>
            <w:tcBorders>
              <w:top w:val="single" w:sz="4" w:space="0" w:color="auto"/>
              <w:left w:val="single" w:sz="6" w:space="0" w:color="auto"/>
            </w:tcBorders>
            <w:shd w:val="clear" w:color="auto" w:fill="F2F2F2" w:themeFill="background1" w:themeFillShade="F2"/>
            <w:vAlign w:val="center"/>
          </w:tcPr>
          <w:p w14:paraId="7F2484F2" w14:textId="77777777" w:rsidR="00B57941" w:rsidRPr="00FD516E" w:rsidRDefault="00B57941" w:rsidP="00E07B7B">
            <w:pPr>
              <w:ind w:left="0" w:firstLine="0"/>
              <w:jc w:val="center"/>
              <w:rPr>
                <w:rFonts w:cs="Arial"/>
                <w:sz w:val="18"/>
                <w:szCs w:val="18"/>
              </w:rPr>
            </w:pPr>
            <w:r w:rsidRPr="00FD516E">
              <w:rPr>
                <w:rFonts w:cs="Arial"/>
                <w:sz w:val="18"/>
                <w:szCs w:val="18"/>
              </w:rPr>
              <w:t>Allowable Emissions</w:t>
            </w:r>
          </w:p>
          <w:p w14:paraId="370D43F5" w14:textId="77777777" w:rsidR="00B57941" w:rsidRPr="00FD516E" w:rsidRDefault="00B57941" w:rsidP="00E07B7B">
            <w:pPr>
              <w:ind w:left="0" w:firstLine="0"/>
              <w:jc w:val="center"/>
              <w:rPr>
                <w:rFonts w:cs="Arial"/>
                <w:sz w:val="18"/>
                <w:szCs w:val="18"/>
              </w:rPr>
            </w:pPr>
            <w:r w:rsidRPr="00FD516E">
              <w:rPr>
                <w:rFonts w:cs="Arial"/>
                <w:sz w:val="18"/>
                <w:szCs w:val="18"/>
              </w:rPr>
              <w:t>tons per year</w:t>
            </w:r>
          </w:p>
        </w:tc>
      </w:tr>
      <w:tr w:rsidR="00242644" w:rsidRPr="009F5E32" w14:paraId="1E1883E0" w14:textId="77777777" w:rsidTr="00A955C5">
        <w:tblPrEx>
          <w:tblCellMar>
            <w:left w:w="120" w:type="dxa"/>
            <w:right w:w="120" w:type="dxa"/>
          </w:tblCellMar>
        </w:tblPrEx>
        <w:trPr>
          <w:cantSplit/>
          <w:trHeight w:val="408"/>
        </w:trPr>
        <w:tc>
          <w:tcPr>
            <w:tcW w:w="1155" w:type="dxa"/>
            <w:vMerge/>
            <w:tcBorders>
              <w:top w:val="single" w:sz="6" w:space="0" w:color="auto"/>
              <w:bottom w:val="double" w:sz="4" w:space="0" w:color="auto"/>
              <w:right w:val="single" w:sz="6" w:space="0" w:color="auto"/>
            </w:tcBorders>
          </w:tcPr>
          <w:p w14:paraId="557DFD06" w14:textId="77777777" w:rsidR="00B57941" w:rsidRPr="00FE37EB" w:rsidRDefault="00B57941" w:rsidP="00E07B7B">
            <w:pPr>
              <w:ind w:left="0" w:firstLine="0"/>
              <w:rPr>
                <w:rFonts w:cs="Arial"/>
                <w:sz w:val="18"/>
                <w:szCs w:val="18"/>
              </w:rPr>
            </w:pPr>
          </w:p>
        </w:tc>
        <w:tc>
          <w:tcPr>
            <w:tcW w:w="99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5D60AE1D" w14:textId="77777777" w:rsidR="00B57941" w:rsidRPr="00FE37EB" w:rsidRDefault="00B57941" w:rsidP="00E07B7B">
            <w:pPr>
              <w:ind w:left="0" w:firstLine="0"/>
              <w:jc w:val="center"/>
              <w:rPr>
                <w:rFonts w:cs="Arial"/>
                <w:sz w:val="18"/>
                <w:szCs w:val="18"/>
              </w:rPr>
            </w:pPr>
            <w:r w:rsidRPr="00FE37EB">
              <w:rPr>
                <w:rFonts w:cs="Arial"/>
                <w:sz w:val="18"/>
                <w:szCs w:val="18"/>
              </w:rPr>
              <w:t>Factor</w:t>
            </w:r>
          </w:p>
        </w:tc>
        <w:tc>
          <w:tcPr>
            <w:tcW w:w="117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61046DB1" w14:textId="77777777" w:rsidR="00B57941" w:rsidRPr="00FE37EB" w:rsidRDefault="00B57941" w:rsidP="00E07B7B">
            <w:pPr>
              <w:ind w:left="0" w:firstLine="0"/>
              <w:jc w:val="center"/>
              <w:rPr>
                <w:rFonts w:cs="Arial"/>
                <w:sz w:val="18"/>
                <w:szCs w:val="18"/>
                <w:vertAlign w:val="superscript"/>
              </w:rPr>
            </w:pPr>
            <w:r w:rsidRPr="00FE37EB">
              <w:rPr>
                <w:rFonts w:cs="Arial"/>
                <w:sz w:val="18"/>
                <w:szCs w:val="18"/>
              </w:rPr>
              <w:t>Units</w:t>
            </w:r>
          </w:p>
        </w:tc>
        <w:tc>
          <w:tcPr>
            <w:tcW w:w="396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01F1135E" w14:textId="77777777" w:rsidR="00B57941" w:rsidRPr="00FE37EB" w:rsidRDefault="00B57941" w:rsidP="00E07B7B">
            <w:pPr>
              <w:ind w:left="0" w:firstLine="0"/>
              <w:jc w:val="center"/>
              <w:rPr>
                <w:rFonts w:cs="Arial"/>
                <w:sz w:val="18"/>
                <w:szCs w:val="18"/>
              </w:rPr>
            </w:pPr>
            <w:r w:rsidRPr="00FE37EB">
              <w:rPr>
                <w:rFonts w:cs="Arial"/>
                <w:sz w:val="18"/>
                <w:szCs w:val="18"/>
              </w:rPr>
              <w:t>Source</w:t>
            </w:r>
          </w:p>
        </w:tc>
        <w:tc>
          <w:tcPr>
            <w:tcW w:w="1365" w:type="dxa"/>
            <w:vMerge/>
            <w:tcBorders>
              <w:left w:val="single" w:sz="6" w:space="0" w:color="auto"/>
              <w:bottom w:val="double" w:sz="4" w:space="0" w:color="auto"/>
            </w:tcBorders>
            <w:vAlign w:val="center"/>
          </w:tcPr>
          <w:p w14:paraId="1880BE7D" w14:textId="77777777" w:rsidR="00B57941" w:rsidRPr="00FE37EB" w:rsidRDefault="00B57941" w:rsidP="00E07B7B">
            <w:pPr>
              <w:ind w:left="0" w:firstLine="0"/>
              <w:jc w:val="center"/>
              <w:rPr>
                <w:rFonts w:cs="Arial"/>
                <w:sz w:val="18"/>
                <w:szCs w:val="18"/>
              </w:rPr>
            </w:pPr>
          </w:p>
        </w:tc>
      </w:tr>
      <w:tr w:rsidR="007D7CEB" w:rsidRPr="00FD516E" w14:paraId="13F63D96" w14:textId="77777777" w:rsidTr="00FB2520">
        <w:tblPrEx>
          <w:tblCellMar>
            <w:left w:w="120" w:type="dxa"/>
            <w:right w:w="120" w:type="dxa"/>
          </w:tblCellMar>
        </w:tblPrEx>
        <w:trPr>
          <w:cantSplit/>
          <w:trHeight w:val="447"/>
        </w:trPr>
        <w:tc>
          <w:tcPr>
            <w:tcW w:w="1155" w:type="dxa"/>
            <w:tcBorders>
              <w:top w:val="double" w:sz="4" w:space="0" w:color="auto"/>
              <w:bottom w:val="single" w:sz="6" w:space="0" w:color="auto"/>
              <w:right w:val="single" w:sz="6" w:space="0" w:color="auto"/>
            </w:tcBorders>
            <w:vAlign w:val="center"/>
          </w:tcPr>
          <w:p w14:paraId="2D87F747" w14:textId="77777777" w:rsidR="007D7CEB" w:rsidRPr="00FD516E" w:rsidRDefault="007D7CEB" w:rsidP="00242644">
            <w:pPr>
              <w:ind w:left="0" w:firstLine="0"/>
              <w:jc w:val="center"/>
              <w:rPr>
                <w:rFonts w:cs="Arial"/>
                <w:sz w:val="18"/>
                <w:szCs w:val="18"/>
              </w:rPr>
            </w:pPr>
            <w:r w:rsidRPr="00FD516E">
              <w:rPr>
                <w:rFonts w:cs="Arial"/>
                <w:sz w:val="18"/>
                <w:szCs w:val="18"/>
              </w:rPr>
              <w:t>SO</w:t>
            </w:r>
            <w:r w:rsidRPr="00FD516E">
              <w:rPr>
                <w:rFonts w:cs="Arial"/>
                <w:sz w:val="18"/>
                <w:szCs w:val="18"/>
                <w:vertAlign w:val="subscript"/>
              </w:rPr>
              <w:t>2</w:t>
            </w:r>
          </w:p>
        </w:tc>
        <w:tc>
          <w:tcPr>
            <w:tcW w:w="990" w:type="dxa"/>
            <w:tcBorders>
              <w:top w:val="double" w:sz="4" w:space="0" w:color="auto"/>
              <w:left w:val="single" w:sz="6" w:space="0" w:color="auto"/>
              <w:bottom w:val="single" w:sz="6" w:space="0" w:color="auto"/>
              <w:right w:val="single" w:sz="6" w:space="0" w:color="auto"/>
            </w:tcBorders>
            <w:vAlign w:val="center"/>
          </w:tcPr>
          <w:p w14:paraId="54261C88" w14:textId="70BEFC41" w:rsidR="007D7CEB" w:rsidRPr="00FD516E" w:rsidRDefault="007D7CEB" w:rsidP="00242644">
            <w:pPr>
              <w:ind w:left="0" w:firstLine="0"/>
              <w:jc w:val="center"/>
              <w:rPr>
                <w:rFonts w:cs="Arial"/>
                <w:sz w:val="18"/>
                <w:szCs w:val="18"/>
              </w:rPr>
            </w:pPr>
            <w:r w:rsidRPr="00FD516E">
              <w:rPr>
                <w:rFonts w:cs="Arial"/>
                <w:sz w:val="18"/>
                <w:szCs w:val="18"/>
              </w:rPr>
              <w:t>1.01S</w:t>
            </w:r>
            <w:r w:rsidRPr="00FD516E">
              <w:rPr>
                <w:rFonts w:cs="Arial"/>
                <w:szCs w:val="22"/>
                <w:vertAlign w:val="superscript"/>
              </w:rPr>
              <w:t>1</w:t>
            </w:r>
          </w:p>
        </w:tc>
        <w:tc>
          <w:tcPr>
            <w:tcW w:w="1170" w:type="dxa"/>
            <w:vMerge w:val="restart"/>
            <w:tcBorders>
              <w:top w:val="double" w:sz="4" w:space="0" w:color="auto"/>
              <w:left w:val="single" w:sz="6" w:space="0" w:color="auto"/>
              <w:right w:val="single" w:sz="6" w:space="0" w:color="auto"/>
            </w:tcBorders>
            <w:vAlign w:val="center"/>
          </w:tcPr>
          <w:p w14:paraId="55218105" w14:textId="00214664" w:rsidR="007D7CEB" w:rsidRPr="00FD516E" w:rsidRDefault="007D7CEB" w:rsidP="007D7CEB">
            <w:pPr>
              <w:ind w:left="0" w:firstLine="0"/>
              <w:jc w:val="center"/>
              <w:rPr>
                <w:rFonts w:cs="Arial"/>
                <w:sz w:val="18"/>
                <w:szCs w:val="18"/>
              </w:rPr>
            </w:pPr>
            <w:r w:rsidRPr="00FD516E">
              <w:rPr>
                <w:rFonts w:cs="Arial"/>
                <w:sz w:val="18"/>
                <w:szCs w:val="18"/>
              </w:rPr>
              <w:t>lb/MMBtu</w:t>
            </w:r>
            <w:r w:rsidRPr="00FD516E">
              <w:rPr>
                <w:rFonts w:cs="Arial"/>
                <w:szCs w:val="22"/>
                <w:vertAlign w:val="superscript"/>
              </w:rPr>
              <w:t>2</w:t>
            </w:r>
          </w:p>
        </w:tc>
        <w:tc>
          <w:tcPr>
            <w:tcW w:w="3960" w:type="dxa"/>
            <w:vMerge w:val="restart"/>
            <w:tcBorders>
              <w:top w:val="double" w:sz="4" w:space="0" w:color="auto"/>
              <w:left w:val="single" w:sz="6" w:space="0" w:color="auto"/>
              <w:right w:val="single" w:sz="6" w:space="0" w:color="auto"/>
            </w:tcBorders>
            <w:vAlign w:val="center"/>
          </w:tcPr>
          <w:p w14:paraId="015F8113" w14:textId="1088B3EB" w:rsidR="007D7CEB" w:rsidRPr="00FD516E" w:rsidRDefault="007D7CEB" w:rsidP="007D7CEB">
            <w:pPr>
              <w:ind w:left="0" w:firstLine="0"/>
              <w:jc w:val="left"/>
              <w:rPr>
                <w:rFonts w:cs="Arial"/>
                <w:sz w:val="18"/>
                <w:szCs w:val="18"/>
              </w:rPr>
            </w:pPr>
            <w:r w:rsidRPr="00FD516E">
              <w:rPr>
                <w:rFonts w:cs="Arial"/>
                <w:sz w:val="18"/>
                <w:szCs w:val="18"/>
              </w:rPr>
              <w:t xml:space="preserve">AP-42, Chapter 3, Stationary Internal Combustion Sources, Section 3.3 </w:t>
            </w:r>
            <w:r w:rsidRPr="00FD516E">
              <w:rPr>
                <w:rFonts w:cs="Arial"/>
                <w:i/>
                <w:sz w:val="18"/>
                <w:szCs w:val="18"/>
              </w:rPr>
              <w:t>Stationary Internal Combustions Sources, Section 3.3 –Gasoline and Diesel Industrial Engines</w:t>
            </w:r>
            <w:r w:rsidRPr="00FD516E">
              <w:rPr>
                <w:rFonts w:cs="Arial"/>
                <w:sz w:val="18"/>
                <w:szCs w:val="18"/>
              </w:rPr>
              <w:t xml:space="preserve"> Table 3.3-1 (10/1996)</w:t>
            </w:r>
          </w:p>
        </w:tc>
        <w:tc>
          <w:tcPr>
            <w:tcW w:w="1365" w:type="dxa"/>
            <w:tcBorders>
              <w:top w:val="double" w:sz="4" w:space="0" w:color="auto"/>
              <w:left w:val="single" w:sz="6" w:space="0" w:color="auto"/>
              <w:bottom w:val="single" w:sz="6" w:space="0" w:color="auto"/>
            </w:tcBorders>
            <w:vAlign w:val="center"/>
          </w:tcPr>
          <w:p w14:paraId="47E76ABA" w14:textId="5675ABEC" w:rsidR="007D7CEB" w:rsidRPr="00FD516E" w:rsidRDefault="00B8740E" w:rsidP="00242644">
            <w:pPr>
              <w:ind w:left="0" w:firstLine="0"/>
              <w:jc w:val="center"/>
              <w:rPr>
                <w:rFonts w:cs="Arial"/>
                <w:sz w:val="18"/>
                <w:szCs w:val="18"/>
              </w:rPr>
            </w:pPr>
            <w:r w:rsidRPr="00FD516E">
              <w:rPr>
                <w:rFonts w:cs="Arial"/>
                <w:sz w:val="18"/>
                <w:szCs w:val="18"/>
              </w:rPr>
              <w:t>0.005</w:t>
            </w:r>
          </w:p>
        </w:tc>
      </w:tr>
      <w:tr w:rsidR="007D7CEB" w:rsidRPr="00FD516E" w14:paraId="6F28E6A9" w14:textId="77777777" w:rsidTr="003D541E">
        <w:tblPrEx>
          <w:tblCellMar>
            <w:left w:w="120" w:type="dxa"/>
            <w:right w:w="120" w:type="dxa"/>
          </w:tblCellMar>
        </w:tblPrEx>
        <w:trPr>
          <w:cantSplit/>
          <w:trHeight w:val="345"/>
        </w:trPr>
        <w:tc>
          <w:tcPr>
            <w:tcW w:w="1155" w:type="dxa"/>
            <w:tcBorders>
              <w:top w:val="single" w:sz="6" w:space="0" w:color="auto"/>
              <w:bottom w:val="single" w:sz="6" w:space="0" w:color="auto"/>
              <w:right w:val="single" w:sz="6" w:space="0" w:color="auto"/>
            </w:tcBorders>
            <w:vAlign w:val="center"/>
          </w:tcPr>
          <w:p w14:paraId="68A56487" w14:textId="77777777" w:rsidR="007D7CEB" w:rsidRPr="00FD516E" w:rsidRDefault="007D7CEB" w:rsidP="00242644">
            <w:pPr>
              <w:ind w:left="0" w:firstLine="0"/>
              <w:jc w:val="center"/>
              <w:rPr>
                <w:rFonts w:cs="Arial"/>
                <w:sz w:val="18"/>
                <w:szCs w:val="18"/>
              </w:rPr>
            </w:pPr>
            <w:r w:rsidRPr="00FD516E">
              <w:rPr>
                <w:rFonts w:cs="Arial"/>
                <w:sz w:val="18"/>
                <w:szCs w:val="18"/>
              </w:rPr>
              <w:t>NO</w:t>
            </w:r>
            <w:r w:rsidRPr="00FD516E">
              <w:rPr>
                <w:rFonts w:cs="Arial"/>
                <w:sz w:val="18"/>
                <w:szCs w:val="18"/>
                <w:vertAlign w:val="subscript"/>
              </w:rPr>
              <w:t>x</w:t>
            </w:r>
          </w:p>
        </w:tc>
        <w:tc>
          <w:tcPr>
            <w:tcW w:w="990" w:type="dxa"/>
            <w:tcBorders>
              <w:top w:val="single" w:sz="6" w:space="0" w:color="auto"/>
              <w:left w:val="single" w:sz="6" w:space="0" w:color="auto"/>
              <w:bottom w:val="single" w:sz="6" w:space="0" w:color="auto"/>
              <w:right w:val="single" w:sz="6" w:space="0" w:color="auto"/>
            </w:tcBorders>
            <w:vAlign w:val="center"/>
          </w:tcPr>
          <w:p w14:paraId="2C0E825C" w14:textId="098E08EE" w:rsidR="007D7CEB" w:rsidRPr="00FD516E" w:rsidRDefault="007D7CEB" w:rsidP="00242644">
            <w:pPr>
              <w:ind w:left="0" w:firstLine="0"/>
              <w:jc w:val="center"/>
              <w:rPr>
                <w:rFonts w:cs="Arial"/>
                <w:sz w:val="18"/>
                <w:szCs w:val="18"/>
              </w:rPr>
            </w:pPr>
            <w:r w:rsidRPr="00FD516E">
              <w:rPr>
                <w:rFonts w:cs="Arial"/>
                <w:sz w:val="18"/>
                <w:szCs w:val="18"/>
              </w:rPr>
              <w:t>4.41</w:t>
            </w:r>
          </w:p>
        </w:tc>
        <w:tc>
          <w:tcPr>
            <w:tcW w:w="1170" w:type="dxa"/>
            <w:vMerge/>
            <w:tcBorders>
              <w:left w:val="single" w:sz="6" w:space="0" w:color="auto"/>
              <w:right w:val="single" w:sz="6" w:space="0" w:color="auto"/>
            </w:tcBorders>
            <w:vAlign w:val="center"/>
          </w:tcPr>
          <w:p w14:paraId="43ABCBCD" w14:textId="13D81576" w:rsidR="007D7CEB" w:rsidRPr="00FD516E" w:rsidRDefault="007D7CEB" w:rsidP="00242644">
            <w:pPr>
              <w:ind w:left="0"/>
              <w:jc w:val="center"/>
              <w:rPr>
                <w:rFonts w:cs="Arial"/>
                <w:sz w:val="18"/>
                <w:szCs w:val="18"/>
              </w:rPr>
            </w:pPr>
          </w:p>
        </w:tc>
        <w:tc>
          <w:tcPr>
            <w:tcW w:w="3960" w:type="dxa"/>
            <w:vMerge/>
            <w:tcBorders>
              <w:left w:val="single" w:sz="6" w:space="0" w:color="auto"/>
              <w:right w:val="single" w:sz="6" w:space="0" w:color="auto"/>
            </w:tcBorders>
            <w:vAlign w:val="center"/>
          </w:tcPr>
          <w:p w14:paraId="30B66325" w14:textId="1E5365FA" w:rsidR="007D7CEB" w:rsidRPr="00FD516E" w:rsidRDefault="007D7CEB" w:rsidP="00242644">
            <w:pPr>
              <w:ind w:left="0"/>
              <w:jc w:val="center"/>
              <w:rPr>
                <w:rFonts w:cs="Arial"/>
                <w:sz w:val="18"/>
                <w:szCs w:val="18"/>
              </w:rPr>
            </w:pPr>
          </w:p>
        </w:tc>
        <w:tc>
          <w:tcPr>
            <w:tcW w:w="1365" w:type="dxa"/>
            <w:tcBorders>
              <w:top w:val="single" w:sz="6" w:space="0" w:color="auto"/>
              <w:left w:val="single" w:sz="6" w:space="0" w:color="auto"/>
              <w:bottom w:val="single" w:sz="6" w:space="0" w:color="auto"/>
            </w:tcBorders>
            <w:vAlign w:val="center"/>
          </w:tcPr>
          <w:p w14:paraId="60065CF4" w14:textId="7219D233" w:rsidR="007D7CEB" w:rsidRPr="00FD516E" w:rsidRDefault="00B8740E" w:rsidP="00242644">
            <w:pPr>
              <w:ind w:left="0" w:firstLine="0"/>
              <w:jc w:val="center"/>
              <w:rPr>
                <w:rFonts w:cs="Arial"/>
                <w:sz w:val="18"/>
                <w:szCs w:val="18"/>
              </w:rPr>
            </w:pPr>
            <w:r w:rsidRPr="00FD516E">
              <w:rPr>
                <w:rFonts w:cs="Arial"/>
                <w:sz w:val="18"/>
                <w:szCs w:val="18"/>
              </w:rPr>
              <w:t>0.42</w:t>
            </w:r>
          </w:p>
        </w:tc>
      </w:tr>
      <w:tr w:rsidR="007D7CEB" w:rsidRPr="00FD516E" w14:paraId="0DBEBA5D" w14:textId="77777777" w:rsidTr="00242644">
        <w:tblPrEx>
          <w:tblCellMar>
            <w:left w:w="120" w:type="dxa"/>
            <w:right w:w="120" w:type="dxa"/>
          </w:tblCellMar>
        </w:tblPrEx>
        <w:trPr>
          <w:cantSplit/>
          <w:trHeight w:val="255"/>
        </w:trPr>
        <w:tc>
          <w:tcPr>
            <w:tcW w:w="1155" w:type="dxa"/>
            <w:tcBorders>
              <w:top w:val="single" w:sz="6" w:space="0" w:color="auto"/>
              <w:bottom w:val="single" w:sz="6" w:space="0" w:color="auto"/>
              <w:right w:val="single" w:sz="6" w:space="0" w:color="auto"/>
            </w:tcBorders>
            <w:vAlign w:val="center"/>
          </w:tcPr>
          <w:p w14:paraId="0F25E26D" w14:textId="77777777" w:rsidR="007D7CEB" w:rsidRPr="00FD516E" w:rsidRDefault="007D7CEB" w:rsidP="00242644">
            <w:pPr>
              <w:ind w:left="0" w:firstLine="0"/>
              <w:jc w:val="center"/>
              <w:rPr>
                <w:rFonts w:cs="Arial"/>
                <w:sz w:val="18"/>
                <w:szCs w:val="18"/>
              </w:rPr>
            </w:pPr>
            <w:r w:rsidRPr="00FD516E">
              <w:rPr>
                <w:rFonts w:cs="Arial"/>
                <w:sz w:val="18"/>
                <w:szCs w:val="18"/>
              </w:rPr>
              <w:t>PM</w:t>
            </w:r>
          </w:p>
        </w:tc>
        <w:tc>
          <w:tcPr>
            <w:tcW w:w="990" w:type="dxa"/>
            <w:tcBorders>
              <w:top w:val="single" w:sz="6" w:space="0" w:color="auto"/>
              <w:left w:val="single" w:sz="6" w:space="0" w:color="auto"/>
              <w:bottom w:val="single" w:sz="6" w:space="0" w:color="auto"/>
              <w:right w:val="single" w:sz="6" w:space="0" w:color="auto"/>
            </w:tcBorders>
            <w:vAlign w:val="center"/>
          </w:tcPr>
          <w:p w14:paraId="3B6C1AFB" w14:textId="06167557" w:rsidR="007D7CEB" w:rsidRPr="00FD516E" w:rsidRDefault="007D7CEB" w:rsidP="00242644">
            <w:pPr>
              <w:ind w:left="0" w:firstLine="0"/>
              <w:jc w:val="center"/>
              <w:rPr>
                <w:rFonts w:cs="Arial"/>
                <w:sz w:val="18"/>
                <w:szCs w:val="18"/>
              </w:rPr>
            </w:pPr>
            <w:r w:rsidRPr="00FD516E">
              <w:rPr>
                <w:rFonts w:cs="Arial"/>
                <w:sz w:val="18"/>
                <w:szCs w:val="18"/>
              </w:rPr>
              <w:t>0.31</w:t>
            </w:r>
          </w:p>
        </w:tc>
        <w:tc>
          <w:tcPr>
            <w:tcW w:w="1170" w:type="dxa"/>
            <w:vMerge/>
            <w:tcBorders>
              <w:left w:val="single" w:sz="6" w:space="0" w:color="auto"/>
              <w:right w:val="single" w:sz="6" w:space="0" w:color="auto"/>
            </w:tcBorders>
            <w:vAlign w:val="center"/>
          </w:tcPr>
          <w:p w14:paraId="3D53EF8B" w14:textId="2CFD9367" w:rsidR="007D7CEB" w:rsidRPr="00FD516E" w:rsidRDefault="007D7CEB" w:rsidP="00242644">
            <w:pPr>
              <w:ind w:left="0"/>
              <w:jc w:val="center"/>
              <w:rPr>
                <w:rFonts w:cs="Arial"/>
                <w:sz w:val="18"/>
                <w:szCs w:val="18"/>
              </w:rPr>
            </w:pPr>
          </w:p>
        </w:tc>
        <w:tc>
          <w:tcPr>
            <w:tcW w:w="3960" w:type="dxa"/>
            <w:vMerge/>
            <w:tcBorders>
              <w:left w:val="single" w:sz="6" w:space="0" w:color="auto"/>
              <w:right w:val="single" w:sz="6" w:space="0" w:color="auto"/>
            </w:tcBorders>
            <w:vAlign w:val="center"/>
          </w:tcPr>
          <w:p w14:paraId="58197199" w14:textId="2549CB9F" w:rsidR="007D7CEB" w:rsidRPr="00FD516E" w:rsidRDefault="007D7CEB" w:rsidP="00242644">
            <w:pPr>
              <w:ind w:left="0"/>
              <w:jc w:val="center"/>
              <w:rPr>
                <w:rFonts w:cs="Arial"/>
                <w:sz w:val="18"/>
                <w:szCs w:val="18"/>
              </w:rPr>
            </w:pPr>
          </w:p>
        </w:tc>
        <w:tc>
          <w:tcPr>
            <w:tcW w:w="1365" w:type="dxa"/>
            <w:tcBorders>
              <w:top w:val="single" w:sz="6" w:space="0" w:color="auto"/>
              <w:left w:val="single" w:sz="6" w:space="0" w:color="auto"/>
              <w:bottom w:val="single" w:sz="6" w:space="0" w:color="auto"/>
            </w:tcBorders>
            <w:vAlign w:val="center"/>
          </w:tcPr>
          <w:p w14:paraId="6327ED12" w14:textId="7B516D46" w:rsidR="007D7CEB" w:rsidRPr="00FD516E" w:rsidRDefault="00B8740E" w:rsidP="00242644">
            <w:pPr>
              <w:ind w:left="0" w:firstLine="0"/>
              <w:jc w:val="center"/>
              <w:rPr>
                <w:rFonts w:cs="Arial"/>
                <w:sz w:val="18"/>
                <w:szCs w:val="18"/>
              </w:rPr>
            </w:pPr>
            <w:r w:rsidRPr="00FD516E">
              <w:rPr>
                <w:rFonts w:cs="Arial"/>
                <w:sz w:val="18"/>
                <w:szCs w:val="18"/>
              </w:rPr>
              <w:t>0.30</w:t>
            </w:r>
          </w:p>
        </w:tc>
      </w:tr>
      <w:tr w:rsidR="007D7CEB" w:rsidRPr="00FD516E" w14:paraId="3FE740F8" w14:textId="77777777" w:rsidTr="003D541E">
        <w:tblPrEx>
          <w:tblCellMar>
            <w:left w:w="120" w:type="dxa"/>
            <w:right w:w="120" w:type="dxa"/>
          </w:tblCellMar>
        </w:tblPrEx>
        <w:trPr>
          <w:cantSplit/>
          <w:trHeight w:val="255"/>
        </w:trPr>
        <w:tc>
          <w:tcPr>
            <w:tcW w:w="1155" w:type="dxa"/>
            <w:tcBorders>
              <w:top w:val="single" w:sz="6" w:space="0" w:color="auto"/>
              <w:bottom w:val="single" w:sz="6" w:space="0" w:color="auto"/>
              <w:right w:val="single" w:sz="6" w:space="0" w:color="auto"/>
            </w:tcBorders>
            <w:vAlign w:val="center"/>
          </w:tcPr>
          <w:p w14:paraId="690027B2" w14:textId="77777777" w:rsidR="007D7CEB" w:rsidRPr="00FD516E" w:rsidRDefault="007D7CEB" w:rsidP="00242644">
            <w:pPr>
              <w:ind w:left="0" w:firstLine="0"/>
              <w:jc w:val="center"/>
              <w:rPr>
                <w:rFonts w:cs="Arial"/>
                <w:sz w:val="18"/>
                <w:szCs w:val="18"/>
              </w:rPr>
            </w:pPr>
            <w:r w:rsidRPr="00FD516E">
              <w:rPr>
                <w:rFonts w:cs="Arial"/>
                <w:sz w:val="18"/>
                <w:szCs w:val="18"/>
              </w:rPr>
              <w:t>CO</w:t>
            </w:r>
          </w:p>
        </w:tc>
        <w:tc>
          <w:tcPr>
            <w:tcW w:w="990" w:type="dxa"/>
            <w:tcBorders>
              <w:top w:val="single" w:sz="6" w:space="0" w:color="auto"/>
              <w:left w:val="single" w:sz="6" w:space="0" w:color="auto"/>
              <w:bottom w:val="single" w:sz="6" w:space="0" w:color="auto"/>
              <w:right w:val="single" w:sz="6" w:space="0" w:color="auto"/>
            </w:tcBorders>
            <w:vAlign w:val="center"/>
          </w:tcPr>
          <w:p w14:paraId="45FFD46B" w14:textId="26A02E20" w:rsidR="007D7CEB" w:rsidRPr="00FD516E" w:rsidRDefault="007D7CEB" w:rsidP="00242644">
            <w:pPr>
              <w:ind w:left="0" w:firstLine="0"/>
              <w:jc w:val="center"/>
              <w:rPr>
                <w:rFonts w:cs="Arial"/>
                <w:sz w:val="18"/>
                <w:szCs w:val="18"/>
              </w:rPr>
            </w:pPr>
            <w:r w:rsidRPr="00FD516E">
              <w:rPr>
                <w:rFonts w:cs="Arial"/>
                <w:sz w:val="18"/>
                <w:szCs w:val="18"/>
              </w:rPr>
              <w:t>0.95</w:t>
            </w:r>
          </w:p>
        </w:tc>
        <w:tc>
          <w:tcPr>
            <w:tcW w:w="1170" w:type="dxa"/>
            <w:vMerge/>
            <w:tcBorders>
              <w:left w:val="single" w:sz="6" w:space="0" w:color="auto"/>
              <w:right w:val="single" w:sz="6" w:space="0" w:color="auto"/>
            </w:tcBorders>
            <w:vAlign w:val="center"/>
          </w:tcPr>
          <w:p w14:paraId="0284F746" w14:textId="103CF034" w:rsidR="007D7CEB" w:rsidRPr="00FD516E" w:rsidRDefault="007D7CEB" w:rsidP="00242644">
            <w:pPr>
              <w:ind w:left="0"/>
              <w:jc w:val="center"/>
              <w:rPr>
                <w:rFonts w:cs="Arial"/>
                <w:sz w:val="18"/>
                <w:szCs w:val="18"/>
              </w:rPr>
            </w:pPr>
          </w:p>
        </w:tc>
        <w:tc>
          <w:tcPr>
            <w:tcW w:w="3960" w:type="dxa"/>
            <w:vMerge/>
            <w:tcBorders>
              <w:left w:val="single" w:sz="6" w:space="0" w:color="auto"/>
              <w:right w:val="single" w:sz="6" w:space="0" w:color="auto"/>
            </w:tcBorders>
            <w:vAlign w:val="center"/>
          </w:tcPr>
          <w:p w14:paraId="420EE935" w14:textId="02CDDC87" w:rsidR="007D7CEB" w:rsidRPr="00FD516E" w:rsidRDefault="007D7CEB" w:rsidP="00242644">
            <w:pPr>
              <w:ind w:left="0" w:firstLine="0"/>
              <w:jc w:val="center"/>
              <w:rPr>
                <w:rFonts w:cs="Arial"/>
                <w:sz w:val="18"/>
                <w:szCs w:val="18"/>
              </w:rPr>
            </w:pPr>
          </w:p>
        </w:tc>
        <w:tc>
          <w:tcPr>
            <w:tcW w:w="1365" w:type="dxa"/>
            <w:tcBorders>
              <w:top w:val="single" w:sz="6" w:space="0" w:color="auto"/>
              <w:left w:val="single" w:sz="6" w:space="0" w:color="auto"/>
              <w:bottom w:val="single" w:sz="6" w:space="0" w:color="auto"/>
            </w:tcBorders>
            <w:vAlign w:val="center"/>
          </w:tcPr>
          <w:p w14:paraId="5115799C" w14:textId="22F782FA" w:rsidR="007D7CEB" w:rsidRPr="00FD516E" w:rsidRDefault="00B8740E" w:rsidP="00242644">
            <w:pPr>
              <w:ind w:left="0" w:firstLine="0"/>
              <w:jc w:val="center"/>
              <w:rPr>
                <w:rFonts w:cs="Arial"/>
                <w:sz w:val="18"/>
                <w:szCs w:val="18"/>
              </w:rPr>
            </w:pPr>
            <w:r w:rsidRPr="00FD516E">
              <w:rPr>
                <w:rFonts w:cs="Arial"/>
                <w:sz w:val="18"/>
                <w:szCs w:val="18"/>
              </w:rPr>
              <w:t>0.09</w:t>
            </w:r>
          </w:p>
        </w:tc>
      </w:tr>
      <w:tr w:rsidR="007D7CEB" w:rsidRPr="00FD516E" w14:paraId="58F30E69" w14:textId="77777777" w:rsidTr="003D541E">
        <w:tblPrEx>
          <w:tblCellMar>
            <w:left w:w="120" w:type="dxa"/>
            <w:right w:w="120" w:type="dxa"/>
          </w:tblCellMar>
        </w:tblPrEx>
        <w:trPr>
          <w:cantSplit/>
        </w:trPr>
        <w:tc>
          <w:tcPr>
            <w:tcW w:w="1155" w:type="dxa"/>
            <w:tcBorders>
              <w:top w:val="single" w:sz="6" w:space="0" w:color="auto"/>
              <w:bottom w:val="single" w:sz="6" w:space="0" w:color="auto"/>
              <w:right w:val="single" w:sz="6" w:space="0" w:color="auto"/>
            </w:tcBorders>
            <w:vAlign w:val="center"/>
          </w:tcPr>
          <w:p w14:paraId="25B44821" w14:textId="77777777" w:rsidR="007D7CEB" w:rsidRPr="00FD516E" w:rsidRDefault="007D7CEB" w:rsidP="00242644">
            <w:pPr>
              <w:ind w:left="0" w:firstLine="0"/>
              <w:jc w:val="center"/>
              <w:rPr>
                <w:rFonts w:cs="Arial"/>
                <w:sz w:val="18"/>
                <w:szCs w:val="18"/>
              </w:rPr>
            </w:pPr>
            <w:r w:rsidRPr="00FD516E">
              <w:rPr>
                <w:rFonts w:cs="Arial"/>
                <w:sz w:val="18"/>
                <w:szCs w:val="18"/>
              </w:rPr>
              <w:t>VOC</w:t>
            </w:r>
          </w:p>
        </w:tc>
        <w:tc>
          <w:tcPr>
            <w:tcW w:w="990" w:type="dxa"/>
            <w:tcBorders>
              <w:top w:val="single" w:sz="6" w:space="0" w:color="auto"/>
              <w:left w:val="single" w:sz="6" w:space="0" w:color="auto"/>
              <w:bottom w:val="single" w:sz="6" w:space="0" w:color="auto"/>
              <w:right w:val="single" w:sz="6" w:space="0" w:color="auto"/>
            </w:tcBorders>
            <w:vAlign w:val="center"/>
          </w:tcPr>
          <w:p w14:paraId="103FF242" w14:textId="4B64B3F3" w:rsidR="007D7CEB" w:rsidRPr="00FD516E" w:rsidRDefault="007D7CEB" w:rsidP="00242644">
            <w:pPr>
              <w:ind w:left="0" w:firstLine="0"/>
              <w:jc w:val="center"/>
              <w:rPr>
                <w:rFonts w:cs="Arial"/>
                <w:sz w:val="18"/>
                <w:szCs w:val="18"/>
              </w:rPr>
            </w:pPr>
            <w:r w:rsidRPr="00FD516E">
              <w:rPr>
                <w:rFonts w:cs="Arial"/>
                <w:sz w:val="18"/>
                <w:szCs w:val="18"/>
              </w:rPr>
              <w:t>0.36</w:t>
            </w:r>
          </w:p>
        </w:tc>
        <w:tc>
          <w:tcPr>
            <w:tcW w:w="1170" w:type="dxa"/>
            <w:vMerge/>
            <w:tcBorders>
              <w:left w:val="single" w:sz="6" w:space="0" w:color="auto"/>
              <w:right w:val="single" w:sz="6" w:space="0" w:color="auto"/>
            </w:tcBorders>
            <w:vAlign w:val="center"/>
          </w:tcPr>
          <w:p w14:paraId="003D8068" w14:textId="444A88D2" w:rsidR="007D7CEB" w:rsidRPr="00FD516E" w:rsidRDefault="007D7CEB" w:rsidP="00242644">
            <w:pPr>
              <w:ind w:left="0" w:firstLine="0"/>
              <w:jc w:val="center"/>
              <w:rPr>
                <w:rFonts w:cs="Arial"/>
                <w:sz w:val="18"/>
                <w:szCs w:val="18"/>
              </w:rPr>
            </w:pPr>
          </w:p>
        </w:tc>
        <w:tc>
          <w:tcPr>
            <w:tcW w:w="3960" w:type="dxa"/>
            <w:vMerge/>
            <w:tcBorders>
              <w:left w:val="single" w:sz="6" w:space="0" w:color="auto"/>
              <w:bottom w:val="single" w:sz="6" w:space="0" w:color="auto"/>
              <w:right w:val="single" w:sz="6" w:space="0" w:color="auto"/>
            </w:tcBorders>
            <w:vAlign w:val="center"/>
          </w:tcPr>
          <w:p w14:paraId="5273D29F" w14:textId="7E753840" w:rsidR="007D7CEB" w:rsidRPr="00FD516E" w:rsidRDefault="007D7CEB" w:rsidP="00242644">
            <w:pPr>
              <w:ind w:left="0" w:firstLine="0"/>
              <w:jc w:val="left"/>
              <w:rPr>
                <w:rFonts w:cs="Arial"/>
                <w:sz w:val="18"/>
                <w:szCs w:val="18"/>
              </w:rPr>
            </w:pPr>
          </w:p>
        </w:tc>
        <w:tc>
          <w:tcPr>
            <w:tcW w:w="1365" w:type="dxa"/>
            <w:tcBorders>
              <w:top w:val="single" w:sz="6" w:space="0" w:color="auto"/>
              <w:left w:val="single" w:sz="6" w:space="0" w:color="auto"/>
              <w:bottom w:val="single" w:sz="6" w:space="0" w:color="auto"/>
            </w:tcBorders>
            <w:vAlign w:val="center"/>
          </w:tcPr>
          <w:p w14:paraId="40640A7C" w14:textId="7DDA0FE3" w:rsidR="007D7CEB" w:rsidRPr="00FD516E" w:rsidRDefault="00B8740E" w:rsidP="00242644">
            <w:pPr>
              <w:ind w:left="0" w:firstLine="0"/>
              <w:jc w:val="center"/>
              <w:rPr>
                <w:rFonts w:cs="Arial"/>
                <w:sz w:val="18"/>
                <w:szCs w:val="18"/>
              </w:rPr>
            </w:pPr>
            <w:r w:rsidRPr="00FD516E">
              <w:rPr>
                <w:rFonts w:cs="Arial"/>
                <w:sz w:val="18"/>
                <w:szCs w:val="18"/>
              </w:rPr>
              <w:t>0.03</w:t>
            </w:r>
          </w:p>
        </w:tc>
      </w:tr>
      <w:tr w:rsidR="007D7CEB" w:rsidRPr="00FD516E" w14:paraId="13D0C336" w14:textId="77777777" w:rsidTr="00242644">
        <w:tblPrEx>
          <w:tblCellMar>
            <w:left w:w="120" w:type="dxa"/>
            <w:right w:w="120" w:type="dxa"/>
          </w:tblCellMar>
        </w:tblPrEx>
        <w:trPr>
          <w:cantSplit/>
        </w:trPr>
        <w:tc>
          <w:tcPr>
            <w:tcW w:w="1155" w:type="dxa"/>
            <w:tcBorders>
              <w:top w:val="single" w:sz="6" w:space="0" w:color="auto"/>
              <w:bottom w:val="double" w:sz="4" w:space="0" w:color="auto"/>
              <w:right w:val="single" w:sz="6" w:space="0" w:color="auto"/>
            </w:tcBorders>
            <w:vAlign w:val="center"/>
          </w:tcPr>
          <w:p w14:paraId="7F7CCA67" w14:textId="77777777" w:rsidR="007D7CEB" w:rsidRPr="00FD516E" w:rsidRDefault="007D7CEB" w:rsidP="00242644">
            <w:pPr>
              <w:ind w:left="0" w:firstLine="0"/>
              <w:jc w:val="center"/>
              <w:rPr>
                <w:rFonts w:cs="Arial"/>
                <w:sz w:val="18"/>
                <w:szCs w:val="18"/>
              </w:rPr>
            </w:pPr>
            <w:r w:rsidRPr="00FD516E">
              <w:rPr>
                <w:rFonts w:cs="Arial"/>
                <w:sz w:val="18"/>
                <w:szCs w:val="18"/>
              </w:rPr>
              <w:t>HAPs</w:t>
            </w:r>
          </w:p>
        </w:tc>
        <w:tc>
          <w:tcPr>
            <w:tcW w:w="990" w:type="dxa"/>
            <w:tcBorders>
              <w:top w:val="single" w:sz="6" w:space="0" w:color="auto"/>
              <w:left w:val="single" w:sz="6" w:space="0" w:color="auto"/>
              <w:bottom w:val="double" w:sz="4" w:space="0" w:color="auto"/>
              <w:right w:val="single" w:sz="6" w:space="0" w:color="auto"/>
            </w:tcBorders>
            <w:vAlign w:val="center"/>
          </w:tcPr>
          <w:p w14:paraId="716DBFB6" w14:textId="64AF4907" w:rsidR="007D7CEB" w:rsidRPr="00FD516E" w:rsidRDefault="007D7CEB" w:rsidP="00242644">
            <w:pPr>
              <w:ind w:left="0" w:firstLine="0"/>
              <w:jc w:val="center"/>
              <w:rPr>
                <w:rFonts w:cs="Arial"/>
                <w:sz w:val="18"/>
                <w:szCs w:val="18"/>
              </w:rPr>
            </w:pPr>
            <w:r w:rsidRPr="00FD516E">
              <w:rPr>
                <w:rFonts w:cs="Arial"/>
                <w:sz w:val="18"/>
                <w:szCs w:val="18"/>
              </w:rPr>
              <w:t>6.45E-03</w:t>
            </w:r>
          </w:p>
        </w:tc>
        <w:tc>
          <w:tcPr>
            <w:tcW w:w="1170" w:type="dxa"/>
            <w:vMerge/>
            <w:tcBorders>
              <w:left w:val="single" w:sz="6" w:space="0" w:color="auto"/>
              <w:bottom w:val="double" w:sz="4" w:space="0" w:color="auto"/>
              <w:right w:val="single" w:sz="6" w:space="0" w:color="auto"/>
            </w:tcBorders>
            <w:vAlign w:val="center"/>
          </w:tcPr>
          <w:p w14:paraId="1A609158" w14:textId="77777777" w:rsidR="007D7CEB" w:rsidRPr="00FD516E" w:rsidRDefault="007D7CEB" w:rsidP="00242644">
            <w:pPr>
              <w:ind w:left="0" w:firstLine="0"/>
              <w:jc w:val="center"/>
              <w:rPr>
                <w:rFonts w:cs="Arial"/>
                <w:sz w:val="18"/>
                <w:szCs w:val="18"/>
              </w:rPr>
            </w:pPr>
          </w:p>
        </w:tc>
        <w:tc>
          <w:tcPr>
            <w:tcW w:w="3960" w:type="dxa"/>
            <w:tcBorders>
              <w:top w:val="single" w:sz="6" w:space="0" w:color="auto"/>
              <w:left w:val="single" w:sz="6" w:space="0" w:color="auto"/>
              <w:bottom w:val="double" w:sz="4" w:space="0" w:color="auto"/>
              <w:right w:val="single" w:sz="6" w:space="0" w:color="auto"/>
            </w:tcBorders>
            <w:vAlign w:val="center"/>
          </w:tcPr>
          <w:p w14:paraId="05B4A9ED" w14:textId="49195394" w:rsidR="007D7CEB" w:rsidRPr="00FD516E" w:rsidRDefault="007D7CEB" w:rsidP="00B8740E">
            <w:pPr>
              <w:ind w:left="0" w:firstLine="0"/>
              <w:jc w:val="left"/>
              <w:rPr>
                <w:rFonts w:cs="Arial"/>
                <w:sz w:val="18"/>
                <w:szCs w:val="18"/>
              </w:rPr>
            </w:pPr>
            <w:r w:rsidRPr="00FD516E">
              <w:rPr>
                <w:rFonts w:cs="Arial"/>
                <w:sz w:val="18"/>
                <w:szCs w:val="18"/>
              </w:rPr>
              <w:t xml:space="preserve">AP-42, Chapter 3, Stationary Internal Combustion Sources, Section 3.3 </w:t>
            </w:r>
            <w:r w:rsidRPr="00FD516E">
              <w:rPr>
                <w:rFonts w:cs="Arial"/>
                <w:i/>
                <w:sz w:val="18"/>
                <w:szCs w:val="18"/>
              </w:rPr>
              <w:t>Stationary Internal Combustions Sources, Section 3.3 –Gasoline and Diesel Industrial Engines</w:t>
            </w:r>
            <w:r w:rsidRPr="00FD516E">
              <w:rPr>
                <w:rFonts w:cs="Arial"/>
                <w:sz w:val="18"/>
                <w:szCs w:val="18"/>
              </w:rPr>
              <w:t>, Table 3.</w:t>
            </w:r>
            <w:r w:rsidR="00B8740E" w:rsidRPr="00FD516E">
              <w:rPr>
                <w:rFonts w:cs="Arial"/>
                <w:sz w:val="18"/>
                <w:szCs w:val="18"/>
              </w:rPr>
              <w:t>3</w:t>
            </w:r>
            <w:r w:rsidRPr="00FD516E">
              <w:rPr>
                <w:rFonts w:cs="Arial"/>
                <w:sz w:val="18"/>
                <w:szCs w:val="18"/>
              </w:rPr>
              <w:t>-2 (10/1996)</w:t>
            </w:r>
          </w:p>
        </w:tc>
        <w:tc>
          <w:tcPr>
            <w:tcW w:w="1365" w:type="dxa"/>
            <w:tcBorders>
              <w:top w:val="single" w:sz="6" w:space="0" w:color="auto"/>
              <w:left w:val="single" w:sz="6" w:space="0" w:color="auto"/>
              <w:bottom w:val="double" w:sz="4" w:space="0" w:color="auto"/>
            </w:tcBorders>
            <w:vAlign w:val="center"/>
          </w:tcPr>
          <w:p w14:paraId="7EE78B1D" w14:textId="10C2F9D8" w:rsidR="007D7CEB" w:rsidRPr="00FD516E" w:rsidRDefault="00B8740E" w:rsidP="00242644">
            <w:pPr>
              <w:ind w:left="0" w:firstLine="0"/>
              <w:jc w:val="center"/>
              <w:rPr>
                <w:rFonts w:cs="Arial"/>
                <w:sz w:val="18"/>
                <w:szCs w:val="18"/>
              </w:rPr>
            </w:pPr>
            <w:r w:rsidRPr="00FD516E">
              <w:rPr>
                <w:rFonts w:cs="Arial"/>
                <w:sz w:val="18"/>
                <w:szCs w:val="18"/>
              </w:rPr>
              <w:t>0.001</w:t>
            </w:r>
          </w:p>
        </w:tc>
      </w:tr>
    </w:tbl>
    <w:p w14:paraId="206D82A6" w14:textId="77777777" w:rsidR="00B57941" w:rsidRPr="00FD516E" w:rsidRDefault="00B57941" w:rsidP="00C020B4">
      <w:pPr>
        <w:ind w:left="0" w:firstLine="0"/>
        <w:rPr>
          <w:sz w:val="18"/>
          <w:szCs w:val="18"/>
        </w:rPr>
      </w:pPr>
    </w:p>
    <w:p w14:paraId="2E63B87F" w14:textId="30DCC24F" w:rsidR="00123DB5" w:rsidRPr="00FD516E" w:rsidRDefault="00123DB5" w:rsidP="00123DB5">
      <w:pPr>
        <w:ind w:left="720" w:firstLine="0"/>
        <w:jc w:val="left"/>
        <w:rPr>
          <w:sz w:val="16"/>
          <w:szCs w:val="16"/>
        </w:rPr>
      </w:pPr>
      <w:r w:rsidRPr="00FD516E">
        <w:rPr>
          <w:szCs w:val="22"/>
          <w:vertAlign w:val="superscript"/>
        </w:rPr>
        <w:t>1</w:t>
      </w:r>
      <w:r w:rsidRPr="00FD516E">
        <w:rPr>
          <w:sz w:val="16"/>
          <w:szCs w:val="16"/>
        </w:rPr>
        <w:t xml:space="preserve"> S represents the weight % of sulfur in the oil.  For </w:t>
      </w:r>
      <w:r w:rsidR="000A0000" w:rsidRPr="00FD516E">
        <w:rPr>
          <w:sz w:val="16"/>
          <w:szCs w:val="16"/>
        </w:rPr>
        <w:t>example,</w:t>
      </w:r>
      <w:r w:rsidRPr="00FD516E">
        <w:rPr>
          <w:sz w:val="16"/>
          <w:szCs w:val="16"/>
        </w:rPr>
        <w:t xml:space="preserve"> if the fuel is 0.05% sulfur, then S=0.05  </w:t>
      </w:r>
    </w:p>
    <w:p w14:paraId="42A9B209" w14:textId="77777777" w:rsidR="00123DB5" w:rsidRPr="00FD516E" w:rsidRDefault="00123DB5" w:rsidP="00123DB5">
      <w:pPr>
        <w:ind w:left="720" w:firstLine="0"/>
        <w:jc w:val="left"/>
        <w:rPr>
          <w:sz w:val="16"/>
          <w:szCs w:val="16"/>
        </w:rPr>
      </w:pPr>
      <w:r w:rsidRPr="00FD516E">
        <w:rPr>
          <w:szCs w:val="22"/>
          <w:vertAlign w:val="superscript"/>
        </w:rPr>
        <w:t>2</w:t>
      </w:r>
      <w:r w:rsidRPr="00FD516E">
        <w:rPr>
          <w:sz w:val="16"/>
          <w:szCs w:val="16"/>
        </w:rPr>
        <w:t xml:space="preserve"> lb/MMBtu represents pounds of pollutant emitted per million British thermal units of heat input to the engine.   </w:t>
      </w:r>
    </w:p>
    <w:p w14:paraId="2439EBAE" w14:textId="77777777" w:rsidR="00B57941" w:rsidRPr="00FD516E" w:rsidRDefault="00B57941" w:rsidP="00C020B4">
      <w:pPr>
        <w:ind w:left="0" w:firstLine="0"/>
        <w:rPr>
          <w:szCs w:val="22"/>
        </w:rPr>
      </w:pPr>
    </w:p>
    <w:p w14:paraId="62949A0C" w14:textId="6507EB3C" w:rsidR="004F3541" w:rsidRPr="00FD516E" w:rsidRDefault="00BE2A19" w:rsidP="004F3541">
      <w:pPr>
        <w:ind w:left="720" w:firstLine="0"/>
        <w:rPr>
          <w:szCs w:val="22"/>
          <w:u w:val="single"/>
        </w:rPr>
      </w:pPr>
      <w:r w:rsidRPr="00FD516E">
        <w:rPr>
          <w:szCs w:val="22"/>
          <w:u w:val="single"/>
        </w:rPr>
        <w:t>Landfill</w:t>
      </w:r>
      <w:r w:rsidR="004F3541" w:rsidRPr="00FD516E">
        <w:rPr>
          <w:szCs w:val="22"/>
          <w:u w:val="single"/>
        </w:rPr>
        <w:t xml:space="preserve"> Operation – </w:t>
      </w:r>
      <w:r w:rsidR="00252B21" w:rsidRPr="00FD516E">
        <w:rPr>
          <w:szCs w:val="22"/>
          <w:u w:val="single"/>
        </w:rPr>
        <w:t>N</w:t>
      </w:r>
      <w:r w:rsidRPr="00FD516E">
        <w:rPr>
          <w:szCs w:val="22"/>
          <w:u w:val="single"/>
        </w:rPr>
        <w:t>on-Road Engine Emissions</w:t>
      </w:r>
    </w:p>
    <w:p w14:paraId="79E69B1E" w14:textId="77777777" w:rsidR="004F3541" w:rsidRPr="00FD516E" w:rsidRDefault="004F3541" w:rsidP="004F3541">
      <w:pPr>
        <w:ind w:left="0" w:firstLine="0"/>
        <w:rPr>
          <w:szCs w:val="22"/>
        </w:rPr>
      </w:pPr>
    </w:p>
    <w:p w14:paraId="2F989DA8" w14:textId="5621FC61" w:rsidR="0079210A" w:rsidRPr="00FD516E" w:rsidRDefault="00252B21" w:rsidP="004F3541">
      <w:pPr>
        <w:ind w:left="720" w:firstLine="0"/>
        <w:rPr>
          <w:szCs w:val="22"/>
        </w:rPr>
      </w:pPr>
      <w:r w:rsidRPr="00FD516E">
        <w:rPr>
          <w:szCs w:val="22"/>
        </w:rPr>
        <w:t xml:space="preserve">A variety of non-road equipment is used at the Landfill Operation for internal haulage and placement and compaction of waste and cover materials.  NEWSVT has indicated that estimated </w:t>
      </w:r>
      <w:r w:rsidR="00FF7A00" w:rsidRPr="00FD516E">
        <w:rPr>
          <w:szCs w:val="22"/>
        </w:rPr>
        <w:t xml:space="preserve">combustion of ULSD in this equipment from </w:t>
      </w:r>
      <w:r w:rsidR="000D0539" w:rsidRPr="00FD516E">
        <w:rPr>
          <w:szCs w:val="22"/>
        </w:rPr>
        <w:t>September 2016</w:t>
      </w:r>
      <w:r w:rsidR="00FF7A00" w:rsidRPr="00FD516E">
        <w:rPr>
          <w:szCs w:val="22"/>
        </w:rPr>
        <w:t xml:space="preserve"> to </w:t>
      </w:r>
      <w:r w:rsidR="00DF21C2" w:rsidRPr="00FD516E">
        <w:rPr>
          <w:szCs w:val="22"/>
        </w:rPr>
        <w:t xml:space="preserve">August 17 </w:t>
      </w:r>
      <w:r w:rsidR="00FF7A00" w:rsidRPr="00FD516E">
        <w:rPr>
          <w:szCs w:val="22"/>
        </w:rPr>
        <w:t xml:space="preserve">was approximately </w:t>
      </w:r>
      <w:r w:rsidR="00DF21C2" w:rsidRPr="00FD516E">
        <w:rPr>
          <w:szCs w:val="22"/>
        </w:rPr>
        <w:t>127,437</w:t>
      </w:r>
      <w:r w:rsidR="00FF7A00" w:rsidRPr="00FD516E">
        <w:rPr>
          <w:szCs w:val="22"/>
        </w:rPr>
        <w:t xml:space="preserve"> gallons.  Based on this usage, the extrapolated ULSD usage over a 12-month period, would be approximately </w:t>
      </w:r>
      <w:r w:rsidR="00DF21C2" w:rsidRPr="00FD516E">
        <w:rPr>
          <w:szCs w:val="22"/>
        </w:rPr>
        <w:t>140,000</w:t>
      </w:r>
      <w:r w:rsidR="00FF7A00" w:rsidRPr="00FD516E">
        <w:rPr>
          <w:szCs w:val="22"/>
        </w:rPr>
        <w:t xml:space="preserve"> gallons.  The aggregate rated horsepower of the non-road equipment fleet at the Facility has been estimated by the Agency as 5,</w:t>
      </w:r>
      <w:r w:rsidR="00DF21C2" w:rsidRPr="00FD516E">
        <w:rPr>
          <w:szCs w:val="22"/>
        </w:rPr>
        <w:t>246</w:t>
      </w:r>
      <w:r w:rsidR="00FF7A00" w:rsidRPr="00FD516E">
        <w:rPr>
          <w:szCs w:val="22"/>
        </w:rPr>
        <w:t xml:space="preserve"> bhp.  </w:t>
      </w:r>
      <w:r w:rsidR="00DF21C2" w:rsidRPr="00FD516E">
        <w:rPr>
          <w:szCs w:val="22"/>
        </w:rPr>
        <w:t>Based on year of manufacture, e</w:t>
      </w:r>
      <w:r w:rsidR="00FF7A00" w:rsidRPr="00FD516E">
        <w:rPr>
          <w:szCs w:val="22"/>
        </w:rPr>
        <w:t xml:space="preserve">missions certifications on the non-road engines at the Facility </w:t>
      </w:r>
      <w:r w:rsidR="00DF21C2" w:rsidRPr="00FD516E">
        <w:rPr>
          <w:szCs w:val="22"/>
        </w:rPr>
        <w:t>range</w:t>
      </w:r>
      <w:r w:rsidR="00FF7A00" w:rsidRPr="00FD516E">
        <w:rPr>
          <w:szCs w:val="22"/>
        </w:rPr>
        <w:t xml:space="preserve"> from uncertified engines to Tier 4 engines. </w:t>
      </w:r>
      <w:r w:rsidR="00FE37EB">
        <w:rPr>
          <w:szCs w:val="22"/>
        </w:rPr>
        <w:t xml:space="preserve"> Equipment used during construction operations would not be considered as they are a temporary emissions source and not part of the equipment used during typical Facility operations.  Equipment registered for on-highway usage, regardless of the owner/operator of this equipment, would not be considered as part of the equipment associated with the Facility.  </w:t>
      </w:r>
      <w:r w:rsidR="00FF7A00" w:rsidRPr="00FD516E">
        <w:rPr>
          <w:szCs w:val="22"/>
        </w:rPr>
        <w:t xml:space="preserve"> </w:t>
      </w:r>
    </w:p>
    <w:p w14:paraId="7C7AD992" w14:textId="77777777" w:rsidR="0079210A" w:rsidRPr="00FD516E" w:rsidRDefault="0079210A" w:rsidP="0079210A">
      <w:pPr>
        <w:ind w:left="0" w:firstLine="0"/>
        <w:rPr>
          <w:szCs w:val="22"/>
        </w:rPr>
      </w:pPr>
    </w:p>
    <w:p w14:paraId="1ED9C928" w14:textId="59926D3C" w:rsidR="004F3541" w:rsidRPr="00FD516E" w:rsidRDefault="0079210A" w:rsidP="004F3541">
      <w:pPr>
        <w:ind w:left="720" w:firstLine="0"/>
        <w:rPr>
          <w:szCs w:val="22"/>
        </w:rPr>
      </w:pPr>
      <w:r w:rsidRPr="00FD516E">
        <w:rPr>
          <w:szCs w:val="22"/>
        </w:rPr>
        <w:t>Allowable e</w:t>
      </w:r>
      <w:r w:rsidR="004F3541" w:rsidRPr="00FD516E">
        <w:rPr>
          <w:szCs w:val="22"/>
        </w:rPr>
        <w:t xml:space="preserve">missions for the </w:t>
      </w:r>
      <w:r w:rsidRPr="00FD516E">
        <w:rPr>
          <w:szCs w:val="22"/>
        </w:rPr>
        <w:t>non-road equipment fleet</w:t>
      </w:r>
      <w:r w:rsidR="00FE37EB">
        <w:rPr>
          <w:szCs w:val="22"/>
        </w:rPr>
        <w:t xml:space="preserve"> used for operations at the landfill</w:t>
      </w:r>
      <w:r w:rsidRPr="00FD516E">
        <w:rPr>
          <w:szCs w:val="22"/>
        </w:rPr>
        <w:t xml:space="preserve"> were </w:t>
      </w:r>
      <w:r w:rsidR="00AE33C0" w:rsidRPr="00FD516E">
        <w:rPr>
          <w:szCs w:val="22"/>
        </w:rPr>
        <w:t xml:space="preserve">estimated by assuming the emissions for the non-road </w:t>
      </w:r>
      <w:r w:rsidR="00DF21C2" w:rsidRPr="00FD516E">
        <w:rPr>
          <w:szCs w:val="22"/>
        </w:rPr>
        <w:t xml:space="preserve">fleet, on average, would </w:t>
      </w:r>
      <w:r w:rsidR="00AE33C0" w:rsidRPr="00FD516E">
        <w:rPr>
          <w:szCs w:val="22"/>
        </w:rPr>
        <w:t>correspond to Tier 2 emission standards</w:t>
      </w:r>
      <w:r w:rsidR="00DF21C2" w:rsidRPr="00FD516E">
        <w:rPr>
          <w:szCs w:val="22"/>
        </w:rPr>
        <w:t xml:space="preserve">.  A </w:t>
      </w:r>
      <w:r w:rsidR="00AE33C0" w:rsidRPr="00FD516E">
        <w:rPr>
          <w:szCs w:val="22"/>
        </w:rPr>
        <w:t xml:space="preserve">fuel consumption limit for the non-road equipment </w:t>
      </w:r>
      <w:r w:rsidR="00DF21C2" w:rsidRPr="00FD516E">
        <w:rPr>
          <w:szCs w:val="22"/>
        </w:rPr>
        <w:t xml:space="preserve">was established at </w:t>
      </w:r>
      <w:r w:rsidR="001E66FF">
        <w:rPr>
          <w:szCs w:val="22"/>
        </w:rPr>
        <w:t>220</w:t>
      </w:r>
      <w:r w:rsidR="00AE33C0" w:rsidRPr="00FD516E">
        <w:rPr>
          <w:szCs w:val="22"/>
        </w:rPr>
        <w:t>,000 gallons per year</w:t>
      </w:r>
      <w:r w:rsidR="00DF21C2" w:rsidRPr="00FD516E">
        <w:rPr>
          <w:szCs w:val="22"/>
        </w:rPr>
        <w:t xml:space="preserve">, which is </w:t>
      </w:r>
      <w:r w:rsidR="00BE6645">
        <w:rPr>
          <w:szCs w:val="22"/>
        </w:rPr>
        <w:t xml:space="preserve">approximately </w:t>
      </w:r>
      <w:r w:rsidR="00DF21C2" w:rsidRPr="00FD516E">
        <w:rPr>
          <w:szCs w:val="22"/>
        </w:rPr>
        <w:t>1</w:t>
      </w:r>
      <w:r w:rsidR="00BE6645">
        <w:rPr>
          <w:szCs w:val="22"/>
        </w:rPr>
        <w:t>60</w:t>
      </w:r>
      <w:r w:rsidR="00DF21C2" w:rsidRPr="00FD516E">
        <w:rPr>
          <w:szCs w:val="22"/>
        </w:rPr>
        <w:t xml:space="preserve"> percent of the current fuel usage</w:t>
      </w:r>
      <w:r w:rsidR="00AE33C0" w:rsidRPr="00FD516E">
        <w:rPr>
          <w:szCs w:val="22"/>
        </w:rPr>
        <w:t xml:space="preserve">.  </w:t>
      </w:r>
      <w:r w:rsidR="0022132A" w:rsidRPr="00FD516E">
        <w:rPr>
          <w:szCs w:val="22"/>
        </w:rPr>
        <w:t xml:space="preserve">These engines were assumed to be fueled with </w:t>
      </w:r>
      <w:r w:rsidR="00B81A23" w:rsidRPr="00FD516E">
        <w:rPr>
          <w:szCs w:val="22"/>
        </w:rPr>
        <w:t>ultra-low sulfur diesel fuel</w:t>
      </w:r>
      <w:r w:rsidR="0022132A" w:rsidRPr="00FD516E">
        <w:rPr>
          <w:szCs w:val="22"/>
        </w:rPr>
        <w:t xml:space="preserve"> containing a maximum of 0.</w:t>
      </w:r>
      <w:r w:rsidR="00B81A23" w:rsidRPr="00FD516E">
        <w:rPr>
          <w:szCs w:val="22"/>
        </w:rPr>
        <w:t>0</w:t>
      </w:r>
      <w:r w:rsidR="0022132A" w:rsidRPr="00FD516E">
        <w:rPr>
          <w:szCs w:val="22"/>
        </w:rPr>
        <w:t>0</w:t>
      </w:r>
      <w:r w:rsidR="00B81A23" w:rsidRPr="00FD516E">
        <w:rPr>
          <w:szCs w:val="22"/>
        </w:rPr>
        <w:t>1</w:t>
      </w:r>
      <w:r w:rsidR="0022132A" w:rsidRPr="00FD516E">
        <w:rPr>
          <w:szCs w:val="22"/>
        </w:rPr>
        <w:t>5% by weight sulfur with a heating value of 1</w:t>
      </w:r>
      <w:r w:rsidR="00006B97">
        <w:rPr>
          <w:szCs w:val="22"/>
        </w:rPr>
        <w:t>40</w:t>
      </w:r>
      <w:r w:rsidR="0022132A" w:rsidRPr="00FD516E">
        <w:rPr>
          <w:szCs w:val="22"/>
        </w:rPr>
        <w:t xml:space="preserve">,000 Btu per gallon.  </w:t>
      </w:r>
      <w:r w:rsidR="00DF21C2" w:rsidRPr="00FD516E">
        <w:rPr>
          <w:szCs w:val="22"/>
        </w:rPr>
        <w:t xml:space="preserve">The engine efficiency for the </w:t>
      </w:r>
      <w:r w:rsidR="00B81A23" w:rsidRPr="00FD516E">
        <w:rPr>
          <w:szCs w:val="22"/>
        </w:rPr>
        <w:t xml:space="preserve">non-road </w:t>
      </w:r>
      <w:r w:rsidR="0022132A" w:rsidRPr="00FD516E">
        <w:rPr>
          <w:szCs w:val="22"/>
        </w:rPr>
        <w:t>engine</w:t>
      </w:r>
      <w:r w:rsidR="00B81A23" w:rsidRPr="00FD516E">
        <w:rPr>
          <w:szCs w:val="22"/>
        </w:rPr>
        <w:t xml:space="preserve"> fleet</w:t>
      </w:r>
      <w:r w:rsidR="0022132A" w:rsidRPr="00FD516E">
        <w:rPr>
          <w:szCs w:val="22"/>
        </w:rPr>
        <w:t xml:space="preserve"> was </w:t>
      </w:r>
      <w:r w:rsidR="00DF21C2" w:rsidRPr="00FD516E">
        <w:rPr>
          <w:szCs w:val="22"/>
        </w:rPr>
        <w:t>assumed to be 35.3%, which results in a total fuel consumption rate for the entire non-road fleet of 270</w:t>
      </w:r>
      <w:r w:rsidR="0022132A" w:rsidRPr="00FD516E">
        <w:rPr>
          <w:szCs w:val="22"/>
        </w:rPr>
        <w:t xml:space="preserve"> gallons per hour</w:t>
      </w:r>
      <w:r w:rsidR="00DF21C2" w:rsidRPr="00FD516E">
        <w:rPr>
          <w:szCs w:val="22"/>
        </w:rPr>
        <w:t xml:space="preserve">.  </w:t>
      </w:r>
    </w:p>
    <w:p w14:paraId="78897855" w14:textId="6D823AEE" w:rsidR="00BE2A19" w:rsidRPr="00FD516E" w:rsidRDefault="00BE2A19" w:rsidP="00BE2A19">
      <w:pPr>
        <w:ind w:left="0" w:firstLine="0"/>
        <w:rPr>
          <w:szCs w:val="22"/>
        </w:rPr>
      </w:pPr>
    </w:p>
    <w:p w14:paraId="381BBC4A" w14:textId="3B478A19" w:rsidR="00BE2A19" w:rsidRPr="00FD516E" w:rsidRDefault="00BE2A19" w:rsidP="004F3541">
      <w:pPr>
        <w:ind w:left="720" w:firstLine="0"/>
        <w:rPr>
          <w:szCs w:val="22"/>
        </w:rPr>
      </w:pPr>
      <w:r w:rsidRPr="00FD516E">
        <w:rPr>
          <w:szCs w:val="22"/>
        </w:rPr>
        <w:lastRenderedPageBreak/>
        <w:t>These emissions</w:t>
      </w:r>
      <w:r w:rsidR="00011E8E" w:rsidRPr="00FD516E">
        <w:rPr>
          <w:szCs w:val="22"/>
        </w:rPr>
        <w:t xml:space="preserve"> from non-road engines</w:t>
      </w:r>
      <w:r w:rsidRPr="00FD516E">
        <w:rPr>
          <w:szCs w:val="22"/>
        </w:rPr>
        <w:t xml:space="preserve"> have always been present at the </w:t>
      </w:r>
      <w:r w:rsidR="001E66FF" w:rsidRPr="00FD516E">
        <w:rPr>
          <w:szCs w:val="22"/>
        </w:rPr>
        <w:t>Facility but</w:t>
      </w:r>
      <w:r w:rsidRPr="00FD516E">
        <w:rPr>
          <w:szCs w:val="22"/>
        </w:rPr>
        <w:t xml:space="preserve"> have not been accounted for in previous estimates of allowable emissions.  Accordingly, these emissions have been included in the allowable emissions for the </w:t>
      </w:r>
      <w:r w:rsidR="001E66FF" w:rsidRPr="00FD516E">
        <w:rPr>
          <w:szCs w:val="22"/>
        </w:rPr>
        <w:t>Facility but</w:t>
      </w:r>
      <w:r w:rsidRPr="00FD516E">
        <w:rPr>
          <w:szCs w:val="22"/>
        </w:rPr>
        <w:t xml:space="preserve"> </w:t>
      </w:r>
      <w:r w:rsidR="00C91B76" w:rsidRPr="00FD516E">
        <w:rPr>
          <w:szCs w:val="22"/>
        </w:rPr>
        <w:t xml:space="preserve">are not considered a modification.  </w:t>
      </w:r>
    </w:p>
    <w:p w14:paraId="42EB0826" w14:textId="5612B7A3" w:rsidR="00853258" w:rsidRPr="00FD516E" w:rsidRDefault="00853258" w:rsidP="00C020B4">
      <w:pPr>
        <w:ind w:left="0" w:firstLine="0"/>
        <w:rPr>
          <w:szCs w:val="22"/>
        </w:rPr>
      </w:pPr>
    </w:p>
    <w:tbl>
      <w:tblPr>
        <w:tblW w:w="8640"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55"/>
        <w:gridCol w:w="990"/>
        <w:gridCol w:w="1170"/>
        <w:gridCol w:w="3960"/>
        <w:gridCol w:w="1365"/>
      </w:tblGrid>
      <w:tr w:rsidR="004F3541" w:rsidRPr="009F5E32" w14:paraId="37FC7C23" w14:textId="77777777" w:rsidTr="00FE37EB">
        <w:trPr>
          <w:cantSplit/>
          <w:trHeight w:val="738"/>
          <w:tblHeader/>
        </w:trPr>
        <w:tc>
          <w:tcPr>
            <w:tcW w:w="8640" w:type="dxa"/>
            <w:gridSpan w:val="5"/>
            <w:tcBorders>
              <w:top w:val="double" w:sz="4" w:space="0" w:color="auto"/>
              <w:bottom w:val="single" w:sz="4" w:space="0" w:color="auto"/>
            </w:tcBorders>
            <w:shd w:val="clear" w:color="auto" w:fill="F2F2F2" w:themeFill="background1" w:themeFillShade="F2"/>
            <w:tcMar>
              <w:top w:w="29" w:type="dxa"/>
              <w:bottom w:w="29" w:type="dxa"/>
            </w:tcMar>
            <w:vAlign w:val="center"/>
          </w:tcPr>
          <w:p w14:paraId="6F31E7EF" w14:textId="1F3CF5E7" w:rsidR="004F3541" w:rsidRPr="00FD516E" w:rsidRDefault="004F3541" w:rsidP="00C91B76">
            <w:pPr>
              <w:jc w:val="center"/>
              <w:rPr>
                <w:rFonts w:cs="Arial"/>
                <w:b/>
                <w:bCs/>
                <w:color w:val="000000"/>
                <w:szCs w:val="22"/>
              </w:rPr>
            </w:pPr>
            <w:r w:rsidRPr="00FD516E">
              <w:rPr>
                <w:rFonts w:cs="Arial"/>
                <w:b/>
                <w:bCs/>
                <w:color w:val="000000"/>
                <w:szCs w:val="22"/>
              </w:rPr>
              <w:t>Table 3-</w:t>
            </w:r>
            <w:r w:rsidR="00252B21" w:rsidRPr="00FD516E">
              <w:rPr>
                <w:rFonts w:cs="Arial"/>
                <w:b/>
                <w:bCs/>
                <w:color w:val="000000"/>
                <w:szCs w:val="22"/>
              </w:rPr>
              <w:t>6</w:t>
            </w:r>
            <w:r w:rsidRPr="00FD516E">
              <w:rPr>
                <w:rFonts w:cs="Arial"/>
                <w:b/>
                <w:bCs/>
                <w:color w:val="000000"/>
                <w:szCs w:val="22"/>
              </w:rPr>
              <w:t xml:space="preserve">– Estimated Emissions from </w:t>
            </w:r>
            <w:r w:rsidR="00252B21" w:rsidRPr="00FD516E">
              <w:rPr>
                <w:rFonts w:cs="Arial"/>
                <w:b/>
                <w:bCs/>
                <w:color w:val="000000"/>
                <w:szCs w:val="22"/>
              </w:rPr>
              <w:t>Non-Road Engines at Landfill Operation</w:t>
            </w:r>
          </w:p>
          <w:p w14:paraId="689BB1AF" w14:textId="0A126BB5" w:rsidR="004F3541" w:rsidRPr="00FD516E" w:rsidRDefault="001E66FF" w:rsidP="00C91B76">
            <w:pPr>
              <w:jc w:val="center"/>
              <w:rPr>
                <w:rFonts w:cs="Arial"/>
                <w:b/>
                <w:bCs/>
                <w:sz w:val="20"/>
              </w:rPr>
            </w:pPr>
            <w:r>
              <w:rPr>
                <w:rFonts w:cs="Arial"/>
                <w:b/>
                <w:bCs/>
                <w:color w:val="000000"/>
                <w:sz w:val="20"/>
              </w:rPr>
              <w:t>220</w:t>
            </w:r>
            <w:r w:rsidR="00252B21" w:rsidRPr="00FD516E">
              <w:rPr>
                <w:rFonts w:cs="Arial"/>
                <w:b/>
                <w:bCs/>
                <w:color w:val="000000"/>
                <w:sz w:val="20"/>
              </w:rPr>
              <w:t>,000 gallons/year ULSD combustion</w:t>
            </w:r>
            <w:r w:rsidR="004F3541" w:rsidRPr="00FD516E">
              <w:rPr>
                <w:rFonts w:cs="Arial"/>
                <w:b/>
                <w:bCs/>
                <w:color w:val="000000"/>
                <w:szCs w:val="22"/>
              </w:rPr>
              <w:t>-</w:t>
            </w:r>
          </w:p>
        </w:tc>
      </w:tr>
      <w:tr w:rsidR="004F3541" w:rsidRPr="009F5E32" w14:paraId="0CEE37E1" w14:textId="77777777" w:rsidTr="00FE37EB">
        <w:tblPrEx>
          <w:tblCellMar>
            <w:left w:w="120" w:type="dxa"/>
            <w:right w:w="120" w:type="dxa"/>
          </w:tblCellMar>
        </w:tblPrEx>
        <w:trPr>
          <w:cantSplit/>
          <w:trHeight w:val="420"/>
        </w:trPr>
        <w:tc>
          <w:tcPr>
            <w:tcW w:w="1155" w:type="dxa"/>
            <w:vMerge w:val="restart"/>
            <w:tcBorders>
              <w:top w:val="single" w:sz="4" w:space="0" w:color="auto"/>
              <w:bottom w:val="single" w:sz="6" w:space="0" w:color="auto"/>
              <w:right w:val="single" w:sz="6" w:space="0" w:color="auto"/>
            </w:tcBorders>
            <w:shd w:val="clear" w:color="auto" w:fill="F2F2F2" w:themeFill="background1" w:themeFillShade="F2"/>
            <w:vAlign w:val="center"/>
          </w:tcPr>
          <w:p w14:paraId="6C332454" w14:textId="77777777" w:rsidR="004F3541" w:rsidRPr="00FD516E" w:rsidRDefault="004F3541" w:rsidP="00C91B76">
            <w:pPr>
              <w:ind w:left="0" w:firstLine="0"/>
              <w:jc w:val="center"/>
              <w:rPr>
                <w:rFonts w:cs="Arial"/>
                <w:sz w:val="18"/>
                <w:szCs w:val="18"/>
              </w:rPr>
            </w:pPr>
            <w:r w:rsidRPr="00FD516E">
              <w:rPr>
                <w:rFonts w:cs="Arial"/>
                <w:sz w:val="18"/>
                <w:szCs w:val="18"/>
              </w:rPr>
              <w:t>Pollutant</w:t>
            </w:r>
          </w:p>
        </w:tc>
        <w:tc>
          <w:tcPr>
            <w:tcW w:w="6120"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01058DA6" w14:textId="77777777" w:rsidR="004F3541" w:rsidRPr="00FD516E" w:rsidRDefault="004F3541" w:rsidP="00C91B76">
            <w:pPr>
              <w:ind w:left="0" w:firstLine="0"/>
              <w:jc w:val="center"/>
              <w:rPr>
                <w:rFonts w:cs="Arial"/>
                <w:sz w:val="18"/>
                <w:szCs w:val="18"/>
              </w:rPr>
            </w:pPr>
            <w:r w:rsidRPr="00FD516E">
              <w:rPr>
                <w:rFonts w:cs="Arial"/>
                <w:sz w:val="18"/>
                <w:szCs w:val="18"/>
              </w:rPr>
              <w:t>Emission Factor</w:t>
            </w:r>
          </w:p>
        </w:tc>
        <w:tc>
          <w:tcPr>
            <w:tcW w:w="1365" w:type="dxa"/>
            <w:vMerge w:val="restart"/>
            <w:tcBorders>
              <w:top w:val="single" w:sz="4" w:space="0" w:color="auto"/>
              <w:left w:val="single" w:sz="6" w:space="0" w:color="auto"/>
            </w:tcBorders>
            <w:shd w:val="clear" w:color="auto" w:fill="F2F2F2" w:themeFill="background1" w:themeFillShade="F2"/>
            <w:vAlign w:val="center"/>
          </w:tcPr>
          <w:p w14:paraId="4D17D8C5" w14:textId="77777777" w:rsidR="004F3541" w:rsidRPr="00FD516E" w:rsidRDefault="004F3541" w:rsidP="00C91B76">
            <w:pPr>
              <w:ind w:left="0" w:firstLine="0"/>
              <w:jc w:val="center"/>
              <w:rPr>
                <w:rFonts w:cs="Arial"/>
                <w:sz w:val="18"/>
                <w:szCs w:val="18"/>
              </w:rPr>
            </w:pPr>
            <w:r w:rsidRPr="00FD516E">
              <w:rPr>
                <w:rFonts w:cs="Arial"/>
                <w:sz w:val="18"/>
                <w:szCs w:val="18"/>
              </w:rPr>
              <w:t>Allowable Emissions</w:t>
            </w:r>
          </w:p>
          <w:p w14:paraId="26E3D1A4" w14:textId="77777777" w:rsidR="004F3541" w:rsidRPr="00FD516E" w:rsidRDefault="004F3541" w:rsidP="00C91B76">
            <w:pPr>
              <w:ind w:left="0" w:firstLine="0"/>
              <w:jc w:val="center"/>
              <w:rPr>
                <w:rFonts w:cs="Arial"/>
                <w:sz w:val="18"/>
                <w:szCs w:val="18"/>
              </w:rPr>
            </w:pPr>
            <w:r w:rsidRPr="00FD516E">
              <w:rPr>
                <w:rFonts w:cs="Arial"/>
                <w:sz w:val="18"/>
                <w:szCs w:val="18"/>
              </w:rPr>
              <w:t>tons per year</w:t>
            </w:r>
          </w:p>
        </w:tc>
      </w:tr>
      <w:tr w:rsidR="004F3541" w:rsidRPr="009F5E32" w14:paraId="20102F62" w14:textId="77777777" w:rsidTr="00FE37EB">
        <w:tblPrEx>
          <w:tblCellMar>
            <w:left w:w="120" w:type="dxa"/>
            <w:right w:w="120" w:type="dxa"/>
          </w:tblCellMar>
        </w:tblPrEx>
        <w:trPr>
          <w:cantSplit/>
          <w:trHeight w:val="408"/>
        </w:trPr>
        <w:tc>
          <w:tcPr>
            <w:tcW w:w="1155" w:type="dxa"/>
            <w:vMerge/>
            <w:tcBorders>
              <w:top w:val="single" w:sz="6" w:space="0" w:color="auto"/>
              <w:bottom w:val="double" w:sz="4" w:space="0" w:color="auto"/>
              <w:right w:val="single" w:sz="6" w:space="0" w:color="auto"/>
            </w:tcBorders>
          </w:tcPr>
          <w:p w14:paraId="29E2682A" w14:textId="77777777" w:rsidR="004F3541" w:rsidRPr="002E7460" w:rsidRDefault="004F3541" w:rsidP="00C91B76">
            <w:pPr>
              <w:ind w:left="0" w:firstLine="0"/>
              <w:rPr>
                <w:rFonts w:cs="Arial"/>
                <w:sz w:val="18"/>
                <w:szCs w:val="18"/>
              </w:rPr>
            </w:pPr>
          </w:p>
        </w:tc>
        <w:tc>
          <w:tcPr>
            <w:tcW w:w="99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6DC2DA4A" w14:textId="77777777" w:rsidR="004F3541" w:rsidRPr="002E7460" w:rsidRDefault="004F3541" w:rsidP="00C91B76">
            <w:pPr>
              <w:ind w:left="0" w:firstLine="0"/>
              <w:jc w:val="center"/>
              <w:rPr>
                <w:rFonts w:cs="Arial"/>
                <w:sz w:val="18"/>
                <w:szCs w:val="18"/>
              </w:rPr>
            </w:pPr>
            <w:r w:rsidRPr="002E7460">
              <w:rPr>
                <w:rFonts w:cs="Arial"/>
                <w:sz w:val="18"/>
                <w:szCs w:val="18"/>
              </w:rPr>
              <w:t>Factor</w:t>
            </w:r>
          </w:p>
        </w:tc>
        <w:tc>
          <w:tcPr>
            <w:tcW w:w="117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673D2A36" w14:textId="77777777" w:rsidR="004F3541" w:rsidRPr="002E7460" w:rsidRDefault="004F3541" w:rsidP="00C91B76">
            <w:pPr>
              <w:ind w:left="0" w:firstLine="0"/>
              <w:jc w:val="center"/>
              <w:rPr>
                <w:rFonts w:cs="Arial"/>
                <w:sz w:val="18"/>
                <w:szCs w:val="18"/>
                <w:vertAlign w:val="superscript"/>
              </w:rPr>
            </w:pPr>
            <w:r w:rsidRPr="002E7460">
              <w:rPr>
                <w:rFonts w:cs="Arial"/>
                <w:sz w:val="18"/>
                <w:szCs w:val="18"/>
              </w:rPr>
              <w:t>Units</w:t>
            </w:r>
          </w:p>
        </w:tc>
        <w:tc>
          <w:tcPr>
            <w:tcW w:w="3960" w:type="dxa"/>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30895806" w14:textId="77777777" w:rsidR="004F3541" w:rsidRPr="002E7460" w:rsidRDefault="004F3541" w:rsidP="00C91B76">
            <w:pPr>
              <w:ind w:left="0" w:firstLine="0"/>
              <w:jc w:val="center"/>
              <w:rPr>
                <w:rFonts w:cs="Arial"/>
                <w:sz w:val="18"/>
                <w:szCs w:val="18"/>
              </w:rPr>
            </w:pPr>
            <w:r w:rsidRPr="002E7460">
              <w:rPr>
                <w:rFonts w:cs="Arial"/>
                <w:sz w:val="18"/>
                <w:szCs w:val="18"/>
              </w:rPr>
              <w:t>Source</w:t>
            </w:r>
          </w:p>
        </w:tc>
        <w:tc>
          <w:tcPr>
            <w:tcW w:w="1365" w:type="dxa"/>
            <w:vMerge/>
            <w:tcBorders>
              <w:left w:val="single" w:sz="6" w:space="0" w:color="auto"/>
              <w:bottom w:val="double" w:sz="4" w:space="0" w:color="auto"/>
            </w:tcBorders>
            <w:vAlign w:val="center"/>
          </w:tcPr>
          <w:p w14:paraId="2002A211" w14:textId="77777777" w:rsidR="004F3541" w:rsidRPr="002E7460" w:rsidRDefault="004F3541" w:rsidP="00C91B76">
            <w:pPr>
              <w:ind w:left="0" w:firstLine="0"/>
              <w:jc w:val="center"/>
              <w:rPr>
                <w:rFonts w:cs="Arial"/>
                <w:sz w:val="18"/>
                <w:szCs w:val="18"/>
              </w:rPr>
            </w:pPr>
          </w:p>
        </w:tc>
      </w:tr>
      <w:tr w:rsidR="004F3541" w:rsidRPr="009F5E32" w14:paraId="3781E659" w14:textId="77777777" w:rsidTr="0083426D">
        <w:tblPrEx>
          <w:tblCellMar>
            <w:left w:w="120" w:type="dxa"/>
            <w:right w:w="120" w:type="dxa"/>
          </w:tblCellMar>
        </w:tblPrEx>
        <w:trPr>
          <w:cantSplit/>
          <w:trHeight w:val="1158"/>
        </w:trPr>
        <w:tc>
          <w:tcPr>
            <w:tcW w:w="1155" w:type="dxa"/>
            <w:tcBorders>
              <w:top w:val="double" w:sz="4" w:space="0" w:color="auto"/>
              <w:bottom w:val="single" w:sz="6" w:space="0" w:color="auto"/>
              <w:right w:val="single" w:sz="6" w:space="0" w:color="auto"/>
            </w:tcBorders>
            <w:vAlign w:val="center"/>
          </w:tcPr>
          <w:p w14:paraId="27F687D6" w14:textId="77777777" w:rsidR="004F3541" w:rsidRPr="00FD516E" w:rsidRDefault="004F3541" w:rsidP="00C91B76">
            <w:pPr>
              <w:ind w:left="0" w:firstLine="0"/>
              <w:jc w:val="center"/>
              <w:rPr>
                <w:rFonts w:cs="Arial"/>
                <w:sz w:val="18"/>
                <w:szCs w:val="18"/>
              </w:rPr>
            </w:pPr>
            <w:r w:rsidRPr="00FD516E">
              <w:rPr>
                <w:rFonts w:cs="Arial"/>
                <w:sz w:val="18"/>
                <w:szCs w:val="18"/>
              </w:rPr>
              <w:t>SO</w:t>
            </w:r>
            <w:r w:rsidRPr="00FD516E">
              <w:rPr>
                <w:rFonts w:cs="Arial"/>
                <w:sz w:val="18"/>
                <w:szCs w:val="18"/>
                <w:vertAlign w:val="subscript"/>
              </w:rPr>
              <w:t>2</w:t>
            </w:r>
          </w:p>
        </w:tc>
        <w:tc>
          <w:tcPr>
            <w:tcW w:w="990" w:type="dxa"/>
            <w:tcBorders>
              <w:top w:val="double" w:sz="4" w:space="0" w:color="auto"/>
              <w:left w:val="single" w:sz="6" w:space="0" w:color="auto"/>
              <w:bottom w:val="single" w:sz="6" w:space="0" w:color="auto"/>
              <w:right w:val="single" w:sz="6" w:space="0" w:color="auto"/>
            </w:tcBorders>
            <w:vAlign w:val="center"/>
          </w:tcPr>
          <w:p w14:paraId="37C5F04A" w14:textId="77777777" w:rsidR="004F3541" w:rsidRPr="00FD516E" w:rsidRDefault="004F3541" w:rsidP="00C91B76">
            <w:pPr>
              <w:ind w:left="0" w:firstLine="0"/>
              <w:jc w:val="center"/>
              <w:rPr>
                <w:rFonts w:cs="Arial"/>
                <w:sz w:val="18"/>
                <w:szCs w:val="18"/>
              </w:rPr>
            </w:pPr>
            <w:r w:rsidRPr="00FD516E">
              <w:rPr>
                <w:rFonts w:cs="Arial"/>
                <w:sz w:val="18"/>
                <w:szCs w:val="18"/>
              </w:rPr>
              <w:t>1.01S</w:t>
            </w:r>
            <w:r w:rsidRPr="00FD516E">
              <w:rPr>
                <w:rFonts w:cs="Arial"/>
                <w:szCs w:val="22"/>
                <w:vertAlign w:val="superscript"/>
              </w:rPr>
              <w:t>1</w:t>
            </w:r>
          </w:p>
        </w:tc>
        <w:tc>
          <w:tcPr>
            <w:tcW w:w="1170" w:type="dxa"/>
            <w:tcBorders>
              <w:top w:val="double" w:sz="4" w:space="0" w:color="auto"/>
              <w:left w:val="single" w:sz="6" w:space="0" w:color="auto"/>
              <w:bottom w:val="single" w:sz="4" w:space="0" w:color="auto"/>
              <w:right w:val="single" w:sz="6" w:space="0" w:color="auto"/>
            </w:tcBorders>
            <w:vAlign w:val="center"/>
          </w:tcPr>
          <w:p w14:paraId="3FA00EAA" w14:textId="77777777" w:rsidR="004F3541" w:rsidRPr="00FD516E" w:rsidRDefault="004F3541" w:rsidP="00C91B76">
            <w:pPr>
              <w:ind w:left="0" w:firstLine="0"/>
              <w:jc w:val="center"/>
              <w:rPr>
                <w:rFonts w:cs="Arial"/>
                <w:sz w:val="18"/>
                <w:szCs w:val="18"/>
              </w:rPr>
            </w:pPr>
            <w:r w:rsidRPr="00FD516E">
              <w:rPr>
                <w:rFonts w:cs="Arial"/>
                <w:sz w:val="18"/>
                <w:szCs w:val="18"/>
              </w:rPr>
              <w:t>lb/MMBtu</w:t>
            </w:r>
            <w:r w:rsidRPr="00FD516E">
              <w:rPr>
                <w:rFonts w:cs="Arial"/>
                <w:szCs w:val="22"/>
                <w:vertAlign w:val="superscript"/>
              </w:rPr>
              <w:t>2</w:t>
            </w:r>
          </w:p>
        </w:tc>
        <w:tc>
          <w:tcPr>
            <w:tcW w:w="3960" w:type="dxa"/>
            <w:tcBorders>
              <w:top w:val="double" w:sz="4" w:space="0" w:color="auto"/>
              <w:left w:val="single" w:sz="6" w:space="0" w:color="auto"/>
              <w:bottom w:val="single" w:sz="4" w:space="0" w:color="auto"/>
              <w:right w:val="single" w:sz="6" w:space="0" w:color="auto"/>
            </w:tcBorders>
            <w:vAlign w:val="center"/>
          </w:tcPr>
          <w:p w14:paraId="7A5F6A0B" w14:textId="77777777" w:rsidR="004F3541" w:rsidRPr="00FD516E" w:rsidRDefault="004F3541" w:rsidP="00C91B76">
            <w:pPr>
              <w:ind w:left="0" w:firstLine="0"/>
              <w:jc w:val="left"/>
              <w:rPr>
                <w:rFonts w:cs="Arial"/>
                <w:sz w:val="18"/>
                <w:szCs w:val="18"/>
              </w:rPr>
            </w:pPr>
            <w:r w:rsidRPr="00FD516E">
              <w:rPr>
                <w:rFonts w:cs="Arial"/>
                <w:sz w:val="18"/>
                <w:szCs w:val="18"/>
              </w:rPr>
              <w:t xml:space="preserve">AP-42, Chapter 3, Stationary Internal Combustion Sources, Section 3.3 </w:t>
            </w:r>
            <w:r w:rsidRPr="00FD516E">
              <w:rPr>
                <w:rFonts w:cs="Arial"/>
                <w:i/>
                <w:sz w:val="18"/>
                <w:szCs w:val="18"/>
              </w:rPr>
              <w:t>Stationary Internal Combustions Sources, Section 3.3 –Gasoline and Diesel Industrial Engines</w:t>
            </w:r>
            <w:r w:rsidRPr="00FD516E">
              <w:rPr>
                <w:rFonts w:cs="Arial"/>
                <w:sz w:val="18"/>
                <w:szCs w:val="18"/>
              </w:rPr>
              <w:t xml:space="preserve"> Table 3.3-1 (10/1996)</w:t>
            </w:r>
          </w:p>
        </w:tc>
        <w:tc>
          <w:tcPr>
            <w:tcW w:w="1365" w:type="dxa"/>
            <w:tcBorders>
              <w:top w:val="double" w:sz="4" w:space="0" w:color="auto"/>
              <w:left w:val="single" w:sz="6" w:space="0" w:color="auto"/>
              <w:bottom w:val="single" w:sz="4" w:space="0" w:color="auto"/>
            </w:tcBorders>
            <w:vAlign w:val="center"/>
          </w:tcPr>
          <w:p w14:paraId="3974237B" w14:textId="20CBE10D" w:rsidR="004F3541" w:rsidRPr="00FD516E" w:rsidRDefault="000544A8" w:rsidP="00C91B76">
            <w:pPr>
              <w:ind w:left="0" w:firstLine="0"/>
              <w:jc w:val="center"/>
              <w:rPr>
                <w:rFonts w:cs="Arial"/>
                <w:sz w:val="18"/>
                <w:szCs w:val="18"/>
              </w:rPr>
            </w:pPr>
            <w:r w:rsidRPr="00FD516E">
              <w:rPr>
                <w:rFonts w:cs="Arial"/>
                <w:sz w:val="18"/>
                <w:szCs w:val="18"/>
              </w:rPr>
              <w:t>0.02</w:t>
            </w:r>
          </w:p>
        </w:tc>
      </w:tr>
      <w:tr w:rsidR="00986BBF" w:rsidRPr="009F5E32" w14:paraId="3483A86F" w14:textId="77777777" w:rsidTr="0069783F">
        <w:tblPrEx>
          <w:tblCellMar>
            <w:left w:w="120" w:type="dxa"/>
            <w:right w:w="120" w:type="dxa"/>
          </w:tblCellMar>
        </w:tblPrEx>
        <w:trPr>
          <w:cantSplit/>
          <w:trHeight w:val="345"/>
        </w:trPr>
        <w:tc>
          <w:tcPr>
            <w:tcW w:w="1155" w:type="dxa"/>
            <w:tcBorders>
              <w:top w:val="single" w:sz="6" w:space="0" w:color="auto"/>
              <w:bottom w:val="single" w:sz="6" w:space="0" w:color="auto"/>
              <w:right w:val="single" w:sz="6" w:space="0" w:color="auto"/>
            </w:tcBorders>
            <w:vAlign w:val="center"/>
          </w:tcPr>
          <w:p w14:paraId="0D6EB4CF" w14:textId="77777777" w:rsidR="00986BBF" w:rsidRPr="00FD516E" w:rsidRDefault="00986BBF" w:rsidP="00C91B76">
            <w:pPr>
              <w:ind w:left="0" w:firstLine="0"/>
              <w:jc w:val="center"/>
              <w:rPr>
                <w:rFonts w:cs="Arial"/>
                <w:sz w:val="18"/>
                <w:szCs w:val="18"/>
              </w:rPr>
            </w:pPr>
            <w:r w:rsidRPr="00FD516E">
              <w:rPr>
                <w:rFonts w:cs="Arial"/>
                <w:sz w:val="18"/>
                <w:szCs w:val="18"/>
              </w:rPr>
              <w:t>NO</w:t>
            </w:r>
            <w:r w:rsidRPr="00FD516E">
              <w:rPr>
                <w:rFonts w:cs="Arial"/>
                <w:sz w:val="18"/>
                <w:szCs w:val="18"/>
                <w:vertAlign w:val="subscript"/>
              </w:rPr>
              <w:t>x</w:t>
            </w:r>
          </w:p>
        </w:tc>
        <w:tc>
          <w:tcPr>
            <w:tcW w:w="990" w:type="dxa"/>
            <w:tcBorders>
              <w:top w:val="single" w:sz="6" w:space="0" w:color="auto"/>
              <w:left w:val="single" w:sz="6" w:space="0" w:color="auto"/>
              <w:bottom w:val="single" w:sz="6" w:space="0" w:color="auto"/>
              <w:right w:val="single" w:sz="6" w:space="0" w:color="auto"/>
            </w:tcBorders>
            <w:vAlign w:val="center"/>
          </w:tcPr>
          <w:p w14:paraId="6B1B1FD2" w14:textId="6A4D5AC8" w:rsidR="00986BBF" w:rsidRPr="00FD516E" w:rsidRDefault="00986BBF" w:rsidP="00C91B76">
            <w:pPr>
              <w:ind w:left="0" w:firstLine="0"/>
              <w:jc w:val="center"/>
              <w:rPr>
                <w:rFonts w:cs="Arial"/>
                <w:sz w:val="18"/>
                <w:szCs w:val="18"/>
              </w:rPr>
            </w:pPr>
            <w:r w:rsidRPr="00FD516E">
              <w:rPr>
                <w:rFonts w:cs="Arial"/>
                <w:sz w:val="18"/>
                <w:szCs w:val="18"/>
              </w:rPr>
              <w:t>4.8</w:t>
            </w:r>
          </w:p>
        </w:tc>
        <w:tc>
          <w:tcPr>
            <w:tcW w:w="1170" w:type="dxa"/>
            <w:vMerge w:val="restart"/>
            <w:tcBorders>
              <w:top w:val="single" w:sz="4" w:space="0" w:color="auto"/>
              <w:left w:val="single" w:sz="6" w:space="0" w:color="auto"/>
              <w:right w:val="single" w:sz="6" w:space="0" w:color="auto"/>
            </w:tcBorders>
            <w:vAlign w:val="center"/>
          </w:tcPr>
          <w:p w14:paraId="0AA0A517" w14:textId="415CDC55" w:rsidR="00986BBF" w:rsidRPr="00FD516E" w:rsidRDefault="00986BBF" w:rsidP="00986BBF">
            <w:pPr>
              <w:ind w:left="0" w:firstLine="0"/>
              <w:jc w:val="center"/>
              <w:rPr>
                <w:rFonts w:cs="Arial"/>
                <w:sz w:val="18"/>
                <w:szCs w:val="18"/>
              </w:rPr>
            </w:pPr>
            <w:r w:rsidRPr="00FD516E">
              <w:rPr>
                <w:rFonts w:cs="Arial"/>
                <w:sz w:val="18"/>
                <w:szCs w:val="18"/>
              </w:rPr>
              <w:t xml:space="preserve">g/bhp-hr </w:t>
            </w:r>
            <w:r w:rsidRPr="00FD516E">
              <w:rPr>
                <w:rFonts w:cs="Arial"/>
                <w:sz w:val="20"/>
                <w:vertAlign w:val="superscript"/>
              </w:rPr>
              <w:t>3</w:t>
            </w:r>
          </w:p>
        </w:tc>
        <w:tc>
          <w:tcPr>
            <w:tcW w:w="3960" w:type="dxa"/>
            <w:vMerge w:val="restart"/>
            <w:tcBorders>
              <w:top w:val="single" w:sz="4" w:space="0" w:color="auto"/>
              <w:left w:val="single" w:sz="6" w:space="0" w:color="auto"/>
              <w:right w:val="single" w:sz="6" w:space="0" w:color="auto"/>
            </w:tcBorders>
            <w:vAlign w:val="center"/>
          </w:tcPr>
          <w:p w14:paraId="4FEA291D" w14:textId="74F990DC" w:rsidR="00986BBF" w:rsidRPr="00FD516E" w:rsidRDefault="0069783F" w:rsidP="0069783F">
            <w:pPr>
              <w:ind w:left="0" w:firstLine="0"/>
              <w:jc w:val="left"/>
              <w:rPr>
                <w:rFonts w:cs="Arial"/>
                <w:sz w:val="18"/>
                <w:szCs w:val="18"/>
              </w:rPr>
            </w:pPr>
            <w:r w:rsidRPr="00FD516E">
              <w:rPr>
                <w:rFonts w:cs="Arial"/>
                <w:sz w:val="18"/>
                <w:szCs w:val="18"/>
                <w:lang w:val="en"/>
              </w:rPr>
              <w:t>40 40 CFR Part 89, Subpart B, Section.112 - Oxides of nitrogen, carbon monoxide, hydrocarbon, and particulate matter exhaust emission standards</w:t>
            </w:r>
          </w:p>
        </w:tc>
        <w:tc>
          <w:tcPr>
            <w:tcW w:w="1365" w:type="dxa"/>
            <w:tcBorders>
              <w:top w:val="single" w:sz="4" w:space="0" w:color="auto"/>
              <w:left w:val="single" w:sz="6" w:space="0" w:color="auto"/>
              <w:bottom w:val="single" w:sz="6" w:space="0" w:color="auto"/>
            </w:tcBorders>
            <w:vAlign w:val="center"/>
          </w:tcPr>
          <w:p w14:paraId="65381B7E" w14:textId="3B4824A2" w:rsidR="00986BBF" w:rsidRPr="00FD516E" w:rsidRDefault="00006B97" w:rsidP="00C91B76">
            <w:pPr>
              <w:ind w:left="0" w:firstLine="0"/>
              <w:jc w:val="center"/>
              <w:rPr>
                <w:rFonts w:cs="Arial"/>
                <w:sz w:val="18"/>
                <w:szCs w:val="18"/>
              </w:rPr>
            </w:pPr>
            <w:r>
              <w:rPr>
                <w:rFonts w:cs="Arial"/>
                <w:sz w:val="18"/>
                <w:szCs w:val="18"/>
              </w:rPr>
              <w:t>22.62</w:t>
            </w:r>
          </w:p>
        </w:tc>
      </w:tr>
      <w:tr w:rsidR="00986BBF" w:rsidRPr="009F5E32" w14:paraId="271EDF0E" w14:textId="77777777" w:rsidTr="00C91B76">
        <w:tblPrEx>
          <w:tblCellMar>
            <w:left w:w="120" w:type="dxa"/>
            <w:right w:w="120" w:type="dxa"/>
          </w:tblCellMar>
        </w:tblPrEx>
        <w:trPr>
          <w:cantSplit/>
          <w:trHeight w:val="255"/>
        </w:trPr>
        <w:tc>
          <w:tcPr>
            <w:tcW w:w="1155" w:type="dxa"/>
            <w:tcBorders>
              <w:top w:val="single" w:sz="6" w:space="0" w:color="auto"/>
              <w:bottom w:val="single" w:sz="6" w:space="0" w:color="auto"/>
              <w:right w:val="single" w:sz="6" w:space="0" w:color="auto"/>
            </w:tcBorders>
            <w:vAlign w:val="center"/>
          </w:tcPr>
          <w:p w14:paraId="39E1873C" w14:textId="77777777" w:rsidR="00986BBF" w:rsidRPr="00FD516E" w:rsidRDefault="00986BBF" w:rsidP="00C91B76">
            <w:pPr>
              <w:ind w:left="0" w:firstLine="0"/>
              <w:jc w:val="center"/>
              <w:rPr>
                <w:rFonts w:cs="Arial"/>
                <w:sz w:val="18"/>
                <w:szCs w:val="18"/>
              </w:rPr>
            </w:pPr>
            <w:r w:rsidRPr="00FD516E">
              <w:rPr>
                <w:rFonts w:cs="Arial"/>
                <w:sz w:val="18"/>
                <w:szCs w:val="18"/>
              </w:rPr>
              <w:t>PM</w:t>
            </w:r>
          </w:p>
        </w:tc>
        <w:tc>
          <w:tcPr>
            <w:tcW w:w="990" w:type="dxa"/>
            <w:tcBorders>
              <w:top w:val="single" w:sz="6" w:space="0" w:color="auto"/>
              <w:left w:val="single" w:sz="6" w:space="0" w:color="auto"/>
              <w:bottom w:val="single" w:sz="6" w:space="0" w:color="auto"/>
              <w:right w:val="single" w:sz="6" w:space="0" w:color="auto"/>
            </w:tcBorders>
            <w:vAlign w:val="center"/>
          </w:tcPr>
          <w:p w14:paraId="1C0DEBA1" w14:textId="11CF811E" w:rsidR="00986BBF" w:rsidRPr="00FD516E" w:rsidRDefault="001E66FF" w:rsidP="00C91B76">
            <w:pPr>
              <w:ind w:left="0" w:firstLine="0"/>
              <w:jc w:val="center"/>
              <w:rPr>
                <w:rFonts w:cs="Arial"/>
                <w:sz w:val="18"/>
                <w:szCs w:val="18"/>
              </w:rPr>
            </w:pPr>
            <w:r>
              <w:rPr>
                <w:rFonts w:cs="Arial"/>
                <w:sz w:val="18"/>
                <w:szCs w:val="18"/>
              </w:rPr>
              <w:t>0.15</w:t>
            </w:r>
          </w:p>
        </w:tc>
        <w:tc>
          <w:tcPr>
            <w:tcW w:w="1170" w:type="dxa"/>
            <w:vMerge/>
            <w:tcBorders>
              <w:left w:val="single" w:sz="6" w:space="0" w:color="auto"/>
              <w:right w:val="single" w:sz="6" w:space="0" w:color="auto"/>
            </w:tcBorders>
            <w:vAlign w:val="center"/>
          </w:tcPr>
          <w:p w14:paraId="5D15495E" w14:textId="77777777" w:rsidR="00986BBF" w:rsidRPr="00FD516E" w:rsidRDefault="00986BBF" w:rsidP="00C91B76">
            <w:pPr>
              <w:ind w:left="0"/>
              <w:jc w:val="center"/>
              <w:rPr>
                <w:rFonts w:cs="Arial"/>
                <w:sz w:val="18"/>
                <w:szCs w:val="18"/>
              </w:rPr>
            </w:pPr>
          </w:p>
        </w:tc>
        <w:tc>
          <w:tcPr>
            <w:tcW w:w="3960" w:type="dxa"/>
            <w:vMerge/>
            <w:tcBorders>
              <w:left w:val="single" w:sz="6" w:space="0" w:color="auto"/>
              <w:right w:val="single" w:sz="6" w:space="0" w:color="auto"/>
            </w:tcBorders>
            <w:vAlign w:val="center"/>
          </w:tcPr>
          <w:p w14:paraId="14AC78BD" w14:textId="77777777" w:rsidR="00986BBF" w:rsidRPr="00FD516E" w:rsidRDefault="00986BBF" w:rsidP="00C91B76">
            <w:pPr>
              <w:ind w:left="0"/>
              <w:jc w:val="center"/>
              <w:rPr>
                <w:rFonts w:cs="Arial"/>
                <w:sz w:val="18"/>
                <w:szCs w:val="18"/>
              </w:rPr>
            </w:pPr>
          </w:p>
        </w:tc>
        <w:tc>
          <w:tcPr>
            <w:tcW w:w="1365" w:type="dxa"/>
            <w:tcBorders>
              <w:top w:val="single" w:sz="6" w:space="0" w:color="auto"/>
              <w:left w:val="single" w:sz="6" w:space="0" w:color="auto"/>
              <w:bottom w:val="single" w:sz="6" w:space="0" w:color="auto"/>
            </w:tcBorders>
            <w:vAlign w:val="center"/>
          </w:tcPr>
          <w:p w14:paraId="37A0991E" w14:textId="18FEF9D1" w:rsidR="00986BBF" w:rsidRPr="00FD516E" w:rsidRDefault="00006B97" w:rsidP="00C91B76">
            <w:pPr>
              <w:ind w:left="0" w:firstLine="0"/>
              <w:jc w:val="center"/>
              <w:rPr>
                <w:rFonts w:cs="Arial"/>
                <w:sz w:val="18"/>
                <w:szCs w:val="18"/>
              </w:rPr>
            </w:pPr>
            <w:r>
              <w:rPr>
                <w:rFonts w:cs="Arial"/>
                <w:sz w:val="18"/>
                <w:szCs w:val="18"/>
              </w:rPr>
              <w:t>0.71</w:t>
            </w:r>
          </w:p>
        </w:tc>
      </w:tr>
      <w:tr w:rsidR="00986BBF" w:rsidRPr="009F5E32" w14:paraId="024FB16F" w14:textId="77777777" w:rsidTr="00C91B76">
        <w:tblPrEx>
          <w:tblCellMar>
            <w:left w:w="120" w:type="dxa"/>
            <w:right w:w="120" w:type="dxa"/>
          </w:tblCellMar>
        </w:tblPrEx>
        <w:trPr>
          <w:cantSplit/>
          <w:trHeight w:val="255"/>
        </w:trPr>
        <w:tc>
          <w:tcPr>
            <w:tcW w:w="1155" w:type="dxa"/>
            <w:tcBorders>
              <w:top w:val="single" w:sz="6" w:space="0" w:color="auto"/>
              <w:bottom w:val="single" w:sz="6" w:space="0" w:color="auto"/>
              <w:right w:val="single" w:sz="6" w:space="0" w:color="auto"/>
            </w:tcBorders>
            <w:vAlign w:val="center"/>
          </w:tcPr>
          <w:p w14:paraId="665FD6AE" w14:textId="77777777" w:rsidR="00986BBF" w:rsidRPr="00FD516E" w:rsidRDefault="00986BBF" w:rsidP="00C91B76">
            <w:pPr>
              <w:ind w:left="0" w:firstLine="0"/>
              <w:jc w:val="center"/>
              <w:rPr>
                <w:rFonts w:cs="Arial"/>
                <w:sz w:val="18"/>
                <w:szCs w:val="18"/>
              </w:rPr>
            </w:pPr>
            <w:r w:rsidRPr="00FD516E">
              <w:rPr>
                <w:rFonts w:cs="Arial"/>
                <w:sz w:val="18"/>
                <w:szCs w:val="18"/>
              </w:rPr>
              <w:t>CO</w:t>
            </w:r>
          </w:p>
        </w:tc>
        <w:tc>
          <w:tcPr>
            <w:tcW w:w="990" w:type="dxa"/>
            <w:tcBorders>
              <w:top w:val="single" w:sz="6" w:space="0" w:color="auto"/>
              <w:left w:val="single" w:sz="6" w:space="0" w:color="auto"/>
              <w:bottom w:val="single" w:sz="6" w:space="0" w:color="auto"/>
              <w:right w:val="single" w:sz="6" w:space="0" w:color="auto"/>
            </w:tcBorders>
            <w:vAlign w:val="center"/>
          </w:tcPr>
          <w:p w14:paraId="05BBACB4" w14:textId="5D0A5F21" w:rsidR="00986BBF" w:rsidRPr="00FD516E" w:rsidRDefault="001E66FF" w:rsidP="00C91B76">
            <w:pPr>
              <w:ind w:left="0" w:firstLine="0"/>
              <w:jc w:val="center"/>
              <w:rPr>
                <w:rFonts w:cs="Arial"/>
                <w:sz w:val="18"/>
                <w:szCs w:val="18"/>
              </w:rPr>
            </w:pPr>
            <w:r>
              <w:rPr>
                <w:rFonts w:cs="Arial"/>
                <w:sz w:val="18"/>
                <w:szCs w:val="18"/>
              </w:rPr>
              <w:t>2.6</w:t>
            </w:r>
          </w:p>
        </w:tc>
        <w:tc>
          <w:tcPr>
            <w:tcW w:w="1170" w:type="dxa"/>
            <w:vMerge/>
            <w:tcBorders>
              <w:left w:val="single" w:sz="6" w:space="0" w:color="auto"/>
              <w:right w:val="single" w:sz="6" w:space="0" w:color="auto"/>
            </w:tcBorders>
            <w:vAlign w:val="center"/>
          </w:tcPr>
          <w:p w14:paraId="0BDD208E" w14:textId="77777777" w:rsidR="00986BBF" w:rsidRPr="00FD516E" w:rsidRDefault="00986BBF" w:rsidP="00C91B76">
            <w:pPr>
              <w:ind w:left="0"/>
              <w:jc w:val="center"/>
              <w:rPr>
                <w:rFonts w:cs="Arial"/>
                <w:sz w:val="18"/>
                <w:szCs w:val="18"/>
              </w:rPr>
            </w:pPr>
          </w:p>
        </w:tc>
        <w:tc>
          <w:tcPr>
            <w:tcW w:w="3960" w:type="dxa"/>
            <w:vMerge/>
            <w:tcBorders>
              <w:left w:val="single" w:sz="6" w:space="0" w:color="auto"/>
              <w:right w:val="single" w:sz="6" w:space="0" w:color="auto"/>
            </w:tcBorders>
            <w:vAlign w:val="center"/>
          </w:tcPr>
          <w:p w14:paraId="3D368CAD" w14:textId="77777777" w:rsidR="00986BBF" w:rsidRPr="00FD516E" w:rsidRDefault="00986BBF" w:rsidP="00C91B76">
            <w:pPr>
              <w:ind w:left="0" w:firstLine="0"/>
              <w:jc w:val="center"/>
              <w:rPr>
                <w:rFonts w:cs="Arial"/>
                <w:sz w:val="18"/>
                <w:szCs w:val="18"/>
              </w:rPr>
            </w:pPr>
          </w:p>
        </w:tc>
        <w:tc>
          <w:tcPr>
            <w:tcW w:w="1365" w:type="dxa"/>
            <w:tcBorders>
              <w:top w:val="single" w:sz="6" w:space="0" w:color="auto"/>
              <w:left w:val="single" w:sz="6" w:space="0" w:color="auto"/>
              <w:bottom w:val="single" w:sz="6" w:space="0" w:color="auto"/>
            </w:tcBorders>
            <w:vAlign w:val="center"/>
          </w:tcPr>
          <w:p w14:paraId="70BF9F50" w14:textId="6575EAEB" w:rsidR="00986BBF" w:rsidRPr="00FD516E" w:rsidRDefault="00006B97" w:rsidP="00C91B76">
            <w:pPr>
              <w:ind w:left="0" w:firstLine="0"/>
              <w:jc w:val="center"/>
              <w:rPr>
                <w:rFonts w:cs="Arial"/>
                <w:sz w:val="18"/>
                <w:szCs w:val="18"/>
              </w:rPr>
            </w:pPr>
            <w:r>
              <w:rPr>
                <w:rFonts w:cs="Arial"/>
                <w:sz w:val="18"/>
                <w:szCs w:val="18"/>
              </w:rPr>
              <w:t>12.25</w:t>
            </w:r>
          </w:p>
        </w:tc>
      </w:tr>
      <w:tr w:rsidR="00986BBF" w:rsidRPr="009F5E32" w14:paraId="5005E175" w14:textId="77777777" w:rsidTr="000544A8">
        <w:tblPrEx>
          <w:tblCellMar>
            <w:left w:w="120" w:type="dxa"/>
            <w:right w:w="120" w:type="dxa"/>
          </w:tblCellMar>
        </w:tblPrEx>
        <w:trPr>
          <w:cantSplit/>
          <w:trHeight w:val="282"/>
        </w:trPr>
        <w:tc>
          <w:tcPr>
            <w:tcW w:w="1155" w:type="dxa"/>
            <w:tcBorders>
              <w:top w:val="single" w:sz="6" w:space="0" w:color="auto"/>
              <w:bottom w:val="single" w:sz="6" w:space="0" w:color="auto"/>
              <w:right w:val="single" w:sz="6" w:space="0" w:color="auto"/>
            </w:tcBorders>
            <w:vAlign w:val="center"/>
          </w:tcPr>
          <w:p w14:paraId="46569C0E" w14:textId="77777777" w:rsidR="00986BBF" w:rsidRPr="00FD516E" w:rsidRDefault="00986BBF" w:rsidP="00C91B76">
            <w:pPr>
              <w:ind w:left="0" w:firstLine="0"/>
              <w:jc w:val="center"/>
              <w:rPr>
                <w:rFonts w:cs="Arial"/>
                <w:sz w:val="18"/>
                <w:szCs w:val="18"/>
              </w:rPr>
            </w:pPr>
            <w:r w:rsidRPr="00FD516E">
              <w:rPr>
                <w:rFonts w:cs="Arial"/>
                <w:sz w:val="18"/>
                <w:szCs w:val="18"/>
              </w:rPr>
              <w:t>VOC</w:t>
            </w:r>
          </w:p>
        </w:tc>
        <w:tc>
          <w:tcPr>
            <w:tcW w:w="990" w:type="dxa"/>
            <w:tcBorders>
              <w:top w:val="single" w:sz="6" w:space="0" w:color="auto"/>
              <w:left w:val="single" w:sz="6" w:space="0" w:color="auto"/>
              <w:bottom w:val="single" w:sz="4" w:space="0" w:color="auto"/>
              <w:right w:val="single" w:sz="6" w:space="0" w:color="auto"/>
            </w:tcBorders>
            <w:vAlign w:val="center"/>
          </w:tcPr>
          <w:p w14:paraId="03ADAFCA" w14:textId="01C87D7F" w:rsidR="00986BBF" w:rsidRPr="00FD516E" w:rsidRDefault="00986BBF" w:rsidP="00C91B76">
            <w:pPr>
              <w:ind w:left="0" w:firstLine="0"/>
              <w:jc w:val="center"/>
              <w:rPr>
                <w:rFonts w:cs="Arial"/>
                <w:sz w:val="18"/>
                <w:szCs w:val="18"/>
              </w:rPr>
            </w:pPr>
            <w:r w:rsidRPr="00FD516E">
              <w:rPr>
                <w:rFonts w:cs="Arial"/>
                <w:sz w:val="18"/>
                <w:szCs w:val="18"/>
              </w:rPr>
              <w:t>---</w:t>
            </w:r>
            <w:r w:rsidR="000544A8" w:rsidRPr="00FD516E">
              <w:rPr>
                <w:rFonts w:cs="Arial"/>
                <w:sz w:val="20"/>
                <w:vertAlign w:val="superscript"/>
              </w:rPr>
              <w:t>4</w:t>
            </w:r>
          </w:p>
        </w:tc>
        <w:tc>
          <w:tcPr>
            <w:tcW w:w="1170" w:type="dxa"/>
            <w:vMerge/>
            <w:tcBorders>
              <w:left w:val="single" w:sz="6" w:space="0" w:color="auto"/>
              <w:bottom w:val="single" w:sz="4" w:space="0" w:color="auto"/>
              <w:right w:val="single" w:sz="6" w:space="0" w:color="auto"/>
            </w:tcBorders>
            <w:vAlign w:val="center"/>
          </w:tcPr>
          <w:p w14:paraId="393D95AD" w14:textId="77777777" w:rsidR="00986BBF" w:rsidRPr="00FD516E" w:rsidRDefault="00986BBF" w:rsidP="00C91B76">
            <w:pPr>
              <w:ind w:left="0" w:firstLine="0"/>
              <w:jc w:val="center"/>
              <w:rPr>
                <w:rFonts w:cs="Arial"/>
                <w:sz w:val="18"/>
                <w:szCs w:val="18"/>
              </w:rPr>
            </w:pPr>
          </w:p>
        </w:tc>
        <w:tc>
          <w:tcPr>
            <w:tcW w:w="3960" w:type="dxa"/>
            <w:vMerge/>
            <w:tcBorders>
              <w:left w:val="single" w:sz="6" w:space="0" w:color="auto"/>
              <w:bottom w:val="single" w:sz="4" w:space="0" w:color="auto"/>
              <w:right w:val="single" w:sz="6" w:space="0" w:color="auto"/>
            </w:tcBorders>
            <w:vAlign w:val="center"/>
          </w:tcPr>
          <w:p w14:paraId="0AA3D7A8" w14:textId="77777777" w:rsidR="00986BBF" w:rsidRPr="00FD516E" w:rsidRDefault="00986BBF" w:rsidP="00C91B76">
            <w:pPr>
              <w:ind w:left="0" w:firstLine="0"/>
              <w:jc w:val="left"/>
              <w:rPr>
                <w:rFonts w:cs="Arial"/>
                <w:sz w:val="18"/>
                <w:szCs w:val="18"/>
              </w:rPr>
            </w:pPr>
          </w:p>
        </w:tc>
        <w:tc>
          <w:tcPr>
            <w:tcW w:w="1365" w:type="dxa"/>
            <w:tcBorders>
              <w:top w:val="single" w:sz="6" w:space="0" w:color="auto"/>
              <w:left w:val="single" w:sz="6" w:space="0" w:color="auto"/>
              <w:bottom w:val="single" w:sz="6" w:space="0" w:color="auto"/>
            </w:tcBorders>
            <w:vAlign w:val="center"/>
          </w:tcPr>
          <w:p w14:paraId="4A94F849" w14:textId="5811D9D0" w:rsidR="00986BBF" w:rsidRPr="00FD516E" w:rsidRDefault="0065219D" w:rsidP="00C91B76">
            <w:pPr>
              <w:ind w:left="0" w:firstLine="0"/>
              <w:jc w:val="center"/>
              <w:rPr>
                <w:rFonts w:cs="Arial"/>
                <w:sz w:val="18"/>
                <w:szCs w:val="18"/>
              </w:rPr>
            </w:pPr>
            <w:r w:rsidRPr="00FD516E">
              <w:rPr>
                <w:rFonts w:cs="Arial"/>
                <w:sz w:val="18"/>
                <w:szCs w:val="18"/>
              </w:rPr>
              <w:t>---</w:t>
            </w:r>
            <w:r w:rsidRPr="00FD516E">
              <w:rPr>
                <w:rFonts w:cs="Arial"/>
                <w:sz w:val="20"/>
                <w:vertAlign w:val="superscript"/>
              </w:rPr>
              <w:t>4</w:t>
            </w:r>
          </w:p>
        </w:tc>
      </w:tr>
      <w:tr w:rsidR="004F3541" w:rsidRPr="009F5E32" w14:paraId="6923E160" w14:textId="77777777" w:rsidTr="0083426D">
        <w:tblPrEx>
          <w:tblCellMar>
            <w:left w:w="120" w:type="dxa"/>
            <w:right w:w="120" w:type="dxa"/>
          </w:tblCellMar>
        </w:tblPrEx>
        <w:trPr>
          <w:cantSplit/>
          <w:trHeight w:val="1065"/>
        </w:trPr>
        <w:tc>
          <w:tcPr>
            <w:tcW w:w="1155" w:type="dxa"/>
            <w:tcBorders>
              <w:top w:val="single" w:sz="6" w:space="0" w:color="auto"/>
              <w:bottom w:val="double" w:sz="4" w:space="0" w:color="auto"/>
              <w:right w:val="single" w:sz="6" w:space="0" w:color="auto"/>
            </w:tcBorders>
            <w:vAlign w:val="center"/>
          </w:tcPr>
          <w:p w14:paraId="0CA736A6" w14:textId="77777777" w:rsidR="004F3541" w:rsidRPr="00FD516E" w:rsidRDefault="004F3541" w:rsidP="00C91B76">
            <w:pPr>
              <w:ind w:left="0" w:firstLine="0"/>
              <w:jc w:val="center"/>
              <w:rPr>
                <w:rFonts w:cs="Arial"/>
                <w:sz w:val="18"/>
                <w:szCs w:val="18"/>
              </w:rPr>
            </w:pPr>
            <w:r w:rsidRPr="00FD516E">
              <w:rPr>
                <w:rFonts w:cs="Arial"/>
                <w:sz w:val="18"/>
                <w:szCs w:val="18"/>
              </w:rPr>
              <w:t>HAPs</w:t>
            </w:r>
          </w:p>
        </w:tc>
        <w:tc>
          <w:tcPr>
            <w:tcW w:w="990" w:type="dxa"/>
            <w:tcBorders>
              <w:top w:val="single" w:sz="6" w:space="0" w:color="auto"/>
              <w:left w:val="single" w:sz="6" w:space="0" w:color="auto"/>
              <w:bottom w:val="double" w:sz="4" w:space="0" w:color="auto"/>
              <w:right w:val="single" w:sz="6" w:space="0" w:color="auto"/>
            </w:tcBorders>
            <w:vAlign w:val="center"/>
          </w:tcPr>
          <w:p w14:paraId="05E83C6D" w14:textId="77777777" w:rsidR="004F3541" w:rsidRPr="00FD516E" w:rsidRDefault="004F3541" w:rsidP="00C91B76">
            <w:pPr>
              <w:ind w:left="0" w:firstLine="0"/>
              <w:jc w:val="center"/>
              <w:rPr>
                <w:rFonts w:cs="Arial"/>
                <w:sz w:val="18"/>
                <w:szCs w:val="18"/>
              </w:rPr>
            </w:pPr>
            <w:r w:rsidRPr="00FD516E">
              <w:rPr>
                <w:rFonts w:cs="Arial"/>
                <w:sz w:val="18"/>
                <w:szCs w:val="18"/>
              </w:rPr>
              <w:t>6.45E-03</w:t>
            </w:r>
          </w:p>
        </w:tc>
        <w:tc>
          <w:tcPr>
            <w:tcW w:w="1170" w:type="dxa"/>
            <w:tcBorders>
              <w:left w:val="single" w:sz="6" w:space="0" w:color="auto"/>
              <w:bottom w:val="double" w:sz="4" w:space="0" w:color="auto"/>
              <w:right w:val="single" w:sz="6" w:space="0" w:color="auto"/>
            </w:tcBorders>
            <w:vAlign w:val="center"/>
          </w:tcPr>
          <w:p w14:paraId="3962C4F7" w14:textId="0DE12B86" w:rsidR="004F3541" w:rsidRPr="00FD516E" w:rsidRDefault="00986BBF" w:rsidP="00C91B76">
            <w:pPr>
              <w:ind w:left="0" w:firstLine="0"/>
              <w:jc w:val="center"/>
              <w:rPr>
                <w:rFonts w:cs="Arial"/>
                <w:sz w:val="18"/>
                <w:szCs w:val="18"/>
              </w:rPr>
            </w:pPr>
            <w:r w:rsidRPr="00FD516E">
              <w:rPr>
                <w:rFonts w:cs="Arial"/>
                <w:sz w:val="18"/>
                <w:szCs w:val="18"/>
              </w:rPr>
              <w:t>lb/MMBtu</w:t>
            </w:r>
            <w:r w:rsidRPr="00FD516E">
              <w:rPr>
                <w:rFonts w:cs="Arial"/>
                <w:sz w:val="18"/>
                <w:szCs w:val="18"/>
                <w:vertAlign w:val="superscript"/>
              </w:rPr>
              <w:t>2</w:t>
            </w:r>
          </w:p>
        </w:tc>
        <w:tc>
          <w:tcPr>
            <w:tcW w:w="3960" w:type="dxa"/>
            <w:tcBorders>
              <w:top w:val="single" w:sz="6" w:space="0" w:color="auto"/>
              <w:left w:val="single" w:sz="6" w:space="0" w:color="auto"/>
              <w:bottom w:val="double" w:sz="4" w:space="0" w:color="auto"/>
              <w:right w:val="single" w:sz="6" w:space="0" w:color="auto"/>
            </w:tcBorders>
            <w:vAlign w:val="center"/>
          </w:tcPr>
          <w:p w14:paraId="1D2B0762" w14:textId="77777777" w:rsidR="004F3541" w:rsidRPr="00FD516E" w:rsidRDefault="004F3541" w:rsidP="00C91B76">
            <w:pPr>
              <w:ind w:left="0" w:firstLine="0"/>
              <w:jc w:val="left"/>
              <w:rPr>
                <w:rFonts w:cs="Arial"/>
                <w:sz w:val="18"/>
                <w:szCs w:val="18"/>
              </w:rPr>
            </w:pPr>
            <w:r w:rsidRPr="00FD516E">
              <w:rPr>
                <w:rFonts w:cs="Arial"/>
                <w:sz w:val="18"/>
                <w:szCs w:val="18"/>
              </w:rPr>
              <w:t xml:space="preserve">AP-42, Chapter 3, Stationary Internal Combustion Sources, Section 3.3 </w:t>
            </w:r>
            <w:r w:rsidRPr="00FD516E">
              <w:rPr>
                <w:rFonts w:cs="Arial"/>
                <w:i/>
                <w:sz w:val="18"/>
                <w:szCs w:val="18"/>
              </w:rPr>
              <w:t>Stationary Internal Combustions Sources, Section 3.3 –Gasoline and Diesel Industrial Engines</w:t>
            </w:r>
            <w:r w:rsidRPr="00FD516E">
              <w:rPr>
                <w:rFonts w:cs="Arial"/>
                <w:sz w:val="18"/>
                <w:szCs w:val="18"/>
              </w:rPr>
              <w:t>, Table 3.3-2 (10/1996)</w:t>
            </w:r>
          </w:p>
        </w:tc>
        <w:tc>
          <w:tcPr>
            <w:tcW w:w="1365" w:type="dxa"/>
            <w:tcBorders>
              <w:top w:val="single" w:sz="6" w:space="0" w:color="auto"/>
              <w:left w:val="single" w:sz="6" w:space="0" w:color="auto"/>
              <w:bottom w:val="double" w:sz="4" w:space="0" w:color="auto"/>
            </w:tcBorders>
            <w:vAlign w:val="center"/>
          </w:tcPr>
          <w:p w14:paraId="16C6F14D" w14:textId="1E398DE1" w:rsidR="004F3541" w:rsidRPr="00FD516E" w:rsidRDefault="00006B97" w:rsidP="00C91B76">
            <w:pPr>
              <w:ind w:left="0" w:firstLine="0"/>
              <w:jc w:val="center"/>
              <w:rPr>
                <w:rFonts w:cs="Arial"/>
                <w:sz w:val="18"/>
                <w:szCs w:val="18"/>
              </w:rPr>
            </w:pPr>
            <w:r>
              <w:rPr>
                <w:rFonts w:cs="Arial"/>
                <w:sz w:val="18"/>
                <w:szCs w:val="18"/>
              </w:rPr>
              <w:t>0.10</w:t>
            </w:r>
          </w:p>
        </w:tc>
      </w:tr>
    </w:tbl>
    <w:p w14:paraId="691BCEF8" w14:textId="77777777" w:rsidR="005135BB" w:rsidRPr="00FD516E" w:rsidRDefault="005135BB" w:rsidP="005135BB">
      <w:pPr>
        <w:ind w:left="0" w:firstLine="0"/>
        <w:rPr>
          <w:sz w:val="18"/>
          <w:szCs w:val="18"/>
        </w:rPr>
      </w:pPr>
    </w:p>
    <w:p w14:paraId="6ADFE505" w14:textId="233C1D05" w:rsidR="005135BB" w:rsidRPr="00FD516E" w:rsidRDefault="005135BB" w:rsidP="005135BB">
      <w:pPr>
        <w:ind w:left="720" w:firstLine="0"/>
        <w:jc w:val="left"/>
        <w:rPr>
          <w:sz w:val="16"/>
          <w:szCs w:val="16"/>
        </w:rPr>
      </w:pPr>
      <w:r w:rsidRPr="00FD516E">
        <w:rPr>
          <w:szCs w:val="22"/>
          <w:vertAlign w:val="superscript"/>
        </w:rPr>
        <w:t>1</w:t>
      </w:r>
      <w:r w:rsidRPr="00FD516E">
        <w:rPr>
          <w:sz w:val="16"/>
          <w:szCs w:val="16"/>
        </w:rPr>
        <w:t xml:space="preserve"> S represents the weight % of sulfur in the oil.  For example, if the fuel is 0.0</w:t>
      </w:r>
      <w:r w:rsidR="00006B97">
        <w:rPr>
          <w:sz w:val="16"/>
          <w:szCs w:val="16"/>
        </w:rPr>
        <w:t>01</w:t>
      </w:r>
      <w:r w:rsidRPr="00FD516E">
        <w:rPr>
          <w:sz w:val="16"/>
          <w:szCs w:val="16"/>
        </w:rPr>
        <w:t>5% sulfur, then S=0.0</w:t>
      </w:r>
      <w:r w:rsidR="00006B97">
        <w:rPr>
          <w:sz w:val="16"/>
          <w:szCs w:val="16"/>
        </w:rPr>
        <w:t>015</w:t>
      </w:r>
      <w:r w:rsidRPr="00FD516E">
        <w:rPr>
          <w:sz w:val="16"/>
          <w:szCs w:val="16"/>
        </w:rPr>
        <w:t xml:space="preserve">  </w:t>
      </w:r>
    </w:p>
    <w:p w14:paraId="2A61E45C" w14:textId="77777777" w:rsidR="005135BB" w:rsidRPr="00FD516E" w:rsidRDefault="005135BB" w:rsidP="005135BB">
      <w:pPr>
        <w:ind w:left="720" w:firstLine="0"/>
        <w:jc w:val="left"/>
        <w:rPr>
          <w:sz w:val="16"/>
          <w:szCs w:val="16"/>
        </w:rPr>
      </w:pPr>
      <w:r w:rsidRPr="00FD516E">
        <w:rPr>
          <w:szCs w:val="22"/>
          <w:vertAlign w:val="superscript"/>
        </w:rPr>
        <w:t>2</w:t>
      </w:r>
      <w:r w:rsidRPr="00FD516E">
        <w:rPr>
          <w:sz w:val="16"/>
          <w:szCs w:val="16"/>
        </w:rPr>
        <w:t xml:space="preserve"> lb/MMBtu represents pounds of pollutant emitted per million British thermal units of heat input to the engine.   </w:t>
      </w:r>
    </w:p>
    <w:p w14:paraId="0882547F" w14:textId="4929E774" w:rsidR="005135BB" w:rsidRPr="00FD516E" w:rsidRDefault="005135BB" w:rsidP="005135BB">
      <w:pPr>
        <w:ind w:left="720" w:firstLine="0"/>
        <w:jc w:val="left"/>
        <w:rPr>
          <w:sz w:val="16"/>
          <w:szCs w:val="16"/>
        </w:rPr>
      </w:pPr>
      <w:r w:rsidRPr="00FD516E">
        <w:rPr>
          <w:szCs w:val="22"/>
          <w:vertAlign w:val="superscript"/>
        </w:rPr>
        <w:t>3</w:t>
      </w:r>
      <w:r w:rsidRPr="00FD516E">
        <w:rPr>
          <w:sz w:val="16"/>
          <w:szCs w:val="16"/>
        </w:rPr>
        <w:t xml:space="preserve"> g/bhp-hr represents grams of pollutant emitted per each brake horsepower-hour of engine operation.  </w:t>
      </w:r>
    </w:p>
    <w:p w14:paraId="67A1172B" w14:textId="77415356" w:rsidR="000544A8" w:rsidRPr="00FD516E" w:rsidRDefault="000544A8" w:rsidP="005135BB">
      <w:pPr>
        <w:ind w:left="720" w:firstLine="0"/>
        <w:jc w:val="left"/>
        <w:rPr>
          <w:sz w:val="16"/>
          <w:szCs w:val="16"/>
        </w:rPr>
      </w:pPr>
      <w:proofErr w:type="gramStart"/>
      <w:r w:rsidRPr="00FD516E">
        <w:rPr>
          <w:sz w:val="20"/>
          <w:vertAlign w:val="superscript"/>
        </w:rPr>
        <w:t>4</w:t>
      </w:r>
      <w:r w:rsidRPr="00FD516E">
        <w:rPr>
          <w:sz w:val="16"/>
          <w:szCs w:val="16"/>
          <w:vertAlign w:val="superscript"/>
        </w:rPr>
        <w:t xml:space="preserve">  </w:t>
      </w:r>
      <w:r w:rsidRPr="00FD516E">
        <w:rPr>
          <w:sz w:val="16"/>
          <w:szCs w:val="16"/>
        </w:rPr>
        <w:t>VOC</w:t>
      </w:r>
      <w:proofErr w:type="gramEnd"/>
      <w:r w:rsidRPr="00FD516E">
        <w:rPr>
          <w:sz w:val="16"/>
          <w:szCs w:val="16"/>
        </w:rPr>
        <w:t xml:space="preserve"> emissions for Tier 2 included in NOx emission factor.  </w:t>
      </w:r>
    </w:p>
    <w:p w14:paraId="18D4355C" w14:textId="77777777" w:rsidR="004F3541" w:rsidRPr="00FD516E" w:rsidRDefault="004F3541" w:rsidP="00C020B4">
      <w:pPr>
        <w:ind w:left="0" w:firstLine="0"/>
        <w:rPr>
          <w:szCs w:val="22"/>
        </w:rPr>
      </w:pPr>
    </w:p>
    <w:p w14:paraId="619C1366" w14:textId="4179279C" w:rsidR="00794B73" w:rsidRPr="00FD516E" w:rsidRDefault="00794B73" w:rsidP="00794B73">
      <w:pPr>
        <w:ind w:left="0" w:firstLine="0"/>
        <w:rPr>
          <w:szCs w:val="22"/>
        </w:rPr>
      </w:pPr>
      <w:r w:rsidRPr="00FD516E">
        <w:rPr>
          <w:b/>
          <w:szCs w:val="22"/>
        </w:rPr>
        <w:t>3.3</w:t>
      </w:r>
      <w:r w:rsidRPr="00FD516E">
        <w:rPr>
          <w:b/>
          <w:szCs w:val="22"/>
        </w:rPr>
        <w:tab/>
        <w:t>Facility Greenhouse Gas (GHG) Emissions</w:t>
      </w:r>
    </w:p>
    <w:p w14:paraId="686C5D69" w14:textId="77777777" w:rsidR="00794B73" w:rsidRPr="00FD516E" w:rsidRDefault="00794B73" w:rsidP="00C020B4">
      <w:pPr>
        <w:ind w:left="0" w:firstLine="0"/>
        <w:rPr>
          <w:szCs w:val="22"/>
        </w:rPr>
      </w:pPr>
    </w:p>
    <w:p w14:paraId="2A8B1E98" w14:textId="3FF775F0" w:rsidR="006B325D" w:rsidRPr="00FD516E" w:rsidRDefault="008804B5" w:rsidP="008804B5">
      <w:pPr>
        <w:ind w:left="720" w:firstLine="0"/>
        <w:rPr>
          <w:szCs w:val="22"/>
        </w:rPr>
      </w:pPr>
      <w:r w:rsidRPr="00FD516E">
        <w:rPr>
          <w:szCs w:val="22"/>
        </w:rPr>
        <w:t xml:space="preserve">The Facility has emissions of GHGs resulting from biological generation of </w:t>
      </w:r>
      <w:r w:rsidR="00D76892" w:rsidRPr="00FD516E">
        <w:rPr>
          <w:szCs w:val="22"/>
        </w:rPr>
        <w:t>CH</w:t>
      </w:r>
      <w:r w:rsidR="00D76892" w:rsidRPr="00FD516E">
        <w:rPr>
          <w:szCs w:val="22"/>
          <w:vertAlign w:val="subscript"/>
        </w:rPr>
        <w:t>4</w:t>
      </w:r>
      <w:r w:rsidRPr="00FD516E">
        <w:rPr>
          <w:szCs w:val="22"/>
        </w:rPr>
        <w:t xml:space="preserve"> and CO</w:t>
      </w:r>
      <w:r w:rsidRPr="00FD516E">
        <w:rPr>
          <w:szCs w:val="22"/>
          <w:vertAlign w:val="subscript"/>
        </w:rPr>
        <w:t>2</w:t>
      </w:r>
      <w:r w:rsidRPr="00FD516E">
        <w:rPr>
          <w:szCs w:val="22"/>
        </w:rPr>
        <w:t xml:space="preserve"> in the Landfill itself, and GHGs generated from the combustion of </w:t>
      </w:r>
      <w:r w:rsidR="00D76892" w:rsidRPr="00FD516E">
        <w:rPr>
          <w:szCs w:val="22"/>
        </w:rPr>
        <w:t>CH</w:t>
      </w:r>
      <w:r w:rsidR="00D76892" w:rsidRPr="00FD516E">
        <w:rPr>
          <w:szCs w:val="22"/>
          <w:vertAlign w:val="subscript"/>
        </w:rPr>
        <w:t>4</w:t>
      </w:r>
      <w:r w:rsidR="00D76892" w:rsidRPr="00FD516E">
        <w:rPr>
          <w:szCs w:val="22"/>
        </w:rPr>
        <w:t xml:space="preserve"> </w:t>
      </w:r>
      <w:r w:rsidRPr="00FD516E">
        <w:rPr>
          <w:szCs w:val="22"/>
        </w:rPr>
        <w:t xml:space="preserve">contained in collected LFG.  </w:t>
      </w:r>
      <w:r w:rsidR="00D76892" w:rsidRPr="00FD516E">
        <w:rPr>
          <w:szCs w:val="22"/>
        </w:rPr>
        <w:t>Biogenic CO</w:t>
      </w:r>
      <w:r w:rsidR="00D76892" w:rsidRPr="00FD516E">
        <w:rPr>
          <w:szCs w:val="22"/>
          <w:vertAlign w:val="subscript"/>
        </w:rPr>
        <w:t>2</w:t>
      </w:r>
      <w:r w:rsidR="00D76892" w:rsidRPr="00FD516E">
        <w:rPr>
          <w:szCs w:val="22"/>
        </w:rPr>
        <w:t xml:space="preserve"> includes the CO</w:t>
      </w:r>
      <w:r w:rsidR="00D76892" w:rsidRPr="00FD516E">
        <w:rPr>
          <w:szCs w:val="22"/>
          <w:vertAlign w:val="subscript"/>
        </w:rPr>
        <w:t>2</w:t>
      </w:r>
      <w:r w:rsidR="00D76892" w:rsidRPr="00FD516E">
        <w:rPr>
          <w:szCs w:val="22"/>
        </w:rPr>
        <w:t xml:space="preserve"> formed in the landfill and CO</w:t>
      </w:r>
      <w:r w:rsidR="00D76892" w:rsidRPr="00FD516E">
        <w:rPr>
          <w:szCs w:val="22"/>
          <w:vertAlign w:val="subscript"/>
        </w:rPr>
        <w:t>2</w:t>
      </w:r>
      <w:r w:rsidR="00D76892" w:rsidRPr="00FD516E">
        <w:rPr>
          <w:szCs w:val="22"/>
        </w:rPr>
        <w:t xml:space="preserve"> resulting from the combustion of CH</w:t>
      </w:r>
      <w:r w:rsidR="00D76892" w:rsidRPr="00FD516E">
        <w:rPr>
          <w:szCs w:val="22"/>
          <w:vertAlign w:val="subscript"/>
        </w:rPr>
        <w:t>4</w:t>
      </w:r>
      <w:r w:rsidR="00D76892" w:rsidRPr="00FD516E">
        <w:rPr>
          <w:szCs w:val="22"/>
        </w:rPr>
        <w:t xml:space="preserve"> formed in the Landfill.  Emissions of CH</w:t>
      </w:r>
      <w:r w:rsidR="00D76892" w:rsidRPr="00FD516E">
        <w:rPr>
          <w:szCs w:val="22"/>
          <w:vertAlign w:val="subscript"/>
        </w:rPr>
        <w:t>4</w:t>
      </w:r>
      <w:r w:rsidR="00D76892" w:rsidRPr="00FD516E">
        <w:rPr>
          <w:szCs w:val="22"/>
        </w:rPr>
        <w:t xml:space="preserve"> from the Landfill as fugitive emissions or as uncombusted CH</w:t>
      </w:r>
      <w:r w:rsidR="00D76892" w:rsidRPr="00FD516E">
        <w:rPr>
          <w:szCs w:val="22"/>
          <w:vertAlign w:val="subscript"/>
        </w:rPr>
        <w:t>4</w:t>
      </w:r>
      <w:r w:rsidR="00D76892" w:rsidRPr="00FD516E">
        <w:rPr>
          <w:szCs w:val="22"/>
        </w:rPr>
        <w:t xml:space="preserve"> in the exhausts from the control devices (flares and/or </w:t>
      </w:r>
      <w:r w:rsidR="002D0237" w:rsidRPr="00FD516E">
        <w:rPr>
          <w:szCs w:val="22"/>
        </w:rPr>
        <w:t xml:space="preserve">CAT </w:t>
      </w:r>
      <w:r w:rsidR="00D76892" w:rsidRPr="00FD516E">
        <w:rPr>
          <w:szCs w:val="22"/>
        </w:rPr>
        <w:t>3520C engines) is considered a non-biogenic emission.  Nitrous oxide (N</w:t>
      </w:r>
      <w:r w:rsidR="00D76892" w:rsidRPr="00FD516E">
        <w:rPr>
          <w:szCs w:val="22"/>
          <w:vertAlign w:val="subscript"/>
        </w:rPr>
        <w:t>2</w:t>
      </w:r>
      <w:r w:rsidR="00D76892" w:rsidRPr="00FD516E">
        <w:rPr>
          <w:szCs w:val="22"/>
        </w:rPr>
        <w:t>O) is also formed during combustion processes and is considered a GHG.  However, even considering the global warming potential of (GWP) of N</w:t>
      </w:r>
      <w:r w:rsidR="00D76892" w:rsidRPr="00FD516E">
        <w:rPr>
          <w:szCs w:val="22"/>
          <w:vertAlign w:val="subscript"/>
        </w:rPr>
        <w:t>2</w:t>
      </w:r>
      <w:r w:rsidR="00D76892" w:rsidRPr="00FD516E">
        <w:rPr>
          <w:szCs w:val="22"/>
        </w:rPr>
        <w:t>O</w:t>
      </w:r>
      <w:r w:rsidR="00C1218C" w:rsidRPr="00FD516E">
        <w:rPr>
          <w:szCs w:val="22"/>
        </w:rPr>
        <w:t xml:space="preserve"> which is approximately 298</w:t>
      </w:r>
      <w:r w:rsidR="00D76892" w:rsidRPr="00FD516E">
        <w:rPr>
          <w:szCs w:val="22"/>
        </w:rPr>
        <w:t>, the effect of N</w:t>
      </w:r>
      <w:r w:rsidR="00D76892" w:rsidRPr="00FD516E">
        <w:rPr>
          <w:szCs w:val="22"/>
          <w:vertAlign w:val="subscript"/>
        </w:rPr>
        <w:t>2</w:t>
      </w:r>
      <w:r w:rsidR="00D76892" w:rsidRPr="00FD516E">
        <w:rPr>
          <w:szCs w:val="22"/>
        </w:rPr>
        <w:t xml:space="preserve">O emissions on total GHG emissions </w:t>
      </w:r>
      <w:proofErr w:type="gramStart"/>
      <w:r w:rsidR="00D76892" w:rsidRPr="00FD516E">
        <w:rPr>
          <w:szCs w:val="22"/>
        </w:rPr>
        <w:t>were considered to be</w:t>
      </w:r>
      <w:proofErr w:type="gramEnd"/>
      <w:r w:rsidR="00D76892" w:rsidRPr="00FD516E">
        <w:rPr>
          <w:szCs w:val="22"/>
        </w:rPr>
        <w:t xml:space="preserve"> negligible, and accordingly were not estimated.</w:t>
      </w:r>
      <w:r w:rsidR="00B641E6" w:rsidRPr="00FD516E">
        <w:rPr>
          <w:szCs w:val="22"/>
        </w:rPr>
        <w:t xml:space="preserve"> </w:t>
      </w:r>
    </w:p>
    <w:p w14:paraId="3A78D379" w14:textId="77777777" w:rsidR="006B325D" w:rsidRPr="00FD516E" w:rsidRDefault="006B325D" w:rsidP="006B325D">
      <w:pPr>
        <w:ind w:left="0" w:firstLine="0"/>
        <w:rPr>
          <w:szCs w:val="22"/>
        </w:rPr>
      </w:pPr>
    </w:p>
    <w:p w14:paraId="20487889" w14:textId="2930C681" w:rsidR="00794B73" w:rsidRDefault="006B325D" w:rsidP="008804B5">
      <w:pPr>
        <w:ind w:left="720" w:firstLine="0"/>
        <w:rPr>
          <w:szCs w:val="22"/>
        </w:rPr>
      </w:pPr>
      <w:r w:rsidRPr="00FD516E">
        <w:rPr>
          <w:szCs w:val="22"/>
        </w:rPr>
        <w:t>Emissions include actual CO</w:t>
      </w:r>
      <w:r w:rsidRPr="00FD516E">
        <w:rPr>
          <w:szCs w:val="22"/>
          <w:vertAlign w:val="subscript"/>
        </w:rPr>
        <w:t>2</w:t>
      </w:r>
      <w:r w:rsidRPr="00FD516E">
        <w:rPr>
          <w:szCs w:val="22"/>
        </w:rPr>
        <w:t xml:space="preserve"> emissions, and emissions of CH</w:t>
      </w:r>
      <w:r w:rsidR="00B641E6" w:rsidRPr="00FD516E">
        <w:rPr>
          <w:szCs w:val="22"/>
          <w:vertAlign w:val="subscript"/>
        </w:rPr>
        <w:t>4</w:t>
      </w:r>
      <w:r w:rsidRPr="00FD516E">
        <w:rPr>
          <w:szCs w:val="22"/>
        </w:rPr>
        <w:t xml:space="preserve"> adjusted to CO</w:t>
      </w:r>
      <w:r w:rsidRPr="00FD516E">
        <w:rPr>
          <w:szCs w:val="22"/>
          <w:vertAlign w:val="subscript"/>
        </w:rPr>
        <w:t>2</w:t>
      </w:r>
      <w:r w:rsidRPr="00FD516E">
        <w:rPr>
          <w:szCs w:val="22"/>
        </w:rPr>
        <w:t xml:space="preserve"> equivalent (CO</w:t>
      </w:r>
      <w:r w:rsidRPr="00FD516E">
        <w:rPr>
          <w:szCs w:val="22"/>
          <w:vertAlign w:val="subscript"/>
        </w:rPr>
        <w:t>2</w:t>
      </w:r>
      <w:r w:rsidRPr="00FD516E">
        <w:rPr>
          <w:szCs w:val="22"/>
        </w:rPr>
        <w:t xml:space="preserve">e).  </w:t>
      </w:r>
      <w:r w:rsidR="00D76892" w:rsidRPr="00FD516E">
        <w:rPr>
          <w:szCs w:val="22"/>
        </w:rPr>
        <w:t>The GWP</w:t>
      </w:r>
      <w:r w:rsidRPr="00FD516E">
        <w:rPr>
          <w:szCs w:val="22"/>
        </w:rPr>
        <w:t xml:space="preserve"> of CH</w:t>
      </w:r>
      <w:r w:rsidRPr="00FD516E">
        <w:rPr>
          <w:szCs w:val="22"/>
          <w:vertAlign w:val="subscript"/>
        </w:rPr>
        <w:t>4</w:t>
      </w:r>
      <w:r w:rsidRPr="00FD516E">
        <w:rPr>
          <w:szCs w:val="22"/>
        </w:rPr>
        <w:t xml:space="preserve"> was assumed to be 25</w:t>
      </w:r>
      <w:r w:rsidR="00D17875" w:rsidRPr="00FD516E">
        <w:rPr>
          <w:szCs w:val="22"/>
        </w:rPr>
        <w:t xml:space="preserve">. </w:t>
      </w:r>
      <w:r w:rsidRPr="00FD516E">
        <w:rPr>
          <w:szCs w:val="22"/>
        </w:rPr>
        <w:t xml:space="preserve"> </w:t>
      </w:r>
      <w:r w:rsidR="008918B8" w:rsidRPr="00FD516E">
        <w:rPr>
          <w:szCs w:val="22"/>
        </w:rPr>
        <w:t xml:space="preserve">Emissions of GHG’s are presented </w:t>
      </w:r>
      <w:r w:rsidR="00507A6C" w:rsidRPr="00FD516E">
        <w:rPr>
          <w:szCs w:val="22"/>
        </w:rPr>
        <w:t>in Table 3-</w:t>
      </w:r>
      <w:r w:rsidR="000544A8" w:rsidRPr="00FD516E">
        <w:rPr>
          <w:szCs w:val="22"/>
        </w:rPr>
        <w:t xml:space="preserve">7 </w:t>
      </w:r>
      <w:r w:rsidR="008918B8" w:rsidRPr="00FD516E">
        <w:rPr>
          <w:szCs w:val="22"/>
        </w:rPr>
        <w:t>for both total GHG emissions, and exclusive of biogenic CO</w:t>
      </w:r>
      <w:r w:rsidR="008918B8" w:rsidRPr="00FD516E">
        <w:rPr>
          <w:szCs w:val="22"/>
          <w:vertAlign w:val="subscript"/>
        </w:rPr>
        <w:t>2</w:t>
      </w:r>
      <w:r w:rsidR="008918B8" w:rsidRPr="00FD516E">
        <w:rPr>
          <w:szCs w:val="22"/>
        </w:rPr>
        <w:t xml:space="preserve"> emissions.  </w:t>
      </w:r>
    </w:p>
    <w:p w14:paraId="4F3C1C67" w14:textId="77777777" w:rsidR="006F2C87" w:rsidRPr="00FD516E" w:rsidRDefault="006F2C87" w:rsidP="006F2C87">
      <w:pPr>
        <w:ind w:left="0" w:firstLine="0"/>
        <w:rPr>
          <w:szCs w:val="22"/>
        </w:rPr>
      </w:pPr>
    </w:p>
    <w:tbl>
      <w:tblPr>
        <w:tblW w:w="8617" w:type="dxa"/>
        <w:tblInd w:w="720" w:type="dxa"/>
        <w:tblLayout w:type="fixed"/>
        <w:tblLook w:val="04A0" w:firstRow="1" w:lastRow="0" w:firstColumn="1" w:lastColumn="0" w:noHBand="0" w:noVBand="1"/>
      </w:tblPr>
      <w:tblGrid>
        <w:gridCol w:w="3397"/>
        <w:gridCol w:w="1080"/>
        <w:gridCol w:w="1080"/>
        <w:gridCol w:w="1530"/>
        <w:gridCol w:w="1530"/>
      </w:tblGrid>
      <w:tr w:rsidR="00AB0C75" w:rsidRPr="009F5E32" w14:paraId="67790F20" w14:textId="77777777" w:rsidTr="00A728F0">
        <w:trPr>
          <w:trHeight w:val="504"/>
        </w:trPr>
        <w:tc>
          <w:tcPr>
            <w:tcW w:w="8617" w:type="dxa"/>
            <w:gridSpan w:val="5"/>
            <w:tcBorders>
              <w:top w:val="double" w:sz="6" w:space="0" w:color="auto"/>
              <w:left w:val="double" w:sz="6" w:space="0" w:color="auto"/>
              <w:bottom w:val="single" w:sz="4" w:space="0" w:color="auto"/>
              <w:right w:val="double" w:sz="4" w:space="0" w:color="auto"/>
            </w:tcBorders>
            <w:shd w:val="clear" w:color="auto" w:fill="F2F2F2" w:themeFill="background1" w:themeFillShade="F2"/>
            <w:vAlign w:val="center"/>
            <w:hideMark/>
          </w:tcPr>
          <w:p w14:paraId="140221D3" w14:textId="77777777" w:rsidR="00AB0C75" w:rsidRPr="00FD516E" w:rsidRDefault="00AB0C75" w:rsidP="00EC3BCD">
            <w:pPr>
              <w:widowControl/>
              <w:autoSpaceDE/>
              <w:autoSpaceDN/>
              <w:adjustRightInd/>
              <w:ind w:left="0" w:firstLine="0"/>
              <w:jc w:val="center"/>
              <w:rPr>
                <w:rFonts w:cs="Arial"/>
                <w:b/>
                <w:bCs/>
                <w:color w:val="000000"/>
                <w:szCs w:val="22"/>
              </w:rPr>
            </w:pPr>
            <w:r w:rsidRPr="00FD516E">
              <w:rPr>
                <w:rFonts w:cs="Arial"/>
                <w:b/>
                <w:bCs/>
                <w:color w:val="000000"/>
                <w:szCs w:val="22"/>
              </w:rPr>
              <w:lastRenderedPageBreak/>
              <w:t xml:space="preserve">Table 3-7– Estimated Total Facility GHG Emissions </w:t>
            </w:r>
            <w:r w:rsidRPr="00FD516E">
              <w:rPr>
                <w:rFonts w:cs="Arial"/>
                <w:b/>
                <w:bCs/>
                <w:color w:val="000000"/>
                <w:szCs w:val="22"/>
                <w:vertAlign w:val="superscript"/>
              </w:rPr>
              <w:t>1</w:t>
            </w:r>
          </w:p>
        </w:tc>
      </w:tr>
      <w:tr w:rsidR="00AB0C75" w:rsidRPr="00FD516E" w14:paraId="09875E55" w14:textId="77777777" w:rsidTr="00A728F0">
        <w:trPr>
          <w:trHeight w:val="413"/>
        </w:trPr>
        <w:tc>
          <w:tcPr>
            <w:tcW w:w="3397" w:type="dxa"/>
            <w:vMerge w:val="restart"/>
            <w:tcBorders>
              <w:top w:val="single" w:sz="4" w:space="0" w:color="auto"/>
              <w:left w:val="double" w:sz="6" w:space="0" w:color="auto"/>
              <w:right w:val="single" w:sz="4" w:space="0" w:color="auto"/>
            </w:tcBorders>
            <w:shd w:val="clear" w:color="auto" w:fill="F2F2F2" w:themeFill="background1" w:themeFillShade="F2"/>
            <w:vAlign w:val="center"/>
            <w:hideMark/>
          </w:tcPr>
          <w:p w14:paraId="199D7622" w14:textId="48C9AAA7" w:rsidR="00F30519" w:rsidRDefault="00AB0C75" w:rsidP="00F30519">
            <w:pPr>
              <w:widowControl/>
              <w:autoSpaceDE/>
              <w:autoSpaceDN/>
              <w:adjustRightInd/>
              <w:ind w:left="0" w:firstLine="0"/>
              <w:jc w:val="center"/>
              <w:rPr>
                <w:rFonts w:cs="Arial"/>
                <w:sz w:val="18"/>
                <w:szCs w:val="18"/>
              </w:rPr>
            </w:pPr>
            <w:r w:rsidRPr="00FD516E">
              <w:rPr>
                <w:rFonts w:cs="Arial"/>
                <w:sz w:val="18"/>
                <w:szCs w:val="18"/>
              </w:rPr>
              <w:t>Emissions by Emissions Source</w:t>
            </w:r>
          </w:p>
          <w:p w14:paraId="61BA55A5" w14:textId="7BA49A43" w:rsidR="00AB0C75" w:rsidRPr="00FD516E" w:rsidRDefault="00AB0C75" w:rsidP="00F30519">
            <w:pPr>
              <w:widowControl/>
              <w:autoSpaceDE/>
              <w:autoSpaceDN/>
              <w:adjustRightInd/>
              <w:ind w:left="0" w:firstLine="0"/>
              <w:jc w:val="center"/>
              <w:rPr>
                <w:rFonts w:cs="Arial"/>
                <w:sz w:val="16"/>
                <w:szCs w:val="16"/>
              </w:rPr>
            </w:pPr>
            <w:r w:rsidRPr="00FD516E">
              <w:rPr>
                <w:rFonts w:cs="Arial"/>
                <w:sz w:val="18"/>
                <w:szCs w:val="18"/>
              </w:rPr>
              <w:t>(tons per year)</w:t>
            </w:r>
          </w:p>
        </w:tc>
        <w:tc>
          <w:tcPr>
            <w:tcW w:w="5220" w:type="dxa"/>
            <w:gridSpan w:val="4"/>
            <w:tcBorders>
              <w:top w:val="single" w:sz="4" w:space="0" w:color="auto"/>
              <w:left w:val="single" w:sz="4" w:space="0" w:color="auto"/>
              <w:bottom w:val="nil"/>
              <w:right w:val="double" w:sz="4" w:space="0" w:color="auto"/>
            </w:tcBorders>
            <w:shd w:val="clear" w:color="auto" w:fill="F2F2F2" w:themeFill="background1" w:themeFillShade="F2"/>
            <w:vAlign w:val="center"/>
            <w:hideMark/>
          </w:tcPr>
          <w:p w14:paraId="4474906E" w14:textId="3BB6491E" w:rsidR="00AB0C75" w:rsidRPr="00FD516E" w:rsidRDefault="00AB0C75" w:rsidP="00EC3BCD">
            <w:pPr>
              <w:widowControl/>
              <w:autoSpaceDE/>
              <w:autoSpaceDN/>
              <w:adjustRightInd/>
              <w:ind w:left="0" w:firstLine="0"/>
              <w:jc w:val="center"/>
              <w:rPr>
                <w:rFonts w:cs="Arial"/>
                <w:sz w:val="18"/>
                <w:szCs w:val="18"/>
              </w:rPr>
            </w:pPr>
            <w:r>
              <w:rPr>
                <w:rFonts w:cs="Arial"/>
                <w:sz w:val="18"/>
                <w:szCs w:val="18"/>
              </w:rPr>
              <w:t>Pollutant</w:t>
            </w:r>
          </w:p>
        </w:tc>
      </w:tr>
      <w:tr w:rsidR="00154F36" w:rsidRPr="009F5E32" w14:paraId="23F3CB8B" w14:textId="77777777" w:rsidTr="00A728F0">
        <w:trPr>
          <w:trHeight w:val="817"/>
        </w:trPr>
        <w:tc>
          <w:tcPr>
            <w:tcW w:w="3397" w:type="dxa"/>
            <w:vMerge/>
            <w:tcBorders>
              <w:left w:val="double" w:sz="6" w:space="0" w:color="auto"/>
              <w:bottom w:val="double" w:sz="6" w:space="0" w:color="000000"/>
              <w:right w:val="single" w:sz="4" w:space="0" w:color="auto"/>
            </w:tcBorders>
            <w:shd w:val="clear" w:color="auto" w:fill="F2F2F2" w:themeFill="background1" w:themeFillShade="F2"/>
            <w:vAlign w:val="center"/>
            <w:hideMark/>
          </w:tcPr>
          <w:p w14:paraId="464562A3" w14:textId="77777777" w:rsidR="00AB0C75" w:rsidRPr="0079511C" w:rsidRDefault="00AB0C75" w:rsidP="00EC3BCD">
            <w:pPr>
              <w:widowControl/>
              <w:autoSpaceDE/>
              <w:autoSpaceDN/>
              <w:adjustRightInd/>
              <w:ind w:left="0" w:firstLine="0"/>
              <w:jc w:val="left"/>
              <w:rPr>
                <w:rFonts w:cs="Arial"/>
                <w:sz w:val="18"/>
                <w:szCs w:val="18"/>
              </w:rPr>
            </w:pPr>
          </w:p>
        </w:tc>
        <w:tc>
          <w:tcPr>
            <w:tcW w:w="1080" w:type="dxa"/>
            <w:tcBorders>
              <w:top w:val="single" w:sz="8" w:space="0" w:color="auto"/>
              <w:left w:val="single" w:sz="8" w:space="0" w:color="auto"/>
              <w:bottom w:val="double" w:sz="6" w:space="0" w:color="auto"/>
              <w:right w:val="single" w:sz="8" w:space="0" w:color="auto"/>
            </w:tcBorders>
            <w:shd w:val="clear" w:color="auto" w:fill="F2F2F2" w:themeFill="background1" w:themeFillShade="F2"/>
            <w:vAlign w:val="center"/>
            <w:hideMark/>
          </w:tcPr>
          <w:p w14:paraId="6EE5E8C5" w14:textId="6FB64D6A" w:rsidR="00AB0C75" w:rsidRPr="0079511C" w:rsidRDefault="00AB0C75" w:rsidP="00EC3BCD">
            <w:pPr>
              <w:widowControl/>
              <w:autoSpaceDE/>
              <w:autoSpaceDN/>
              <w:adjustRightInd/>
              <w:ind w:left="0" w:firstLine="0"/>
              <w:jc w:val="center"/>
              <w:rPr>
                <w:rFonts w:cs="Arial"/>
                <w:sz w:val="16"/>
                <w:szCs w:val="16"/>
              </w:rPr>
            </w:pPr>
            <w:r w:rsidRPr="00FD516E">
              <w:rPr>
                <w:rFonts w:cs="Arial"/>
                <w:sz w:val="16"/>
                <w:szCs w:val="16"/>
              </w:rPr>
              <w:t>CO</w:t>
            </w:r>
            <w:r w:rsidRPr="00FD516E">
              <w:rPr>
                <w:rFonts w:cs="Arial"/>
                <w:sz w:val="16"/>
                <w:szCs w:val="16"/>
                <w:vertAlign w:val="subscript"/>
              </w:rPr>
              <w:t>2</w:t>
            </w:r>
          </w:p>
        </w:tc>
        <w:tc>
          <w:tcPr>
            <w:tcW w:w="1080" w:type="dxa"/>
            <w:tcBorders>
              <w:top w:val="single" w:sz="8" w:space="0" w:color="auto"/>
              <w:left w:val="nil"/>
              <w:bottom w:val="double" w:sz="6" w:space="0" w:color="auto"/>
              <w:right w:val="single" w:sz="4" w:space="0" w:color="auto"/>
            </w:tcBorders>
            <w:shd w:val="clear" w:color="auto" w:fill="F2F2F2" w:themeFill="background1" w:themeFillShade="F2"/>
            <w:vAlign w:val="center"/>
            <w:hideMark/>
          </w:tcPr>
          <w:p w14:paraId="051FBA71" w14:textId="5A59E25C" w:rsidR="00AB0C75" w:rsidRPr="0079511C" w:rsidRDefault="00AB0C75" w:rsidP="00EC3BCD">
            <w:pPr>
              <w:widowControl/>
              <w:autoSpaceDE/>
              <w:autoSpaceDN/>
              <w:adjustRightInd/>
              <w:ind w:left="0" w:firstLine="0"/>
              <w:jc w:val="center"/>
              <w:rPr>
                <w:rFonts w:cs="Arial"/>
                <w:sz w:val="16"/>
                <w:szCs w:val="16"/>
              </w:rPr>
            </w:pPr>
            <w:r w:rsidRPr="00FD516E">
              <w:rPr>
                <w:rFonts w:cs="Arial"/>
                <w:sz w:val="16"/>
                <w:szCs w:val="16"/>
              </w:rPr>
              <w:t>CH</w:t>
            </w:r>
            <w:r w:rsidRPr="00FD516E">
              <w:rPr>
                <w:rFonts w:cs="Arial"/>
                <w:sz w:val="16"/>
                <w:szCs w:val="16"/>
                <w:vertAlign w:val="subscript"/>
              </w:rPr>
              <w:t>4</w:t>
            </w:r>
          </w:p>
        </w:tc>
        <w:tc>
          <w:tcPr>
            <w:tcW w:w="1530" w:type="dxa"/>
            <w:tcBorders>
              <w:top w:val="single" w:sz="8" w:space="0" w:color="auto"/>
              <w:left w:val="nil"/>
              <w:bottom w:val="double" w:sz="6" w:space="0" w:color="auto"/>
              <w:right w:val="single" w:sz="8" w:space="0" w:color="auto"/>
            </w:tcBorders>
            <w:shd w:val="clear" w:color="auto" w:fill="F2F2F2" w:themeFill="background1" w:themeFillShade="F2"/>
            <w:vAlign w:val="center"/>
            <w:hideMark/>
          </w:tcPr>
          <w:p w14:paraId="2D4031AE" w14:textId="4516708E" w:rsidR="00AB0C75" w:rsidRPr="0079511C" w:rsidRDefault="00AB0C75" w:rsidP="00EC3BCD">
            <w:pPr>
              <w:widowControl/>
              <w:autoSpaceDE/>
              <w:autoSpaceDN/>
              <w:adjustRightInd/>
              <w:ind w:left="0" w:firstLine="0"/>
              <w:jc w:val="center"/>
              <w:rPr>
                <w:rFonts w:cs="Arial"/>
                <w:sz w:val="16"/>
                <w:szCs w:val="16"/>
              </w:rPr>
            </w:pPr>
            <w:r w:rsidRPr="00FD516E">
              <w:rPr>
                <w:rFonts w:cs="Arial"/>
                <w:sz w:val="16"/>
                <w:szCs w:val="16"/>
              </w:rPr>
              <w:t>CO</w:t>
            </w:r>
            <w:r w:rsidRPr="00FD516E">
              <w:rPr>
                <w:rFonts w:cs="Arial"/>
                <w:sz w:val="16"/>
                <w:szCs w:val="16"/>
                <w:vertAlign w:val="subscript"/>
              </w:rPr>
              <w:t>2</w:t>
            </w:r>
            <w:r w:rsidRPr="00FD516E">
              <w:rPr>
                <w:rFonts w:cs="Arial"/>
                <w:sz w:val="16"/>
                <w:szCs w:val="16"/>
              </w:rPr>
              <w:t>e</w:t>
            </w:r>
            <w:r w:rsidR="002512B4">
              <w:rPr>
                <w:rFonts w:cs="Arial"/>
                <w:sz w:val="16"/>
                <w:szCs w:val="16"/>
              </w:rPr>
              <w:t xml:space="preserve"> </w:t>
            </w:r>
            <w:r w:rsidR="006F2C87">
              <w:rPr>
                <w:rFonts w:cs="Arial"/>
                <w:sz w:val="20"/>
                <w:vertAlign w:val="superscript"/>
              </w:rPr>
              <w:t>1</w:t>
            </w:r>
            <w:r w:rsidRPr="00FD516E">
              <w:rPr>
                <w:rFonts w:cs="Arial"/>
                <w:sz w:val="16"/>
                <w:szCs w:val="16"/>
              </w:rPr>
              <w:t xml:space="preserve"> (excluding biogenic</w:t>
            </w:r>
            <w:r w:rsidR="002512B4">
              <w:rPr>
                <w:rFonts w:cs="Arial"/>
                <w:sz w:val="16"/>
                <w:szCs w:val="16"/>
              </w:rPr>
              <w:t xml:space="preserve"> </w:t>
            </w:r>
            <w:r w:rsidR="006F2C87">
              <w:rPr>
                <w:rFonts w:cs="Arial"/>
                <w:sz w:val="20"/>
                <w:vertAlign w:val="superscript"/>
              </w:rPr>
              <w:t>2</w:t>
            </w:r>
            <w:r w:rsidRPr="00FD516E">
              <w:rPr>
                <w:rFonts w:cs="Arial"/>
                <w:sz w:val="16"/>
                <w:szCs w:val="16"/>
              </w:rPr>
              <w:t>)</w:t>
            </w:r>
          </w:p>
        </w:tc>
        <w:tc>
          <w:tcPr>
            <w:tcW w:w="1530" w:type="dxa"/>
            <w:tcBorders>
              <w:top w:val="single" w:sz="8" w:space="0" w:color="auto"/>
              <w:left w:val="nil"/>
              <w:bottom w:val="double" w:sz="6" w:space="0" w:color="auto"/>
              <w:right w:val="double" w:sz="4" w:space="0" w:color="auto"/>
            </w:tcBorders>
            <w:shd w:val="clear" w:color="auto" w:fill="F2F2F2" w:themeFill="background1" w:themeFillShade="F2"/>
            <w:vAlign w:val="center"/>
            <w:hideMark/>
          </w:tcPr>
          <w:p w14:paraId="394ABE07" w14:textId="65B07ECD" w:rsidR="00AB0C75" w:rsidRPr="0079511C" w:rsidRDefault="00AB0C75" w:rsidP="00EC3BCD">
            <w:pPr>
              <w:widowControl/>
              <w:autoSpaceDE/>
              <w:autoSpaceDN/>
              <w:adjustRightInd/>
              <w:ind w:left="0" w:firstLine="0"/>
              <w:jc w:val="center"/>
              <w:rPr>
                <w:rFonts w:cs="Arial"/>
                <w:sz w:val="16"/>
                <w:szCs w:val="16"/>
              </w:rPr>
            </w:pPr>
            <w:r w:rsidRPr="00FD516E">
              <w:rPr>
                <w:rFonts w:cs="Arial"/>
                <w:sz w:val="16"/>
                <w:szCs w:val="16"/>
              </w:rPr>
              <w:t>CO</w:t>
            </w:r>
            <w:r w:rsidRPr="00FD516E">
              <w:rPr>
                <w:rFonts w:cs="Arial"/>
                <w:sz w:val="16"/>
                <w:szCs w:val="16"/>
                <w:vertAlign w:val="subscript"/>
              </w:rPr>
              <w:t>2</w:t>
            </w:r>
            <w:r w:rsidRPr="00FD516E">
              <w:rPr>
                <w:rFonts w:cs="Arial"/>
                <w:sz w:val="16"/>
                <w:szCs w:val="16"/>
              </w:rPr>
              <w:t xml:space="preserve">e </w:t>
            </w:r>
            <w:r w:rsidR="006F2C87">
              <w:rPr>
                <w:rFonts w:cs="Arial"/>
                <w:sz w:val="20"/>
                <w:vertAlign w:val="superscript"/>
              </w:rPr>
              <w:t>1</w:t>
            </w:r>
            <w:r w:rsidR="002512B4">
              <w:rPr>
                <w:rFonts w:cs="Arial"/>
                <w:sz w:val="16"/>
                <w:szCs w:val="16"/>
              </w:rPr>
              <w:t xml:space="preserve"> </w:t>
            </w:r>
            <w:r w:rsidRPr="00FD516E">
              <w:rPr>
                <w:rFonts w:cs="Arial"/>
                <w:sz w:val="16"/>
                <w:szCs w:val="16"/>
              </w:rPr>
              <w:t>(including biogenic</w:t>
            </w:r>
            <w:r w:rsidR="002512B4">
              <w:rPr>
                <w:rFonts w:cs="Arial"/>
                <w:sz w:val="16"/>
                <w:szCs w:val="16"/>
              </w:rPr>
              <w:t xml:space="preserve"> </w:t>
            </w:r>
            <w:r w:rsidR="006F2C87">
              <w:rPr>
                <w:rFonts w:cs="Arial"/>
                <w:sz w:val="20"/>
                <w:vertAlign w:val="superscript"/>
              </w:rPr>
              <w:t>2</w:t>
            </w:r>
            <w:r w:rsidRPr="00FD516E">
              <w:rPr>
                <w:rFonts w:cs="Arial"/>
                <w:sz w:val="16"/>
                <w:szCs w:val="16"/>
              </w:rPr>
              <w:t>)</w:t>
            </w:r>
          </w:p>
        </w:tc>
      </w:tr>
      <w:tr w:rsidR="00154F36" w:rsidRPr="00FD516E" w14:paraId="529A0433" w14:textId="77777777" w:rsidTr="00154F36">
        <w:trPr>
          <w:trHeight w:val="432"/>
        </w:trPr>
        <w:tc>
          <w:tcPr>
            <w:tcW w:w="3397" w:type="dxa"/>
            <w:tcBorders>
              <w:top w:val="nil"/>
              <w:left w:val="double" w:sz="6" w:space="0" w:color="auto"/>
              <w:bottom w:val="single" w:sz="4" w:space="0" w:color="auto"/>
              <w:right w:val="single" w:sz="4" w:space="0" w:color="auto"/>
            </w:tcBorders>
            <w:shd w:val="clear" w:color="auto" w:fill="auto"/>
            <w:vAlign w:val="center"/>
            <w:hideMark/>
          </w:tcPr>
          <w:p w14:paraId="1E967A68" w14:textId="71560EAA" w:rsidR="00AB0C75" w:rsidRPr="00FD516E" w:rsidRDefault="00AB0C75" w:rsidP="00130059">
            <w:pPr>
              <w:widowControl/>
              <w:autoSpaceDE/>
              <w:autoSpaceDN/>
              <w:adjustRightInd/>
              <w:ind w:left="0" w:firstLine="0"/>
              <w:jc w:val="left"/>
              <w:rPr>
                <w:rFonts w:cs="Arial"/>
                <w:sz w:val="16"/>
                <w:szCs w:val="16"/>
              </w:rPr>
            </w:pPr>
            <w:r w:rsidRPr="0079511C">
              <w:rPr>
                <w:rFonts w:cs="Arial"/>
                <w:sz w:val="16"/>
                <w:szCs w:val="16"/>
              </w:rPr>
              <w:t>Fugitive Emissions</w:t>
            </w:r>
          </w:p>
        </w:tc>
        <w:tc>
          <w:tcPr>
            <w:tcW w:w="1080" w:type="dxa"/>
            <w:tcBorders>
              <w:top w:val="nil"/>
              <w:left w:val="single" w:sz="8" w:space="0" w:color="auto"/>
              <w:bottom w:val="single" w:sz="4" w:space="0" w:color="auto"/>
              <w:right w:val="single" w:sz="8" w:space="0" w:color="auto"/>
            </w:tcBorders>
            <w:shd w:val="clear" w:color="auto" w:fill="auto"/>
            <w:vAlign w:val="center"/>
            <w:hideMark/>
          </w:tcPr>
          <w:p w14:paraId="0DE29903" w14:textId="77777777" w:rsidR="00AB0C75" w:rsidRPr="00FD516E" w:rsidRDefault="00AB0C75" w:rsidP="00EC3BCD">
            <w:pPr>
              <w:widowControl/>
              <w:autoSpaceDE/>
              <w:autoSpaceDN/>
              <w:adjustRightInd/>
              <w:ind w:left="0" w:firstLine="0"/>
              <w:jc w:val="center"/>
              <w:rPr>
                <w:rFonts w:cs="Arial"/>
                <w:sz w:val="16"/>
                <w:szCs w:val="16"/>
              </w:rPr>
            </w:pPr>
            <w:r w:rsidRPr="00FD516E">
              <w:rPr>
                <w:rFonts w:cs="Arial"/>
                <w:sz w:val="16"/>
                <w:szCs w:val="16"/>
              </w:rPr>
              <w:t>9,665</w:t>
            </w:r>
          </w:p>
        </w:tc>
        <w:tc>
          <w:tcPr>
            <w:tcW w:w="1080" w:type="dxa"/>
            <w:tcBorders>
              <w:top w:val="nil"/>
              <w:left w:val="nil"/>
              <w:bottom w:val="single" w:sz="4" w:space="0" w:color="auto"/>
              <w:right w:val="single" w:sz="4" w:space="0" w:color="auto"/>
            </w:tcBorders>
            <w:shd w:val="clear" w:color="auto" w:fill="auto"/>
            <w:vAlign w:val="center"/>
            <w:hideMark/>
          </w:tcPr>
          <w:p w14:paraId="4914C887" w14:textId="77EEBAA2" w:rsidR="00AB0C75" w:rsidRPr="00FD516E" w:rsidRDefault="002512B4" w:rsidP="00EC3BCD">
            <w:pPr>
              <w:widowControl/>
              <w:autoSpaceDE/>
              <w:autoSpaceDN/>
              <w:adjustRightInd/>
              <w:ind w:left="0" w:firstLine="0"/>
              <w:jc w:val="center"/>
              <w:rPr>
                <w:rFonts w:cs="Arial"/>
                <w:sz w:val="16"/>
                <w:szCs w:val="16"/>
              </w:rPr>
            </w:pPr>
            <w:r w:rsidRPr="00FD516E">
              <w:rPr>
                <w:rFonts w:cs="Arial"/>
                <w:sz w:val="16"/>
                <w:szCs w:val="16"/>
              </w:rPr>
              <w:t>4,624</w:t>
            </w:r>
          </w:p>
        </w:tc>
        <w:tc>
          <w:tcPr>
            <w:tcW w:w="1530" w:type="dxa"/>
            <w:tcBorders>
              <w:top w:val="nil"/>
              <w:left w:val="nil"/>
              <w:bottom w:val="single" w:sz="4" w:space="0" w:color="auto"/>
              <w:right w:val="single" w:sz="8" w:space="0" w:color="auto"/>
            </w:tcBorders>
            <w:shd w:val="clear" w:color="auto" w:fill="auto"/>
            <w:vAlign w:val="center"/>
            <w:hideMark/>
          </w:tcPr>
          <w:p w14:paraId="3D5DC4FA" w14:textId="77262210"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115,611</w:t>
            </w:r>
          </w:p>
        </w:tc>
        <w:tc>
          <w:tcPr>
            <w:tcW w:w="1530" w:type="dxa"/>
            <w:tcBorders>
              <w:top w:val="nil"/>
              <w:left w:val="nil"/>
              <w:bottom w:val="single" w:sz="4" w:space="0" w:color="auto"/>
              <w:right w:val="double" w:sz="4" w:space="0" w:color="auto"/>
            </w:tcBorders>
            <w:shd w:val="clear" w:color="auto" w:fill="auto"/>
            <w:vAlign w:val="center"/>
            <w:hideMark/>
          </w:tcPr>
          <w:p w14:paraId="15336084" w14:textId="69338C53"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125,276</w:t>
            </w:r>
          </w:p>
        </w:tc>
      </w:tr>
      <w:tr w:rsidR="00154F36" w:rsidRPr="00FD516E" w14:paraId="2F66D25B" w14:textId="77777777" w:rsidTr="00154F36">
        <w:trPr>
          <w:trHeight w:val="432"/>
        </w:trPr>
        <w:tc>
          <w:tcPr>
            <w:tcW w:w="3397" w:type="dxa"/>
            <w:tcBorders>
              <w:top w:val="nil"/>
              <w:left w:val="double" w:sz="6" w:space="0" w:color="auto"/>
              <w:bottom w:val="single" w:sz="4" w:space="0" w:color="auto"/>
              <w:right w:val="single" w:sz="4" w:space="0" w:color="auto"/>
            </w:tcBorders>
            <w:shd w:val="clear" w:color="auto" w:fill="auto"/>
            <w:vAlign w:val="center"/>
            <w:hideMark/>
          </w:tcPr>
          <w:p w14:paraId="0BD0A768" w14:textId="21C8A5B0" w:rsidR="00AB0C75" w:rsidRPr="00FD516E" w:rsidRDefault="00AB0C75" w:rsidP="00130059">
            <w:pPr>
              <w:widowControl/>
              <w:autoSpaceDE/>
              <w:autoSpaceDN/>
              <w:adjustRightInd/>
              <w:ind w:left="0" w:firstLine="0"/>
              <w:jc w:val="left"/>
              <w:rPr>
                <w:rFonts w:cs="Arial"/>
                <w:sz w:val="16"/>
                <w:szCs w:val="16"/>
              </w:rPr>
            </w:pPr>
            <w:r w:rsidRPr="0079511C">
              <w:rPr>
                <w:rFonts w:cs="Arial"/>
                <w:sz w:val="16"/>
                <w:szCs w:val="16"/>
              </w:rPr>
              <w:t>Flare Combustion Emissions</w:t>
            </w:r>
          </w:p>
        </w:tc>
        <w:tc>
          <w:tcPr>
            <w:tcW w:w="1080" w:type="dxa"/>
            <w:tcBorders>
              <w:top w:val="nil"/>
              <w:left w:val="single" w:sz="8" w:space="0" w:color="auto"/>
              <w:bottom w:val="single" w:sz="4" w:space="0" w:color="auto"/>
              <w:right w:val="single" w:sz="8" w:space="0" w:color="auto"/>
            </w:tcBorders>
            <w:shd w:val="clear" w:color="auto" w:fill="auto"/>
            <w:vAlign w:val="center"/>
            <w:hideMark/>
          </w:tcPr>
          <w:p w14:paraId="5EB2EAF7" w14:textId="693C46B1" w:rsidR="00AB0C75" w:rsidRPr="00FD516E" w:rsidRDefault="00130059" w:rsidP="00EC3BCD">
            <w:pPr>
              <w:widowControl/>
              <w:autoSpaceDE/>
              <w:autoSpaceDN/>
              <w:adjustRightInd/>
              <w:ind w:left="0" w:firstLine="0"/>
              <w:jc w:val="center"/>
              <w:rPr>
                <w:rFonts w:cs="Arial"/>
                <w:sz w:val="16"/>
                <w:szCs w:val="16"/>
              </w:rPr>
            </w:pPr>
            <w:r w:rsidRPr="00FD516E">
              <w:rPr>
                <w:rFonts w:cs="Arial"/>
                <w:sz w:val="16"/>
                <w:szCs w:val="16"/>
              </w:rPr>
              <w:t>36,887</w:t>
            </w:r>
          </w:p>
        </w:tc>
        <w:tc>
          <w:tcPr>
            <w:tcW w:w="1080" w:type="dxa"/>
            <w:tcBorders>
              <w:top w:val="nil"/>
              <w:left w:val="nil"/>
              <w:bottom w:val="single" w:sz="4" w:space="0" w:color="auto"/>
              <w:right w:val="single" w:sz="4" w:space="0" w:color="auto"/>
            </w:tcBorders>
            <w:shd w:val="clear" w:color="auto" w:fill="auto"/>
            <w:vAlign w:val="center"/>
            <w:hideMark/>
          </w:tcPr>
          <w:p w14:paraId="10ECE9B0" w14:textId="77777777" w:rsidR="00AB0C75" w:rsidRPr="00FD516E" w:rsidRDefault="00AB0C75" w:rsidP="00EC3BCD">
            <w:pPr>
              <w:widowControl/>
              <w:autoSpaceDE/>
              <w:autoSpaceDN/>
              <w:adjustRightInd/>
              <w:ind w:left="0" w:firstLine="0"/>
              <w:jc w:val="center"/>
              <w:rPr>
                <w:rFonts w:cs="Arial"/>
                <w:sz w:val="16"/>
                <w:szCs w:val="16"/>
              </w:rPr>
            </w:pPr>
            <w:r w:rsidRPr="00FD516E">
              <w:rPr>
                <w:rFonts w:cs="Arial"/>
                <w:sz w:val="16"/>
                <w:szCs w:val="16"/>
              </w:rPr>
              <w:t>274</w:t>
            </w:r>
          </w:p>
        </w:tc>
        <w:tc>
          <w:tcPr>
            <w:tcW w:w="1530" w:type="dxa"/>
            <w:tcBorders>
              <w:top w:val="nil"/>
              <w:left w:val="nil"/>
              <w:bottom w:val="single" w:sz="4" w:space="0" w:color="auto"/>
              <w:right w:val="single" w:sz="8" w:space="0" w:color="auto"/>
            </w:tcBorders>
            <w:shd w:val="clear" w:color="auto" w:fill="auto"/>
            <w:vAlign w:val="center"/>
            <w:hideMark/>
          </w:tcPr>
          <w:p w14:paraId="6BCDC440" w14:textId="38ABCAD7"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6,844</w:t>
            </w:r>
          </w:p>
        </w:tc>
        <w:tc>
          <w:tcPr>
            <w:tcW w:w="1530" w:type="dxa"/>
            <w:tcBorders>
              <w:top w:val="nil"/>
              <w:left w:val="nil"/>
              <w:bottom w:val="single" w:sz="4" w:space="0" w:color="auto"/>
              <w:right w:val="double" w:sz="4" w:space="0" w:color="auto"/>
            </w:tcBorders>
            <w:shd w:val="clear" w:color="auto" w:fill="auto"/>
            <w:vAlign w:val="center"/>
            <w:hideMark/>
          </w:tcPr>
          <w:p w14:paraId="140BF4D4" w14:textId="08154DE9"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43,730</w:t>
            </w:r>
          </w:p>
        </w:tc>
      </w:tr>
      <w:tr w:rsidR="00154F36" w:rsidRPr="00FD516E" w14:paraId="5D1551A0" w14:textId="77777777" w:rsidTr="00154F36">
        <w:trPr>
          <w:trHeight w:val="432"/>
        </w:trPr>
        <w:tc>
          <w:tcPr>
            <w:tcW w:w="3397" w:type="dxa"/>
            <w:tcBorders>
              <w:top w:val="nil"/>
              <w:left w:val="double" w:sz="6" w:space="0" w:color="auto"/>
              <w:bottom w:val="single" w:sz="4" w:space="0" w:color="auto"/>
              <w:right w:val="single" w:sz="4" w:space="0" w:color="auto"/>
            </w:tcBorders>
            <w:shd w:val="clear" w:color="auto" w:fill="auto"/>
            <w:vAlign w:val="center"/>
            <w:hideMark/>
          </w:tcPr>
          <w:p w14:paraId="3065BDF4" w14:textId="6CDBA42B" w:rsidR="00AB0C75" w:rsidRPr="00FD516E" w:rsidRDefault="00AB0C75" w:rsidP="00130059">
            <w:pPr>
              <w:widowControl/>
              <w:autoSpaceDE/>
              <w:autoSpaceDN/>
              <w:adjustRightInd/>
              <w:ind w:left="0" w:firstLine="0"/>
              <w:jc w:val="left"/>
              <w:rPr>
                <w:rFonts w:cs="Arial"/>
                <w:sz w:val="16"/>
                <w:szCs w:val="16"/>
              </w:rPr>
            </w:pPr>
            <w:r w:rsidRPr="0079511C">
              <w:rPr>
                <w:rFonts w:cs="Arial"/>
                <w:sz w:val="16"/>
                <w:szCs w:val="16"/>
              </w:rPr>
              <w:t>Collected CO</w:t>
            </w:r>
            <w:r w:rsidRPr="0079511C">
              <w:rPr>
                <w:rFonts w:cs="Arial"/>
                <w:sz w:val="16"/>
                <w:szCs w:val="16"/>
                <w:vertAlign w:val="subscript"/>
              </w:rPr>
              <w:t>2</w:t>
            </w:r>
            <w:r w:rsidRPr="0079511C">
              <w:rPr>
                <w:rFonts w:cs="Arial"/>
                <w:sz w:val="16"/>
                <w:szCs w:val="16"/>
              </w:rPr>
              <w:t xml:space="preserve"> Emitted from Flare</w:t>
            </w:r>
          </w:p>
        </w:tc>
        <w:tc>
          <w:tcPr>
            <w:tcW w:w="1080" w:type="dxa"/>
            <w:tcBorders>
              <w:top w:val="nil"/>
              <w:left w:val="single" w:sz="8" w:space="0" w:color="auto"/>
              <w:bottom w:val="nil"/>
              <w:right w:val="single" w:sz="8" w:space="0" w:color="auto"/>
            </w:tcBorders>
            <w:shd w:val="clear" w:color="auto" w:fill="auto"/>
            <w:noWrap/>
            <w:vAlign w:val="center"/>
            <w:hideMark/>
          </w:tcPr>
          <w:p w14:paraId="4A350325" w14:textId="7A0360CA" w:rsidR="00AB0C75" w:rsidRPr="00FD516E" w:rsidRDefault="00130059" w:rsidP="00EC3BCD">
            <w:pPr>
              <w:widowControl/>
              <w:autoSpaceDE/>
              <w:autoSpaceDN/>
              <w:adjustRightInd/>
              <w:ind w:left="0" w:firstLine="0"/>
              <w:jc w:val="center"/>
              <w:rPr>
                <w:rFonts w:cs="Arial"/>
                <w:sz w:val="16"/>
                <w:szCs w:val="16"/>
              </w:rPr>
            </w:pPr>
            <w:r w:rsidRPr="00FD516E">
              <w:rPr>
                <w:rFonts w:cs="Arial"/>
                <w:sz w:val="16"/>
                <w:szCs w:val="16"/>
              </w:rPr>
              <w:t>28,606</w:t>
            </w:r>
          </w:p>
        </w:tc>
        <w:tc>
          <w:tcPr>
            <w:tcW w:w="1080" w:type="dxa"/>
            <w:tcBorders>
              <w:top w:val="nil"/>
              <w:left w:val="nil"/>
              <w:bottom w:val="single" w:sz="4" w:space="0" w:color="auto"/>
              <w:right w:val="single" w:sz="4" w:space="0" w:color="auto"/>
            </w:tcBorders>
            <w:shd w:val="clear" w:color="auto" w:fill="auto"/>
            <w:noWrap/>
            <w:vAlign w:val="center"/>
            <w:hideMark/>
          </w:tcPr>
          <w:p w14:paraId="6EC6838C" w14:textId="366AA8F0" w:rsidR="00AB0C75" w:rsidRPr="00FD516E" w:rsidRDefault="002512B4" w:rsidP="00EC3BCD">
            <w:pPr>
              <w:widowControl/>
              <w:autoSpaceDE/>
              <w:autoSpaceDN/>
              <w:adjustRightInd/>
              <w:ind w:left="0" w:firstLine="0"/>
              <w:jc w:val="center"/>
              <w:rPr>
                <w:rFonts w:cs="Arial"/>
                <w:sz w:val="16"/>
                <w:szCs w:val="16"/>
              </w:rPr>
            </w:pPr>
            <w:r w:rsidRPr="002512B4">
              <w:rPr>
                <w:rFonts w:cs="Arial"/>
                <w:sz w:val="16"/>
                <w:szCs w:val="16"/>
              </w:rPr>
              <w:t>---</w:t>
            </w:r>
          </w:p>
        </w:tc>
        <w:tc>
          <w:tcPr>
            <w:tcW w:w="1530" w:type="dxa"/>
            <w:tcBorders>
              <w:top w:val="nil"/>
              <w:left w:val="nil"/>
              <w:bottom w:val="single" w:sz="4" w:space="0" w:color="auto"/>
              <w:right w:val="single" w:sz="8" w:space="0" w:color="auto"/>
            </w:tcBorders>
            <w:shd w:val="clear" w:color="auto" w:fill="auto"/>
            <w:vAlign w:val="center"/>
            <w:hideMark/>
          </w:tcPr>
          <w:p w14:paraId="50B17B48" w14:textId="77777777" w:rsidR="00AB0C75" w:rsidRPr="00FD516E" w:rsidRDefault="00AB0C75" w:rsidP="00EC3BCD">
            <w:pPr>
              <w:widowControl/>
              <w:autoSpaceDE/>
              <w:autoSpaceDN/>
              <w:adjustRightInd/>
              <w:ind w:left="0" w:firstLine="0"/>
              <w:jc w:val="center"/>
              <w:rPr>
                <w:rFonts w:cs="Arial"/>
                <w:sz w:val="16"/>
                <w:szCs w:val="16"/>
              </w:rPr>
            </w:pPr>
            <w:r w:rsidRPr="00FD516E">
              <w:rPr>
                <w:rFonts w:cs="Arial"/>
                <w:sz w:val="16"/>
                <w:szCs w:val="16"/>
              </w:rPr>
              <w:t>---</w:t>
            </w:r>
          </w:p>
        </w:tc>
        <w:tc>
          <w:tcPr>
            <w:tcW w:w="1530" w:type="dxa"/>
            <w:tcBorders>
              <w:top w:val="nil"/>
              <w:left w:val="nil"/>
              <w:bottom w:val="single" w:sz="4" w:space="0" w:color="auto"/>
              <w:right w:val="double" w:sz="4" w:space="0" w:color="auto"/>
            </w:tcBorders>
            <w:shd w:val="clear" w:color="auto" w:fill="auto"/>
            <w:noWrap/>
            <w:vAlign w:val="center"/>
            <w:hideMark/>
          </w:tcPr>
          <w:p w14:paraId="206B2C8C" w14:textId="56393BE9"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28,606</w:t>
            </w:r>
          </w:p>
        </w:tc>
      </w:tr>
      <w:tr w:rsidR="00154F36" w:rsidRPr="00FD516E" w14:paraId="745413AD" w14:textId="77777777" w:rsidTr="00154F36">
        <w:trPr>
          <w:trHeight w:val="432"/>
        </w:trPr>
        <w:tc>
          <w:tcPr>
            <w:tcW w:w="3397" w:type="dxa"/>
            <w:tcBorders>
              <w:top w:val="nil"/>
              <w:left w:val="double" w:sz="6" w:space="0" w:color="auto"/>
              <w:bottom w:val="single" w:sz="4" w:space="0" w:color="auto"/>
              <w:right w:val="single" w:sz="4" w:space="0" w:color="auto"/>
            </w:tcBorders>
            <w:shd w:val="clear" w:color="auto" w:fill="auto"/>
            <w:vAlign w:val="center"/>
            <w:hideMark/>
          </w:tcPr>
          <w:p w14:paraId="350B8040" w14:textId="6BCB2346" w:rsidR="00AB0C75" w:rsidRPr="00FD516E" w:rsidRDefault="00AB0C75" w:rsidP="00130059">
            <w:pPr>
              <w:widowControl/>
              <w:autoSpaceDE/>
              <w:autoSpaceDN/>
              <w:adjustRightInd/>
              <w:ind w:left="0" w:firstLine="0"/>
              <w:jc w:val="left"/>
              <w:rPr>
                <w:rFonts w:cs="Arial"/>
                <w:sz w:val="16"/>
                <w:szCs w:val="16"/>
              </w:rPr>
            </w:pPr>
            <w:r>
              <w:rPr>
                <w:rFonts w:cs="Arial"/>
                <w:sz w:val="16"/>
                <w:szCs w:val="16"/>
              </w:rPr>
              <w:t xml:space="preserve">LFGTE </w:t>
            </w:r>
            <w:r w:rsidRPr="0079511C">
              <w:rPr>
                <w:rFonts w:cs="Arial"/>
                <w:sz w:val="16"/>
                <w:szCs w:val="16"/>
              </w:rPr>
              <w:t>Engine Combustion Emissions</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43EADF" w14:textId="4CCC71C9" w:rsidR="00AB0C75" w:rsidRPr="00FD516E" w:rsidRDefault="00130059" w:rsidP="00EC3BCD">
            <w:pPr>
              <w:widowControl/>
              <w:autoSpaceDE/>
              <w:autoSpaceDN/>
              <w:adjustRightInd/>
              <w:ind w:left="0" w:firstLine="0"/>
              <w:jc w:val="center"/>
              <w:rPr>
                <w:rFonts w:cs="Arial"/>
                <w:sz w:val="16"/>
                <w:szCs w:val="16"/>
              </w:rPr>
            </w:pPr>
            <w:r w:rsidRPr="00FD516E">
              <w:rPr>
                <w:rFonts w:cs="Arial"/>
                <w:sz w:val="16"/>
                <w:szCs w:val="16"/>
              </w:rPr>
              <w:t>38,010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963BC2" w14:textId="3BF3EC67" w:rsidR="00AB0C75" w:rsidRPr="00FD516E" w:rsidRDefault="002512B4" w:rsidP="00EC3BCD">
            <w:pPr>
              <w:widowControl/>
              <w:autoSpaceDE/>
              <w:autoSpaceDN/>
              <w:adjustRightInd/>
              <w:ind w:left="0" w:firstLine="0"/>
              <w:jc w:val="center"/>
              <w:rPr>
                <w:rFonts w:cs="Arial"/>
                <w:sz w:val="16"/>
                <w:szCs w:val="16"/>
              </w:rPr>
            </w:pPr>
            <w:r w:rsidRPr="00FD516E">
              <w:rPr>
                <w:rFonts w:cs="Arial"/>
                <w:sz w:val="16"/>
                <w:szCs w:val="16"/>
              </w:rPr>
              <w:t>282</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14:paraId="437F7E02" w14:textId="4E824A61"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7,052</w:t>
            </w:r>
          </w:p>
        </w:tc>
        <w:tc>
          <w:tcPr>
            <w:tcW w:w="1530" w:type="dxa"/>
            <w:tcBorders>
              <w:top w:val="single" w:sz="4" w:space="0" w:color="auto"/>
              <w:left w:val="nil"/>
              <w:bottom w:val="single" w:sz="4" w:space="0" w:color="auto"/>
              <w:right w:val="double" w:sz="4" w:space="0" w:color="auto"/>
            </w:tcBorders>
            <w:shd w:val="clear" w:color="auto" w:fill="auto"/>
            <w:vAlign w:val="center"/>
            <w:hideMark/>
          </w:tcPr>
          <w:p w14:paraId="03068FDA" w14:textId="05138660"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45,062</w:t>
            </w:r>
          </w:p>
        </w:tc>
      </w:tr>
      <w:tr w:rsidR="00154F36" w:rsidRPr="00FD516E" w14:paraId="657C8FCF" w14:textId="77777777" w:rsidTr="00154F36">
        <w:trPr>
          <w:trHeight w:val="432"/>
        </w:trPr>
        <w:tc>
          <w:tcPr>
            <w:tcW w:w="3397" w:type="dxa"/>
            <w:tcBorders>
              <w:top w:val="single" w:sz="4" w:space="0" w:color="auto"/>
              <w:left w:val="double" w:sz="6" w:space="0" w:color="auto"/>
              <w:bottom w:val="single" w:sz="4" w:space="0" w:color="auto"/>
              <w:right w:val="single" w:sz="4" w:space="0" w:color="auto"/>
            </w:tcBorders>
            <w:shd w:val="clear" w:color="auto" w:fill="auto"/>
            <w:vAlign w:val="center"/>
          </w:tcPr>
          <w:p w14:paraId="0909E6AC" w14:textId="6DFBED3F" w:rsidR="00AB0C75" w:rsidRPr="00FD516E" w:rsidRDefault="00AB0C75" w:rsidP="00130059">
            <w:pPr>
              <w:widowControl/>
              <w:autoSpaceDE/>
              <w:autoSpaceDN/>
              <w:adjustRightInd/>
              <w:ind w:left="0" w:firstLine="0"/>
              <w:jc w:val="left"/>
              <w:rPr>
                <w:rFonts w:cs="Arial"/>
                <w:sz w:val="16"/>
                <w:szCs w:val="16"/>
              </w:rPr>
            </w:pPr>
            <w:r w:rsidRPr="008E0BF9">
              <w:rPr>
                <w:rFonts w:cs="Arial"/>
                <w:sz w:val="16"/>
                <w:szCs w:val="16"/>
              </w:rPr>
              <w:t>Collected CO</w:t>
            </w:r>
            <w:r w:rsidRPr="008E0BF9">
              <w:rPr>
                <w:rFonts w:cs="Arial"/>
                <w:sz w:val="16"/>
                <w:szCs w:val="16"/>
                <w:vertAlign w:val="subscript"/>
              </w:rPr>
              <w:t>2</w:t>
            </w:r>
            <w:r w:rsidRPr="008E0BF9">
              <w:rPr>
                <w:rFonts w:cs="Arial"/>
                <w:sz w:val="16"/>
                <w:szCs w:val="16"/>
              </w:rPr>
              <w:t xml:space="preserve"> Emitted from </w:t>
            </w:r>
            <w:r>
              <w:rPr>
                <w:rFonts w:cs="Arial"/>
                <w:sz w:val="16"/>
                <w:szCs w:val="16"/>
              </w:rPr>
              <w:t xml:space="preserve">LFGTE </w:t>
            </w:r>
            <w:r w:rsidRPr="008E0BF9">
              <w:rPr>
                <w:rFonts w:cs="Arial"/>
                <w:sz w:val="16"/>
                <w:szCs w:val="16"/>
              </w:rPr>
              <w:t>Engines</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5BE2FB12" w14:textId="6130C8DE" w:rsidR="00AB0C75" w:rsidRPr="00FD516E" w:rsidRDefault="00130059" w:rsidP="00EC3BCD">
            <w:pPr>
              <w:widowControl/>
              <w:autoSpaceDE/>
              <w:autoSpaceDN/>
              <w:adjustRightInd/>
              <w:ind w:left="0" w:firstLine="0"/>
              <w:jc w:val="center"/>
              <w:rPr>
                <w:rFonts w:cs="Arial"/>
                <w:sz w:val="16"/>
                <w:szCs w:val="16"/>
              </w:rPr>
            </w:pPr>
            <w:r w:rsidRPr="00FD516E">
              <w:rPr>
                <w:rFonts w:cs="Arial"/>
                <w:sz w:val="16"/>
                <w:szCs w:val="16"/>
              </w:rPr>
              <w:t>29,477</w:t>
            </w:r>
          </w:p>
        </w:tc>
        <w:tc>
          <w:tcPr>
            <w:tcW w:w="1080" w:type="dxa"/>
            <w:tcBorders>
              <w:top w:val="single" w:sz="4" w:space="0" w:color="auto"/>
              <w:left w:val="nil"/>
              <w:bottom w:val="single" w:sz="4" w:space="0" w:color="auto"/>
              <w:right w:val="single" w:sz="4" w:space="0" w:color="auto"/>
            </w:tcBorders>
            <w:shd w:val="clear" w:color="auto" w:fill="auto"/>
            <w:vAlign w:val="center"/>
          </w:tcPr>
          <w:p w14:paraId="2DC6D049" w14:textId="57D283CE" w:rsidR="00AB0C75" w:rsidRPr="00FD516E" w:rsidRDefault="002512B4" w:rsidP="00EC3BCD">
            <w:pPr>
              <w:widowControl/>
              <w:autoSpaceDE/>
              <w:autoSpaceDN/>
              <w:adjustRightInd/>
              <w:ind w:left="0" w:firstLine="0"/>
              <w:jc w:val="center"/>
              <w:rPr>
                <w:rFonts w:cs="Arial"/>
                <w:sz w:val="16"/>
                <w:szCs w:val="16"/>
              </w:rPr>
            </w:pPr>
            <w:r w:rsidRPr="00FD516E">
              <w:rPr>
                <w:rFonts w:cs="Arial"/>
                <w:sz w:val="16"/>
                <w:szCs w:val="16"/>
              </w:rPr>
              <w:t>---</w:t>
            </w:r>
          </w:p>
        </w:tc>
        <w:tc>
          <w:tcPr>
            <w:tcW w:w="1530" w:type="dxa"/>
            <w:tcBorders>
              <w:top w:val="single" w:sz="4" w:space="0" w:color="auto"/>
              <w:left w:val="nil"/>
              <w:bottom w:val="single" w:sz="4" w:space="0" w:color="auto"/>
              <w:right w:val="single" w:sz="8" w:space="0" w:color="auto"/>
            </w:tcBorders>
            <w:shd w:val="clear" w:color="auto" w:fill="auto"/>
            <w:vAlign w:val="center"/>
          </w:tcPr>
          <w:p w14:paraId="3F3145D4" w14:textId="6EA29798" w:rsidR="00AB0C75" w:rsidRPr="00FD516E" w:rsidRDefault="00972905" w:rsidP="00EC3BCD">
            <w:pPr>
              <w:widowControl/>
              <w:autoSpaceDE/>
              <w:autoSpaceDN/>
              <w:adjustRightInd/>
              <w:ind w:left="0" w:firstLine="0"/>
              <w:jc w:val="center"/>
              <w:rPr>
                <w:rFonts w:cs="Arial"/>
                <w:sz w:val="16"/>
                <w:szCs w:val="16"/>
              </w:rPr>
            </w:pPr>
            <w:r w:rsidRPr="00FD516E">
              <w:rPr>
                <w:rFonts w:cs="Arial"/>
                <w:sz w:val="16"/>
                <w:szCs w:val="16"/>
              </w:rPr>
              <w:t>---</w:t>
            </w:r>
          </w:p>
        </w:tc>
        <w:tc>
          <w:tcPr>
            <w:tcW w:w="1530" w:type="dxa"/>
            <w:tcBorders>
              <w:top w:val="single" w:sz="4" w:space="0" w:color="auto"/>
              <w:left w:val="nil"/>
              <w:bottom w:val="single" w:sz="4" w:space="0" w:color="auto"/>
              <w:right w:val="double" w:sz="4" w:space="0" w:color="auto"/>
            </w:tcBorders>
            <w:shd w:val="clear" w:color="auto" w:fill="auto"/>
            <w:vAlign w:val="center"/>
          </w:tcPr>
          <w:p w14:paraId="12911512" w14:textId="5C6DCEA1"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29,477</w:t>
            </w:r>
          </w:p>
        </w:tc>
      </w:tr>
      <w:tr w:rsidR="00130059" w:rsidRPr="00FD516E" w14:paraId="4DA7F590" w14:textId="77777777" w:rsidTr="00154F36">
        <w:trPr>
          <w:trHeight w:val="432"/>
        </w:trPr>
        <w:tc>
          <w:tcPr>
            <w:tcW w:w="3397" w:type="dxa"/>
            <w:tcBorders>
              <w:top w:val="single" w:sz="4" w:space="0" w:color="auto"/>
              <w:left w:val="double" w:sz="6" w:space="0" w:color="auto"/>
              <w:bottom w:val="single" w:sz="4" w:space="0" w:color="auto"/>
              <w:right w:val="single" w:sz="4" w:space="0" w:color="auto"/>
            </w:tcBorders>
            <w:shd w:val="clear" w:color="auto" w:fill="auto"/>
            <w:vAlign w:val="center"/>
          </w:tcPr>
          <w:p w14:paraId="64AC2DE1" w14:textId="226A52A4" w:rsidR="00130059" w:rsidRPr="00FD516E" w:rsidRDefault="00130059" w:rsidP="00130059">
            <w:pPr>
              <w:widowControl/>
              <w:autoSpaceDE/>
              <w:autoSpaceDN/>
              <w:adjustRightInd/>
              <w:ind w:left="0" w:firstLine="0"/>
              <w:jc w:val="left"/>
              <w:rPr>
                <w:rFonts w:cs="Arial"/>
                <w:sz w:val="16"/>
                <w:szCs w:val="16"/>
              </w:rPr>
            </w:pPr>
            <w:r>
              <w:rPr>
                <w:rFonts w:cs="Arial"/>
                <w:sz w:val="16"/>
                <w:szCs w:val="16"/>
              </w:rPr>
              <w:t>Non-Road Engine CO</w:t>
            </w:r>
            <w:r w:rsidRPr="002512B4">
              <w:rPr>
                <w:rFonts w:cs="Arial"/>
                <w:sz w:val="16"/>
                <w:szCs w:val="16"/>
                <w:vertAlign w:val="subscript"/>
              </w:rPr>
              <w:t>2</w:t>
            </w:r>
            <w:r w:rsidR="002512B4">
              <w:rPr>
                <w:rFonts w:cs="Arial"/>
                <w:sz w:val="16"/>
                <w:szCs w:val="16"/>
              </w:rPr>
              <w:t>e Emissions</w:t>
            </w:r>
            <w:r w:rsidR="006F2C87">
              <w:rPr>
                <w:rFonts w:cs="Arial"/>
                <w:sz w:val="16"/>
                <w:szCs w:val="16"/>
              </w:rPr>
              <w:t xml:space="preserve"> </w:t>
            </w:r>
            <w:r w:rsidR="006F2C87" w:rsidRPr="006F2C87">
              <w:rPr>
                <w:rFonts w:cs="Arial"/>
                <w:sz w:val="20"/>
                <w:vertAlign w:val="superscript"/>
              </w:rPr>
              <w:t>3</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3C690ADF" w14:textId="7D45A675" w:rsidR="00130059" w:rsidRPr="00FD516E" w:rsidRDefault="009C1273" w:rsidP="00EC3BCD">
            <w:pPr>
              <w:widowControl/>
              <w:autoSpaceDE/>
              <w:autoSpaceDN/>
              <w:adjustRightInd/>
              <w:ind w:left="0" w:firstLine="0"/>
              <w:jc w:val="center"/>
              <w:rPr>
                <w:rFonts w:cs="Arial"/>
                <w:sz w:val="16"/>
                <w:szCs w:val="16"/>
              </w:rPr>
            </w:pPr>
            <w:r w:rsidRPr="00FD516E">
              <w:rPr>
                <w:rFonts w:cs="Arial"/>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D2E9B3" w14:textId="6436C58A" w:rsidR="00130059" w:rsidRPr="00FD516E" w:rsidRDefault="002512B4" w:rsidP="00EC3BCD">
            <w:pPr>
              <w:widowControl/>
              <w:autoSpaceDE/>
              <w:autoSpaceDN/>
              <w:adjustRightInd/>
              <w:ind w:left="0" w:firstLine="0"/>
              <w:jc w:val="center"/>
              <w:rPr>
                <w:rFonts w:cs="Arial"/>
                <w:sz w:val="16"/>
                <w:szCs w:val="16"/>
              </w:rPr>
            </w:pPr>
            <w:r w:rsidRPr="00FD516E">
              <w:rPr>
                <w:rFonts w:cs="Arial"/>
                <w:sz w:val="16"/>
                <w:szCs w:val="16"/>
              </w:rPr>
              <w:t>---</w:t>
            </w:r>
          </w:p>
        </w:tc>
        <w:tc>
          <w:tcPr>
            <w:tcW w:w="1530" w:type="dxa"/>
            <w:tcBorders>
              <w:top w:val="single" w:sz="4" w:space="0" w:color="auto"/>
              <w:left w:val="nil"/>
              <w:bottom w:val="single" w:sz="4" w:space="0" w:color="auto"/>
              <w:right w:val="single" w:sz="8" w:space="0" w:color="auto"/>
            </w:tcBorders>
            <w:shd w:val="clear" w:color="auto" w:fill="auto"/>
            <w:vAlign w:val="center"/>
          </w:tcPr>
          <w:p w14:paraId="4A5C45F4" w14:textId="788447A4" w:rsidR="00130059" w:rsidRPr="00FD516E" w:rsidRDefault="00F30519" w:rsidP="00EC3BCD">
            <w:pPr>
              <w:widowControl/>
              <w:autoSpaceDE/>
              <w:autoSpaceDN/>
              <w:adjustRightInd/>
              <w:ind w:left="0" w:firstLine="0"/>
              <w:jc w:val="center"/>
              <w:rPr>
                <w:rFonts w:cs="Arial"/>
                <w:sz w:val="16"/>
                <w:szCs w:val="16"/>
              </w:rPr>
            </w:pPr>
            <w:r>
              <w:rPr>
                <w:rFonts w:cs="Arial"/>
                <w:sz w:val="16"/>
                <w:szCs w:val="16"/>
              </w:rPr>
              <w:t>2,483</w:t>
            </w:r>
          </w:p>
        </w:tc>
        <w:tc>
          <w:tcPr>
            <w:tcW w:w="1530" w:type="dxa"/>
            <w:tcBorders>
              <w:top w:val="single" w:sz="4" w:space="0" w:color="auto"/>
              <w:left w:val="nil"/>
              <w:bottom w:val="single" w:sz="4" w:space="0" w:color="auto"/>
              <w:right w:val="double" w:sz="4" w:space="0" w:color="auto"/>
            </w:tcBorders>
            <w:shd w:val="clear" w:color="auto" w:fill="auto"/>
            <w:vAlign w:val="center"/>
          </w:tcPr>
          <w:p w14:paraId="50F477E2" w14:textId="2E94EEA8" w:rsidR="00130059" w:rsidRPr="00FD516E" w:rsidRDefault="00F30519" w:rsidP="00EC3BCD">
            <w:pPr>
              <w:widowControl/>
              <w:autoSpaceDE/>
              <w:autoSpaceDN/>
              <w:adjustRightInd/>
              <w:ind w:left="0" w:firstLine="0"/>
              <w:jc w:val="center"/>
              <w:rPr>
                <w:rFonts w:cs="Arial"/>
                <w:sz w:val="16"/>
                <w:szCs w:val="16"/>
              </w:rPr>
            </w:pPr>
            <w:r>
              <w:rPr>
                <w:rFonts w:cs="Arial"/>
                <w:sz w:val="16"/>
                <w:szCs w:val="16"/>
              </w:rPr>
              <w:t>2,483</w:t>
            </w:r>
          </w:p>
        </w:tc>
      </w:tr>
      <w:tr w:rsidR="00154F36" w:rsidRPr="00FD516E" w14:paraId="0E870EE2" w14:textId="77777777" w:rsidTr="00154F36">
        <w:trPr>
          <w:trHeight w:val="432"/>
        </w:trPr>
        <w:tc>
          <w:tcPr>
            <w:tcW w:w="3397" w:type="dxa"/>
            <w:tcBorders>
              <w:top w:val="single" w:sz="4" w:space="0" w:color="auto"/>
              <w:left w:val="double" w:sz="6" w:space="0" w:color="auto"/>
              <w:bottom w:val="single" w:sz="4" w:space="0" w:color="auto"/>
              <w:right w:val="single" w:sz="4" w:space="0" w:color="auto"/>
            </w:tcBorders>
            <w:shd w:val="clear" w:color="auto" w:fill="auto"/>
            <w:vAlign w:val="center"/>
          </w:tcPr>
          <w:p w14:paraId="1052F911" w14:textId="2B2D552E" w:rsidR="00AB0C75" w:rsidRPr="00FD516E" w:rsidRDefault="00AB0C75" w:rsidP="00130059">
            <w:pPr>
              <w:widowControl/>
              <w:autoSpaceDE/>
              <w:autoSpaceDN/>
              <w:adjustRightInd/>
              <w:ind w:left="0" w:firstLine="0"/>
              <w:jc w:val="left"/>
              <w:rPr>
                <w:rFonts w:cs="Arial"/>
                <w:sz w:val="16"/>
                <w:szCs w:val="16"/>
              </w:rPr>
            </w:pPr>
            <w:r w:rsidRPr="00FD516E">
              <w:rPr>
                <w:rFonts w:cs="Arial"/>
                <w:sz w:val="16"/>
                <w:szCs w:val="16"/>
              </w:rPr>
              <w:t>Total Estimated Emissions (tons/year</w:t>
            </w: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5A29C476" w14:textId="11736E7D"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142,646</w:t>
            </w:r>
          </w:p>
        </w:tc>
        <w:tc>
          <w:tcPr>
            <w:tcW w:w="1080" w:type="dxa"/>
            <w:tcBorders>
              <w:top w:val="single" w:sz="4" w:space="0" w:color="auto"/>
              <w:left w:val="nil"/>
              <w:bottom w:val="single" w:sz="4" w:space="0" w:color="auto"/>
              <w:right w:val="single" w:sz="4" w:space="0" w:color="auto"/>
            </w:tcBorders>
            <w:shd w:val="clear" w:color="auto" w:fill="auto"/>
            <w:vAlign w:val="center"/>
          </w:tcPr>
          <w:p w14:paraId="0F62C10E" w14:textId="024B4389"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5,180</w:t>
            </w:r>
          </w:p>
        </w:tc>
        <w:tc>
          <w:tcPr>
            <w:tcW w:w="1530" w:type="dxa"/>
            <w:tcBorders>
              <w:top w:val="single" w:sz="4" w:space="0" w:color="auto"/>
              <w:left w:val="nil"/>
              <w:bottom w:val="single" w:sz="4" w:space="0" w:color="auto"/>
              <w:right w:val="single" w:sz="8" w:space="0" w:color="auto"/>
            </w:tcBorders>
            <w:shd w:val="clear" w:color="auto" w:fill="auto"/>
            <w:vAlign w:val="center"/>
          </w:tcPr>
          <w:p w14:paraId="5A94F5EC" w14:textId="24485C9C" w:rsidR="00AB0C75" w:rsidRPr="00FD516E" w:rsidRDefault="007D243D" w:rsidP="00EC3BCD">
            <w:pPr>
              <w:widowControl/>
              <w:autoSpaceDE/>
              <w:autoSpaceDN/>
              <w:adjustRightInd/>
              <w:ind w:left="0" w:firstLine="0"/>
              <w:jc w:val="center"/>
              <w:rPr>
                <w:rFonts w:cs="Arial"/>
                <w:sz w:val="16"/>
                <w:szCs w:val="16"/>
              </w:rPr>
            </w:pPr>
            <w:r>
              <w:rPr>
                <w:rFonts w:cs="Arial"/>
                <w:sz w:val="16"/>
                <w:szCs w:val="16"/>
              </w:rPr>
              <w:t>131,990</w:t>
            </w:r>
          </w:p>
        </w:tc>
        <w:tc>
          <w:tcPr>
            <w:tcW w:w="1530" w:type="dxa"/>
            <w:tcBorders>
              <w:top w:val="single" w:sz="4" w:space="0" w:color="auto"/>
              <w:left w:val="nil"/>
              <w:bottom w:val="single" w:sz="4" w:space="0" w:color="auto"/>
              <w:right w:val="double" w:sz="4" w:space="0" w:color="auto"/>
            </w:tcBorders>
            <w:shd w:val="clear" w:color="auto" w:fill="auto"/>
            <w:vAlign w:val="center"/>
          </w:tcPr>
          <w:p w14:paraId="0B017EE6" w14:textId="21577D83" w:rsidR="00AB0C75" w:rsidRPr="00FD516E" w:rsidRDefault="006F2C87" w:rsidP="00EC3BCD">
            <w:pPr>
              <w:widowControl/>
              <w:autoSpaceDE/>
              <w:autoSpaceDN/>
              <w:adjustRightInd/>
              <w:ind w:left="0" w:firstLine="0"/>
              <w:jc w:val="center"/>
              <w:rPr>
                <w:rFonts w:cs="Arial"/>
                <w:sz w:val="16"/>
                <w:szCs w:val="16"/>
              </w:rPr>
            </w:pPr>
            <w:r w:rsidRPr="006F2C87">
              <w:rPr>
                <w:rFonts w:cs="Arial"/>
                <w:sz w:val="16"/>
                <w:szCs w:val="16"/>
              </w:rPr>
              <w:t>274,634</w:t>
            </w:r>
          </w:p>
        </w:tc>
      </w:tr>
      <w:tr w:rsidR="00154F36" w:rsidRPr="00FD516E" w14:paraId="176A5F63" w14:textId="77777777" w:rsidTr="00154F36">
        <w:trPr>
          <w:trHeight w:val="432"/>
        </w:trPr>
        <w:tc>
          <w:tcPr>
            <w:tcW w:w="3397" w:type="dxa"/>
            <w:tcBorders>
              <w:top w:val="single" w:sz="4" w:space="0" w:color="auto"/>
              <w:left w:val="double" w:sz="6" w:space="0" w:color="auto"/>
              <w:bottom w:val="double" w:sz="6" w:space="0" w:color="auto"/>
              <w:right w:val="single" w:sz="4" w:space="0" w:color="auto"/>
            </w:tcBorders>
            <w:shd w:val="clear" w:color="auto" w:fill="auto"/>
            <w:vAlign w:val="center"/>
          </w:tcPr>
          <w:p w14:paraId="004BC71D" w14:textId="39740DE8" w:rsidR="00AB0C75" w:rsidRPr="00FD516E" w:rsidRDefault="00AB0C75" w:rsidP="00130059">
            <w:pPr>
              <w:widowControl/>
              <w:autoSpaceDE/>
              <w:autoSpaceDN/>
              <w:adjustRightInd/>
              <w:ind w:left="0" w:firstLine="0"/>
              <w:jc w:val="left"/>
              <w:rPr>
                <w:rFonts w:cs="Arial"/>
                <w:sz w:val="16"/>
                <w:szCs w:val="16"/>
              </w:rPr>
            </w:pPr>
            <w:r w:rsidRPr="00FD516E">
              <w:rPr>
                <w:rFonts w:cs="Arial"/>
                <w:sz w:val="16"/>
                <w:szCs w:val="16"/>
              </w:rPr>
              <w:t>Total Estimated Emissions (tons/year CO</w:t>
            </w:r>
            <w:r w:rsidRPr="00FD516E">
              <w:rPr>
                <w:rFonts w:cs="Arial"/>
                <w:sz w:val="16"/>
                <w:szCs w:val="16"/>
                <w:vertAlign w:val="subscript"/>
              </w:rPr>
              <w:t>2</w:t>
            </w:r>
            <w:r w:rsidRPr="00FD516E">
              <w:rPr>
                <w:rFonts w:cs="Arial"/>
                <w:sz w:val="16"/>
                <w:szCs w:val="16"/>
              </w:rPr>
              <w:t>e)</w:t>
            </w:r>
          </w:p>
        </w:tc>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14:paraId="76225F1A" w14:textId="2CF07001"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142,646</w:t>
            </w:r>
          </w:p>
        </w:tc>
        <w:tc>
          <w:tcPr>
            <w:tcW w:w="1080" w:type="dxa"/>
            <w:tcBorders>
              <w:top w:val="single" w:sz="4" w:space="0" w:color="auto"/>
              <w:left w:val="nil"/>
              <w:bottom w:val="double" w:sz="6" w:space="0" w:color="auto"/>
              <w:right w:val="single" w:sz="4" w:space="0" w:color="auto"/>
            </w:tcBorders>
            <w:shd w:val="clear" w:color="auto" w:fill="auto"/>
            <w:vAlign w:val="center"/>
          </w:tcPr>
          <w:p w14:paraId="1FA751CC" w14:textId="10A15D0C" w:rsidR="00AB0C75" w:rsidRPr="00FD516E" w:rsidRDefault="00972905" w:rsidP="00EC3BCD">
            <w:pPr>
              <w:widowControl/>
              <w:autoSpaceDE/>
              <w:autoSpaceDN/>
              <w:adjustRightInd/>
              <w:ind w:left="0" w:firstLine="0"/>
              <w:jc w:val="center"/>
              <w:rPr>
                <w:rFonts w:cs="Arial"/>
                <w:sz w:val="16"/>
                <w:szCs w:val="16"/>
              </w:rPr>
            </w:pPr>
            <w:r w:rsidRPr="00972905">
              <w:rPr>
                <w:rFonts w:cs="Arial"/>
                <w:sz w:val="16"/>
                <w:szCs w:val="16"/>
              </w:rPr>
              <w:t>129,507</w:t>
            </w:r>
          </w:p>
        </w:tc>
        <w:tc>
          <w:tcPr>
            <w:tcW w:w="1530" w:type="dxa"/>
            <w:tcBorders>
              <w:top w:val="single" w:sz="4" w:space="0" w:color="auto"/>
              <w:left w:val="nil"/>
              <w:bottom w:val="double" w:sz="6" w:space="0" w:color="auto"/>
              <w:right w:val="single" w:sz="8" w:space="0" w:color="auto"/>
            </w:tcBorders>
            <w:shd w:val="clear" w:color="auto" w:fill="auto"/>
            <w:vAlign w:val="center"/>
          </w:tcPr>
          <w:p w14:paraId="70F9CFCE" w14:textId="0D3C05DE" w:rsidR="00AB0C75" w:rsidRPr="00FD516E" w:rsidRDefault="00972905" w:rsidP="00EC3BCD">
            <w:pPr>
              <w:widowControl/>
              <w:autoSpaceDE/>
              <w:autoSpaceDN/>
              <w:adjustRightInd/>
              <w:ind w:left="0" w:firstLine="0"/>
              <w:jc w:val="center"/>
              <w:rPr>
                <w:rFonts w:cs="Arial"/>
                <w:sz w:val="16"/>
                <w:szCs w:val="16"/>
              </w:rPr>
            </w:pPr>
            <w:r>
              <w:rPr>
                <w:rFonts w:cs="Arial"/>
                <w:sz w:val="16"/>
                <w:szCs w:val="16"/>
              </w:rPr>
              <w:t>131,990</w:t>
            </w:r>
          </w:p>
        </w:tc>
        <w:tc>
          <w:tcPr>
            <w:tcW w:w="1530" w:type="dxa"/>
            <w:tcBorders>
              <w:top w:val="single" w:sz="4" w:space="0" w:color="auto"/>
              <w:left w:val="nil"/>
              <w:bottom w:val="double" w:sz="6" w:space="0" w:color="auto"/>
              <w:right w:val="double" w:sz="4" w:space="0" w:color="auto"/>
            </w:tcBorders>
            <w:shd w:val="clear" w:color="auto" w:fill="auto"/>
            <w:vAlign w:val="center"/>
          </w:tcPr>
          <w:p w14:paraId="0DE9D402" w14:textId="67C7FA32" w:rsidR="00AB0C75" w:rsidRPr="00FD516E" w:rsidRDefault="007D243D" w:rsidP="00EC3BCD">
            <w:pPr>
              <w:widowControl/>
              <w:autoSpaceDE/>
              <w:autoSpaceDN/>
              <w:adjustRightInd/>
              <w:ind w:left="0" w:firstLine="0"/>
              <w:jc w:val="center"/>
              <w:rPr>
                <w:rFonts w:cs="Arial"/>
                <w:sz w:val="16"/>
                <w:szCs w:val="16"/>
              </w:rPr>
            </w:pPr>
            <w:r>
              <w:rPr>
                <w:rFonts w:cs="Arial"/>
                <w:sz w:val="16"/>
                <w:szCs w:val="16"/>
              </w:rPr>
              <w:t>274</w:t>
            </w:r>
            <w:r w:rsidR="006F2C87">
              <w:rPr>
                <w:rFonts w:cs="Arial"/>
                <w:sz w:val="16"/>
                <w:szCs w:val="16"/>
              </w:rPr>
              <w:t>,</w:t>
            </w:r>
            <w:r>
              <w:rPr>
                <w:rFonts w:cs="Arial"/>
                <w:sz w:val="16"/>
                <w:szCs w:val="16"/>
              </w:rPr>
              <w:t>634</w:t>
            </w:r>
          </w:p>
        </w:tc>
      </w:tr>
    </w:tbl>
    <w:p w14:paraId="2C7B142F" w14:textId="2E0212E3" w:rsidR="00986C29" w:rsidRDefault="00986C29" w:rsidP="00C020B4">
      <w:pPr>
        <w:ind w:left="0" w:firstLine="0"/>
        <w:rPr>
          <w:sz w:val="16"/>
          <w:szCs w:val="16"/>
        </w:rPr>
      </w:pPr>
    </w:p>
    <w:p w14:paraId="209B56C6" w14:textId="57FDE0B5" w:rsidR="00E809DF" w:rsidRPr="00497D72" w:rsidRDefault="00E809DF" w:rsidP="00497D72">
      <w:pPr>
        <w:ind w:left="864" w:hanging="144"/>
        <w:rPr>
          <w:sz w:val="16"/>
          <w:szCs w:val="16"/>
        </w:rPr>
      </w:pPr>
      <w:r w:rsidRPr="00FD516E">
        <w:rPr>
          <w:rFonts w:cs="Arial"/>
          <w:sz w:val="20"/>
          <w:vertAlign w:val="superscript"/>
        </w:rPr>
        <w:t>1</w:t>
      </w:r>
      <w:r w:rsidRPr="00FD516E">
        <w:rPr>
          <w:rFonts w:cs="Arial"/>
          <w:sz w:val="20"/>
        </w:rPr>
        <w:t xml:space="preserve"> </w:t>
      </w:r>
      <w:r w:rsidRPr="00497D72">
        <w:rPr>
          <w:rFonts w:cs="Arial"/>
          <w:sz w:val="16"/>
          <w:szCs w:val="16"/>
        </w:rPr>
        <w:t>The CO</w:t>
      </w:r>
      <w:r w:rsidRPr="00497D72">
        <w:rPr>
          <w:rFonts w:cs="Arial"/>
          <w:sz w:val="16"/>
          <w:szCs w:val="16"/>
          <w:vertAlign w:val="subscript"/>
        </w:rPr>
        <w:t>2</w:t>
      </w:r>
      <w:r w:rsidRPr="00497D72">
        <w:rPr>
          <w:rFonts w:cs="Arial"/>
          <w:sz w:val="16"/>
          <w:szCs w:val="16"/>
        </w:rPr>
        <w:t>e value for CH</w:t>
      </w:r>
      <w:r w:rsidRPr="00497D72">
        <w:rPr>
          <w:rFonts w:cs="Arial"/>
          <w:sz w:val="16"/>
          <w:szCs w:val="16"/>
          <w:vertAlign w:val="subscript"/>
        </w:rPr>
        <w:t>4</w:t>
      </w:r>
      <w:r w:rsidRPr="00497D72">
        <w:rPr>
          <w:rFonts w:cs="Arial"/>
          <w:sz w:val="16"/>
          <w:szCs w:val="16"/>
        </w:rPr>
        <w:t xml:space="preserve"> is based on a global warming potential (GWP) of 25.  Thus, one ton of CH</w:t>
      </w:r>
      <w:r w:rsidRPr="00497D72">
        <w:rPr>
          <w:rFonts w:cs="Arial"/>
          <w:sz w:val="16"/>
          <w:szCs w:val="16"/>
          <w:vertAlign w:val="subscript"/>
        </w:rPr>
        <w:t>4</w:t>
      </w:r>
      <w:r w:rsidRPr="00497D72">
        <w:rPr>
          <w:rFonts w:cs="Arial"/>
          <w:sz w:val="16"/>
          <w:szCs w:val="16"/>
        </w:rPr>
        <w:t xml:space="preserve"> has the equivalent effect on global warming of 25 tons of CO</w:t>
      </w:r>
      <w:r w:rsidRPr="00497D72">
        <w:rPr>
          <w:rFonts w:cs="Arial"/>
          <w:sz w:val="16"/>
          <w:szCs w:val="16"/>
          <w:vertAlign w:val="subscript"/>
        </w:rPr>
        <w:t>2</w:t>
      </w:r>
      <w:r w:rsidR="00497D72">
        <w:rPr>
          <w:rFonts w:cs="Arial"/>
          <w:sz w:val="16"/>
          <w:szCs w:val="16"/>
        </w:rPr>
        <w:t xml:space="preserve">.  </w:t>
      </w:r>
    </w:p>
    <w:p w14:paraId="1228000B" w14:textId="75FBAA30" w:rsidR="00B641E6" w:rsidRDefault="00E809DF" w:rsidP="00E64494">
      <w:pPr>
        <w:ind w:left="864" w:hanging="144"/>
        <w:rPr>
          <w:rFonts w:cs="Arial"/>
          <w:sz w:val="16"/>
          <w:szCs w:val="16"/>
        </w:rPr>
      </w:pPr>
      <w:r>
        <w:rPr>
          <w:rFonts w:cs="Arial"/>
          <w:sz w:val="20"/>
          <w:vertAlign w:val="superscript"/>
        </w:rPr>
        <w:t>2</w:t>
      </w:r>
      <w:r w:rsidRPr="00FD516E">
        <w:rPr>
          <w:rFonts w:cs="Arial"/>
          <w:sz w:val="20"/>
        </w:rPr>
        <w:t xml:space="preserve"> </w:t>
      </w:r>
      <w:r w:rsidR="00B641E6" w:rsidRPr="00FD516E">
        <w:rPr>
          <w:rFonts w:cs="Arial"/>
          <w:sz w:val="16"/>
          <w:szCs w:val="16"/>
        </w:rPr>
        <w:t>Biogenic CO</w:t>
      </w:r>
      <w:r w:rsidR="00B641E6" w:rsidRPr="00FD516E">
        <w:rPr>
          <w:rFonts w:cs="Arial"/>
          <w:sz w:val="16"/>
          <w:szCs w:val="16"/>
          <w:vertAlign w:val="subscript"/>
        </w:rPr>
        <w:t>2</w:t>
      </w:r>
      <w:r w:rsidR="00B641E6" w:rsidRPr="00FD516E">
        <w:rPr>
          <w:rFonts w:cs="Arial"/>
          <w:sz w:val="16"/>
          <w:szCs w:val="16"/>
        </w:rPr>
        <w:t xml:space="preserve"> emissions exclude the emissions of CO</w:t>
      </w:r>
      <w:r w:rsidR="00B641E6" w:rsidRPr="00FD516E">
        <w:rPr>
          <w:rFonts w:cs="Arial"/>
          <w:sz w:val="16"/>
          <w:szCs w:val="16"/>
          <w:vertAlign w:val="subscript"/>
        </w:rPr>
        <w:t>2</w:t>
      </w:r>
      <w:r w:rsidR="00B641E6" w:rsidRPr="00FD516E">
        <w:rPr>
          <w:rFonts w:cs="Arial"/>
          <w:sz w:val="16"/>
          <w:szCs w:val="16"/>
        </w:rPr>
        <w:t xml:space="preserve"> formed in the Landfill that are emitted as fugitive emissions or </w:t>
      </w:r>
      <w:r w:rsidR="00E64494" w:rsidRPr="00FD516E">
        <w:rPr>
          <w:rFonts w:cs="Arial"/>
          <w:sz w:val="16"/>
          <w:szCs w:val="16"/>
        </w:rPr>
        <w:t>are emissions of uncombusted CO</w:t>
      </w:r>
      <w:r w:rsidR="00E64494" w:rsidRPr="00FD516E">
        <w:rPr>
          <w:rFonts w:cs="Arial"/>
          <w:sz w:val="16"/>
          <w:szCs w:val="16"/>
          <w:vertAlign w:val="subscript"/>
        </w:rPr>
        <w:t>2</w:t>
      </w:r>
      <w:r w:rsidR="00E64494" w:rsidRPr="00FD516E">
        <w:rPr>
          <w:rFonts w:cs="Arial"/>
          <w:sz w:val="16"/>
          <w:szCs w:val="16"/>
        </w:rPr>
        <w:t xml:space="preserve"> emitted as part of the exhaust stream from a combustion process.  </w:t>
      </w:r>
      <w:r w:rsidR="00632563" w:rsidRPr="00FD516E">
        <w:rPr>
          <w:rFonts w:cs="Arial"/>
          <w:sz w:val="16"/>
          <w:szCs w:val="16"/>
        </w:rPr>
        <w:t>Emissions of GHGs from combustion of CH</w:t>
      </w:r>
      <w:r w:rsidR="00632563" w:rsidRPr="00FD516E">
        <w:rPr>
          <w:rFonts w:cs="Arial"/>
          <w:sz w:val="16"/>
          <w:szCs w:val="16"/>
          <w:vertAlign w:val="subscript"/>
        </w:rPr>
        <w:t>4</w:t>
      </w:r>
      <w:r w:rsidR="00632563" w:rsidRPr="00FD516E">
        <w:rPr>
          <w:rFonts w:cs="Arial"/>
          <w:sz w:val="16"/>
          <w:szCs w:val="16"/>
        </w:rPr>
        <w:t xml:space="preserve"> and fugitive CH</w:t>
      </w:r>
      <w:r w:rsidR="00632563" w:rsidRPr="00FD516E">
        <w:rPr>
          <w:rFonts w:cs="Arial"/>
          <w:sz w:val="16"/>
          <w:szCs w:val="16"/>
          <w:vertAlign w:val="subscript"/>
        </w:rPr>
        <w:t>4</w:t>
      </w:r>
      <w:r w:rsidR="00632563" w:rsidRPr="00FD516E">
        <w:rPr>
          <w:rFonts w:cs="Arial"/>
          <w:sz w:val="16"/>
          <w:szCs w:val="16"/>
        </w:rPr>
        <w:t xml:space="preserve"> emissions are not considered biogenic.  These emissions are converted to CO</w:t>
      </w:r>
      <w:r w:rsidR="00632563" w:rsidRPr="00FD516E">
        <w:rPr>
          <w:rFonts w:cs="Arial"/>
          <w:sz w:val="16"/>
          <w:szCs w:val="16"/>
          <w:vertAlign w:val="subscript"/>
        </w:rPr>
        <w:t>2</w:t>
      </w:r>
      <w:r w:rsidR="00632563" w:rsidRPr="00FD516E">
        <w:rPr>
          <w:rFonts w:cs="Arial"/>
          <w:sz w:val="16"/>
          <w:szCs w:val="16"/>
        </w:rPr>
        <w:t xml:space="preserve">e using the appropriate </w:t>
      </w:r>
      <w:r w:rsidR="00497D72" w:rsidRPr="00FD516E">
        <w:rPr>
          <w:rFonts w:cs="Arial"/>
          <w:sz w:val="16"/>
          <w:szCs w:val="16"/>
        </w:rPr>
        <w:t>GWP and</w:t>
      </w:r>
      <w:r w:rsidR="00632563" w:rsidRPr="00FD516E">
        <w:rPr>
          <w:rFonts w:cs="Arial"/>
          <w:sz w:val="16"/>
          <w:szCs w:val="16"/>
        </w:rPr>
        <w:t xml:space="preserve"> reported as CO</w:t>
      </w:r>
      <w:r w:rsidR="00632563" w:rsidRPr="00FD516E">
        <w:rPr>
          <w:rFonts w:cs="Arial"/>
          <w:sz w:val="16"/>
          <w:szCs w:val="16"/>
          <w:vertAlign w:val="subscript"/>
        </w:rPr>
        <w:t>2</w:t>
      </w:r>
      <w:r w:rsidR="00632563" w:rsidRPr="00FD516E">
        <w:rPr>
          <w:rFonts w:cs="Arial"/>
          <w:sz w:val="16"/>
          <w:szCs w:val="16"/>
        </w:rPr>
        <w:t>e emissions for the Facility</w:t>
      </w:r>
      <w:r>
        <w:rPr>
          <w:rFonts w:cs="Arial"/>
          <w:sz w:val="16"/>
          <w:szCs w:val="16"/>
        </w:rPr>
        <w:t xml:space="preserve">.  </w:t>
      </w:r>
    </w:p>
    <w:p w14:paraId="39DF3E9C" w14:textId="3E19B98C" w:rsidR="00E809DF" w:rsidRPr="00497D72" w:rsidRDefault="00E809DF" w:rsidP="00497D72">
      <w:pPr>
        <w:ind w:left="864" w:hanging="144"/>
        <w:rPr>
          <w:sz w:val="16"/>
          <w:szCs w:val="16"/>
        </w:rPr>
      </w:pPr>
      <w:r>
        <w:rPr>
          <w:rFonts w:cs="Arial"/>
          <w:sz w:val="20"/>
          <w:vertAlign w:val="superscript"/>
        </w:rPr>
        <w:t>3</w:t>
      </w:r>
      <w:r w:rsidRPr="00FD516E">
        <w:rPr>
          <w:rFonts w:cs="Arial"/>
          <w:sz w:val="20"/>
        </w:rPr>
        <w:t xml:space="preserve"> </w:t>
      </w:r>
      <w:r w:rsidRPr="00497D72">
        <w:rPr>
          <w:rFonts w:cs="Arial"/>
          <w:sz w:val="16"/>
          <w:szCs w:val="16"/>
        </w:rPr>
        <w:t>The CO</w:t>
      </w:r>
      <w:r w:rsidRPr="00497D72">
        <w:rPr>
          <w:rFonts w:cs="Arial"/>
          <w:sz w:val="16"/>
          <w:szCs w:val="16"/>
          <w:vertAlign w:val="subscript"/>
        </w:rPr>
        <w:t>2</w:t>
      </w:r>
      <w:r w:rsidRPr="00497D72">
        <w:rPr>
          <w:rFonts w:cs="Arial"/>
          <w:sz w:val="16"/>
          <w:szCs w:val="16"/>
        </w:rPr>
        <w:t xml:space="preserve">e emissions for fuel combustion in non-road engines is based on the </w:t>
      </w:r>
      <w:r w:rsidR="00497D72">
        <w:rPr>
          <w:rFonts w:cs="Arial"/>
          <w:sz w:val="16"/>
          <w:szCs w:val="16"/>
        </w:rPr>
        <w:t>d</w:t>
      </w:r>
      <w:r w:rsidRPr="00497D72">
        <w:rPr>
          <w:rFonts w:cs="Arial"/>
          <w:sz w:val="16"/>
          <w:szCs w:val="16"/>
        </w:rPr>
        <w:t>efault CO2</w:t>
      </w:r>
      <w:r w:rsidR="00497D72">
        <w:rPr>
          <w:rFonts w:cs="Arial"/>
          <w:sz w:val="16"/>
          <w:szCs w:val="16"/>
        </w:rPr>
        <w:t>e emission factor of 22.57 lb CO</w:t>
      </w:r>
      <w:r w:rsidR="00497D72" w:rsidRPr="00497D72">
        <w:rPr>
          <w:rFonts w:cs="Arial"/>
          <w:sz w:val="16"/>
          <w:szCs w:val="16"/>
          <w:vertAlign w:val="subscript"/>
        </w:rPr>
        <w:t>2</w:t>
      </w:r>
      <w:r w:rsidR="00497D72">
        <w:rPr>
          <w:rFonts w:cs="Arial"/>
          <w:sz w:val="16"/>
          <w:szCs w:val="16"/>
        </w:rPr>
        <w:t>e/gallon for No. 2 diesel combustion, which includes the CO</w:t>
      </w:r>
      <w:r w:rsidR="00497D72" w:rsidRPr="00497D72">
        <w:rPr>
          <w:rFonts w:cs="Arial"/>
          <w:sz w:val="16"/>
          <w:szCs w:val="16"/>
          <w:vertAlign w:val="subscript"/>
        </w:rPr>
        <w:t>2</w:t>
      </w:r>
      <w:r w:rsidR="00497D72">
        <w:rPr>
          <w:rFonts w:cs="Arial"/>
          <w:sz w:val="16"/>
          <w:szCs w:val="16"/>
        </w:rPr>
        <w:t>e for CH</w:t>
      </w:r>
      <w:r w:rsidR="00497D72" w:rsidRPr="00497D72">
        <w:rPr>
          <w:rFonts w:cs="Arial"/>
          <w:sz w:val="16"/>
          <w:szCs w:val="16"/>
          <w:vertAlign w:val="subscript"/>
        </w:rPr>
        <w:t>4</w:t>
      </w:r>
      <w:r w:rsidR="00497D72">
        <w:rPr>
          <w:rFonts w:cs="Arial"/>
          <w:sz w:val="16"/>
          <w:szCs w:val="16"/>
        </w:rPr>
        <w:t xml:space="preserve"> and N</w:t>
      </w:r>
      <w:r w:rsidR="00497D72" w:rsidRPr="00497D72">
        <w:rPr>
          <w:rFonts w:cs="Arial"/>
          <w:sz w:val="16"/>
          <w:szCs w:val="16"/>
          <w:vertAlign w:val="subscript"/>
        </w:rPr>
        <w:t>2</w:t>
      </w:r>
      <w:r w:rsidR="00497D72">
        <w:rPr>
          <w:rFonts w:cs="Arial"/>
          <w:sz w:val="16"/>
          <w:szCs w:val="16"/>
        </w:rPr>
        <w:t xml:space="preserve">0 resulting from the combustion of diesel fuel.  </w:t>
      </w:r>
    </w:p>
    <w:p w14:paraId="23965461" w14:textId="77777777" w:rsidR="00B641E6" w:rsidRPr="00FD516E" w:rsidRDefault="00B641E6" w:rsidP="00C020B4">
      <w:pPr>
        <w:ind w:left="0" w:firstLine="0"/>
        <w:rPr>
          <w:szCs w:val="22"/>
        </w:rPr>
      </w:pPr>
    </w:p>
    <w:p w14:paraId="2773851E" w14:textId="4AB6456D" w:rsidR="00A76C84" w:rsidRPr="00FD516E" w:rsidRDefault="00A76C84" w:rsidP="00A76C84">
      <w:pPr>
        <w:ind w:left="0" w:firstLine="0"/>
        <w:rPr>
          <w:szCs w:val="22"/>
        </w:rPr>
      </w:pPr>
      <w:r w:rsidRPr="00FD516E">
        <w:rPr>
          <w:b/>
          <w:szCs w:val="22"/>
        </w:rPr>
        <w:t>3.</w:t>
      </w:r>
      <w:r w:rsidR="00794B73" w:rsidRPr="00FD516E">
        <w:rPr>
          <w:b/>
          <w:szCs w:val="22"/>
        </w:rPr>
        <w:t>4</w:t>
      </w:r>
      <w:r w:rsidRPr="00FD516E">
        <w:rPr>
          <w:b/>
          <w:szCs w:val="22"/>
        </w:rPr>
        <w:tab/>
        <w:t>Combined Facility Emissions</w:t>
      </w:r>
    </w:p>
    <w:p w14:paraId="15C69822" w14:textId="77777777" w:rsidR="00A76C84" w:rsidRPr="00FD516E" w:rsidRDefault="00A76C84" w:rsidP="00A76C84">
      <w:pPr>
        <w:ind w:left="0" w:firstLine="0"/>
        <w:rPr>
          <w:szCs w:val="22"/>
        </w:rPr>
      </w:pPr>
    </w:p>
    <w:p w14:paraId="5A265038" w14:textId="1B54FA30" w:rsidR="00714F45" w:rsidRPr="00FD516E" w:rsidRDefault="00F851CD" w:rsidP="00A76C84">
      <w:pPr>
        <w:ind w:left="720" w:firstLine="0"/>
        <w:rPr>
          <w:szCs w:val="22"/>
        </w:rPr>
      </w:pPr>
      <w:r w:rsidRPr="00FD516E">
        <w:rPr>
          <w:szCs w:val="22"/>
        </w:rPr>
        <w:t xml:space="preserve">Emissions from the Facility for </w:t>
      </w:r>
      <w:r w:rsidR="0061670C" w:rsidRPr="00FD516E">
        <w:rPr>
          <w:szCs w:val="22"/>
        </w:rPr>
        <w:t xml:space="preserve">fugitive LFG emissions and for </w:t>
      </w:r>
      <w:r w:rsidRPr="00FD516E">
        <w:rPr>
          <w:szCs w:val="22"/>
        </w:rPr>
        <w:t xml:space="preserve">both </w:t>
      </w:r>
      <w:r w:rsidR="0061670C" w:rsidRPr="00FD516E">
        <w:rPr>
          <w:szCs w:val="22"/>
        </w:rPr>
        <w:t xml:space="preserve">combustion </w:t>
      </w:r>
      <w:r w:rsidRPr="00FD516E">
        <w:rPr>
          <w:szCs w:val="22"/>
        </w:rPr>
        <w:t>scenarios (all LFG through the flare</w:t>
      </w:r>
      <w:r w:rsidR="00D42A8D" w:rsidRPr="00FD516E">
        <w:rPr>
          <w:szCs w:val="22"/>
        </w:rPr>
        <w:t>s</w:t>
      </w:r>
      <w:r w:rsidRPr="00FD516E">
        <w:rPr>
          <w:szCs w:val="22"/>
        </w:rPr>
        <w:t xml:space="preserve"> / all five </w:t>
      </w:r>
      <w:r w:rsidR="002D0237" w:rsidRPr="00FD516E">
        <w:rPr>
          <w:szCs w:val="22"/>
        </w:rPr>
        <w:t xml:space="preserve">CAT </w:t>
      </w:r>
      <w:r w:rsidRPr="00FD516E">
        <w:rPr>
          <w:szCs w:val="22"/>
        </w:rPr>
        <w:t>3520C engines running at full capacity with the ba</w:t>
      </w:r>
      <w:r w:rsidR="00D42A8D" w:rsidRPr="00FD516E">
        <w:rPr>
          <w:szCs w:val="22"/>
        </w:rPr>
        <w:t>lance of LFG through a</w:t>
      </w:r>
      <w:r w:rsidRPr="00FD516E">
        <w:rPr>
          <w:szCs w:val="22"/>
        </w:rPr>
        <w:t xml:space="preserve"> flare) are tabulated in </w:t>
      </w:r>
      <w:r w:rsidR="0061670C" w:rsidRPr="00FD516E">
        <w:rPr>
          <w:szCs w:val="22"/>
        </w:rPr>
        <w:t>T</w:t>
      </w:r>
      <w:r w:rsidRPr="00FD516E">
        <w:rPr>
          <w:szCs w:val="22"/>
        </w:rPr>
        <w:t>able</w:t>
      </w:r>
      <w:r w:rsidR="0061670C" w:rsidRPr="00FD516E">
        <w:rPr>
          <w:szCs w:val="22"/>
        </w:rPr>
        <w:t xml:space="preserve"> 3-</w:t>
      </w:r>
      <w:r w:rsidR="000544A8" w:rsidRPr="00FD516E">
        <w:rPr>
          <w:szCs w:val="22"/>
        </w:rPr>
        <w:t>8</w:t>
      </w:r>
      <w:r w:rsidRPr="00FD516E">
        <w:rPr>
          <w:szCs w:val="22"/>
        </w:rPr>
        <w:t>.  The scenario that result</w:t>
      </w:r>
      <w:r w:rsidR="0061670C" w:rsidRPr="00FD516E">
        <w:rPr>
          <w:szCs w:val="22"/>
        </w:rPr>
        <w:t>ed</w:t>
      </w:r>
      <w:r w:rsidRPr="00FD516E">
        <w:rPr>
          <w:szCs w:val="22"/>
        </w:rPr>
        <w:t xml:space="preserve"> in the greatest emissions for </w:t>
      </w:r>
      <w:r w:rsidR="00240234" w:rsidRPr="00FD516E">
        <w:rPr>
          <w:szCs w:val="22"/>
        </w:rPr>
        <w:t xml:space="preserve">each individual </w:t>
      </w:r>
      <w:r w:rsidRPr="00FD516E">
        <w:rPr>
          <w:szCs w:val="22"/>
        </w:rPr>
        <w:t>pollutant was used to establish</w:t>
      </w:r>
      <w:r w:rsidR="00714F45" w:rsidRPr="00FD516E">
        <w:rPr>
          <w:szCs w:val="22"/>
        </w:rPr>
        <w:t xml:space="preserve"> allowable emissions.</w:t>
      </w:r>
      <w:r w:rsidRPr="00FD516E">
        <w:rPr>
          <w:szCs w:val="22"/>
        </w:rPr>
        <w:t xml:space="preserve">  </w:t>
      </w:r>
    </w:p>
    <w:p w14:paraId="59273E20" w14:textId="77777777" w:rsidR="00714F45" w:rsidRPr="00FD516E" w:rsidRDefault="00714F45" w:rsidP="00714F45">
      <w:pPr>
        <w:ind w:left="0" w:firstLine="0"/>
        <w:rPr>
          <w:szCs w:val="22"/>
        </w:rPr>
      </w:pPr>
    </w:p>
    <w:p w14:paraId="7EC707B8" w14:textId="6BFFB7C7" w:rsidR="00A76C84" w:rsidRPr="00FD516E" w:rsidRDefault="0061670C" w:rsidP="00A76C84">
      <w:pPr>
        <w:ind w:left="720" w:firstLine="0"/>
        <w:rPr>
          <w:szCs w:val="22"/>
        </w:rPr>
      </w:pPr>
      <w:r w:rsidRPr="00FD516E">
        <w:rPr>
          <w:szCs w:val="22"/>
        </w:rPr>
        <w:t xml:space="preserve">The aggregated emissions of VOCs and HAPs from fugitive landfill emissions are also presented in this </w:t>
      </w:r>
      <w:r w:rsidR="00006B97" w:rsidRPr="00FD516E">
        <w:rPr>
          <w:szCs w:val="22"/>
        </w:rPr>
        <w:t>table and</w:t>
      </w:r>
      <w:r w:rsidR="00714F45" w:rsidRPr="00FD516E">
        <w:rPr>
          <w:szCs w:val="22"/>
        </w:rPr>
        <w:t xml:space="preserve"> are included in the proposed allowable emissions.  </w:t>
      </w:r>
      <w:r w:rsidRPr="00FD516E">
        <w:rPr>
          <w:szCs w:val="22"/>
        </w:rPr>
        <w:t xml:space="preserve">Emissions of individual HAPs/HACs from the Facility are discussed in greater detail </w:t>
      </w:r>
      <w:r w:rsidR="00714F45" w:rsidRPr="00FD516E">
        <w:rPr>
          <w:szCs w:val="22"/>
        </w:rPr>
        <w:t xml:space="preserve">in Section 7.  </w:t>
      </w:r>
    </w:p>
    <w:p w14:paraId="2C3BB3EB" w14:textId="77777777" w:rsidR="00C1218C" w:rsidRPr="00FD516E" w:rsidRDefault="00C1218C" w:rsidP="00C1218C">
      <w:pPr>
        <w:ind w:left="0" w:firstLine="0"/>
        <w:rPr>
          <w:rFonts w:cs="Arial"/>
          <w:szCs w:val="22"/>
        </w:rPr>
      </w:pPr>
    </w:p>
    <w:p w14:paraId="3DEDF8B5" w14:textId="1D83362D" w:rsidR="00C1218C" w:rsidRPr="00FD516E" w:rsidRDefault="00C1218C">
      <w:pPr>
        <w:widowControl/>
        <w:autoSpaceDE/>
        <w:autoSpaceDN/>
        <w:adjustRightInd/>
        <w:ind w:left="0" w:firstLine="0"/>
        <w:jc w:val="left"/>
        <w:rPr>
          <w:rFonts w:cs="Arial"/>
          <w:b/>
          <w:bCs/>
          <w:szCs w:val="22"/>
        </w:rPr>
      </w:pPr>
      <w:r w:rsidRPr="00FD516E">
        <w:rPr>
          <w:rFonts w:cs="Arial"/>
          <w:b/>
          <w:bCs/>
          <w:szCs w:val="22"/>
        </w:rPr>
        <w:br w:type="page"/>
      </w:r>
    </w:p>
    <w:p w14:paraId="4DC22614" w14:textId="77777777" w:rsidR="005E20C5" w:rsidRPr="00FD516E" w:rsidRDefault="005E20C5" w:rsidP="00777B9B">
      <w:pPr>
        <w:ind w:left="0" w:firstLine="0"/>
        <w:rPr>
          <w:rFonts w:cs="Arial"/>
          <w:b/>
          <w:bCs/>
          <w:szCs w:val="22"/>
        </w:rPr>
      </w:pPr>
    </w:p>
    <w:tbl>
      <w:tblPr>
        <w:tblW w:w="8644" w:type="dxa"/>
        <w:tblInd w:w="720" w:type="dxa"/>
        <w:tblLayout w:type="fixed"/>
        <w:tblLook w:val="00A0" w:firstRow="1" w:lastRow="0" w:firstColumn="1" w:lastColumn="0" w:noHBand="0" w:noVBand="0"/>
      </w:tblPr>
      <w:tblGrid>
        <w:gridCol w:w="2516"/>
        <w:gridCol w:w="1685"/>
        <w:gridCol w:w="886"/>
        <w:gridCol w:w="14"/>
        <w:gridCol w:w="900"/>
        <w:gridCol w:w="864"/>
        <w:gridCol w:w="851"/>
        <w:gridCol w:w="928"/>
      </w:tblGrid>
      <w:tr w:rsidR="005E20C5" w:rsidRPr="009F5E32" w14:paraId="3C168DDA" w14:textId="77777777" w:rsidTr="00A80199">
        <w:trPr>
          <w:cantSplit/>
          <w:trHeight w:val="315"/>
          <w:tblHeader/>
        </w:trPr>
        <w:tc>
          <w:tcPr>
            <w:tcW w:w="8644" w:type="dxa"/>
            <w:gridSpan w:val="8"/>
            <w:tcBorders>
              <w:top w:val="double" w:sz="6" w:space="0" w:color="auto"/>
              <w:left w:val="double" w:sz="6" w:space="0" w:color="auto"/>
              <w:bottom w:val="single" w:sz="4" w:space="0" w:color="auto"/>
              <w:right w:val="double" w:sz="6" w:space="0" w:color="000000"/>
            </w:tcBorders>
            <w:shd w:val="clear" w:color="auto" w:fill="F2F2F2" w:themeFill="background1" w:themeFillShade="F2"/>
            <w:noWrap/>
            <w:vAlign w:val="bottom"/>
          </w:tcPr>
          <w:p w14:paraId="6D6AFA70" w14:textId="6C508618" w:rsidR="005E20C5" w:rsidRPr="00FD516E" w:rsidRDefault="005E20C5" w:rsidP="00507A6C">
            <w:pPr>
              <w:widowControl/>
              <w:autoSpaceDE/>
              <w:autoSpaceDN/>
              <w:adjustRightInd/>
              <w:ind w:left="0" w:firstLine="0"/>
              <w:jc w:val="center"/>
              <w:rPr>
                <w:b/>
                <w:bCs/>
              </w:rPr>
            </w:pPr>
            <w:r w:rsidRPr="00FD516E">
              <w:rPr>
                <w:b/>
                <w:bCs/>
              </w:rPr>
              <w:t>Table 3-</w:t>
            </w:r>
            <w:r w:rsidR="000544A8" w:rsidRPr="00FD516E">
              <w:rPr>
                <w:b/>
                <w:bCs/>
              </w:rPr>
              <w:t xml:space="preserve">8 </w:t>
            </w:r>
            <w:r w:rsidR="00F709D8" w:rsidRPr="00FD516E">
              <w:rPr>
                <w:b/>
                <w:bCs/>
              </w:rPr>
              <w:t>–</w:t>
            </w:r>
            <w:r w:rsidRPr="00FD516E">
              <w:rPr>
                <w:b/>
                <w:bCs/>
              </w:rPr>
              <w:t xml:space="preserve"> </w:t>
            </w:r>
            <w:r w:rsidR="00F709D8" w:rsidRPr="00FD516E">
              <w:rPr>
                <w:b/>
                <w:bCs/>
              </w:rPr>
              <w:t xml:space="preserve">Estimated and </w:t>
            </w:r>
            <w:r w:rsidRPr="00FD516E">
              <w:rPr>
                <w:b/>
                <w:bCs/>
              </w:rPr>
              <w:t>Allowable Emissions</w:t>
            </w:r>
            <w:r w:rsidR="00C94347" w:rsidRPr="00FD516E">
              <w:rPr>
                <w:b/>
                <w:bCs/>
              </w:rPr>
              <w:t xml:space="preserve"> Summary</w:t>
            </w:r>
            <w:r w:rsidRPr="00FD516E">
              <w:rPr>
                <w:b/>
                <w:bCs/>
              </w:rPr>
              <w:t xml:space="preserve"> (ton/yr)</w:t>
            </w:r>
          </w:p>
        </w:tc>
      </w:tr>
      <w:tr w:rsidR="00F65A4A" w:rsidRPr="009F5E32" w14:paraId="442F9148" w14:textId="77777777" w:rsidTr="00A80199">
        <w:trPr>
          <w:cantSplit/>
          <w:trHeight w:val="440"/>
          <w:tblHeader/>
        </w:trPr>
        <w:tc>
          <w:tcPr>
            <w:tcW w:w="2516" w:type="dxa"/>
            <w:tcBorders>
              <w:top w:val="single" w:sz="4" w:space="0" w:color="auto"/>
              <w:left w:val="double" w:sz="6" w:space="0" w:color="auto"/>
              <w:bottom w:val="double" w:sz="4" w:space="0" w:color="auto"/>
              <w:right w:val="single" w:sz="4" w:space="0" w:color="auto"/>
            </w:tcBorders>
            <w:shd w:val="clear" w:color="auto" w:fill="F2F2F2" w:themeFill="background1" w:themeFillShade="F2"/>
            <w:vAlign w:val="bottom"/>
          </w:tcPr>
          <w:p w14:paraId="484CC514" w14:textId="77777777" w:rsidR="00F65A4A" w:rsidRPr="00FD516E" w:rsidRDefault="00F65A4A" w:rsidP="00005304">
            <w:pPr>
              <w:widowControl/>
              <w:autoSpaceDE/>
              <w:autoSpaceDN/>
              <w:adjustRightInd/>
              <w:ind w:left="0" w:firstLine="0"/>
              <w:jc w:val="center"/>
              <w:rPr>
                <w:rFonts w:cs="Arial"/>
                <w:sz w:val="24"/>
                <w:szCs w:val="24"/>
              </w:rPr>
            </w:pPr>
            <w:r w:rsidRPr="00FD516E">
              <w:rPr>
                <w:b/>
                <w:bCs/>
                <w:sz w:val="18"/>
              </w:rPr>
              <w:t>Activity</w:t>
            </w:r>
          </w:p>
        </w:tc>
        <w:tc>
          <w:tcPr>
            <w:tcW w:w="1685" w:type="dxa"/>
            <w:tcBorders>
              <w:top w:val="nil"/>
              <w:left w:val="nil"/>
              <w:bottom w:val="double" w:sz="4" w:space="0" w:color="auto"/>
              <w:right w:val="single" w:sz="4" w:space="0" w:color="auto"/>
            </w:tcBorders>
            <w:shd w:val="clear" w:color="auto" w:fill="F2F2F2" w:themeFill="background1" w:themeFillShade="F2"/>
            <w:noWrap/>
            <w:vAlign w:val="bottom"/>
          </w:tcPr>
          <w:p w14:paraId="443164C9" w14:textId="0E8E2175" w:rsidR="00F65A4A" w:rsidRPr="00FD516E" w:rsidRDefault="00F65A4A" w:rsidP="007905F7">
            <w:pPr>
              <w:widowControl/>
              <w:autoSpaceDE/>
              <w:autoSpaceDN/>
              <w:adjustRightInd/>
              <w:ind w:left="0" w:firstLine="0"/>
              <w:jc w:val="center"/>
              <w:rPr>
                <w:rFonts w:cs="Arial"/>
                <w:sz w:val="20"/>
                <w:vertAlign w:val="superscript"/>
              </w:rPr>
            </w:pPr>
            <w:r w:rsidRPr="00FD516E">
              <w:rPr>
                <w:b/>
                <w:bCs/>
                <w:sz w:val="18"/>
              </w:rPr>
              <w:t>PM / PM</w:t>
            </w:r>
            <w:r w:rsidRPr="00FD516E">
              <w:rPr>
                <w:b/>
                <w:bCs/>
                <w:sz w:val="18"/>
                <w:vertAlign w:val="subscript"/>
              </w:rPr>
              <w:t>10</w:t>
            </w:r>
            <w:r w:rsidRPr="00FD516E">
              <w:rPr>
                <w:b/>
                <w:bCs/>
                <w:sz w:val="18"/>
              </w:rPr>
              <w:t>/PM</w:t>
            </w:r>
            <w:r w:rsidRPr="00FD516E">
              <w:rPr>
                <w:b/>
                <w:bCs/>
                <w:sz w:val="18"/>
                <w:vertAlign w:val="subscript"/>
              </w:rPr>
              <w:t>2.5</w:t>
            </w:r>
            <w:r w:rsidR="00F34D82" w:rsidRPr="00FD516E">
              <w:rPr>
                <w:b/>
                <w:bCs/>
                <w:sz w:val="20"/>
                <w:vertAlign w:val="superscript"/>
              </w:rPr>
              <w:t>1</w:t>
            </w:r>
          </w:p>
        </w:tc>
        <w:tc>
          <w:tcPr>
            <w:tcW w:w="886" w:type="dxa"/>
            <w:tcBorders>
              <w:top w:val="nil"/>
              <w:left w:val="nil"/>
              <w:bottom w:val="double" w:sz="4" w:space="0" w:color="auto"/>
              <w:right w:val="single" w:sz="4" w:space="0" w:color="auto"/>
            </w:tcBorders>
            <w:shd w:val="clear" w:color="auto" w:fill="F2F2F2" w:themeFill="background1" w:themeFillShade="F2"/>
            <w:noWrap/>
            <w:vAlign w:val="bottom"/>
          </w:tcPr>
          <w:p w14:paraId="35F448AA" w14:textId="1288D821" w:rsidR="00F65A4A" w:rsidRPr="00FD516E" w:rsidRDefault="00F65A4A" w:rsidP="007905F7">
            <w:pPr>
              <w:widowControl/>
              <w:autoSpaceDE/>
              <w:autoSpaceDN/>
              <w:adjustRightInd/>
              <w:ind w:left="0" w:firstLine="0"/>
              <w:jc w:val="center"/>
              <w:rPr>
                <w:rFonts w:cs="Arial"/>
                <w:sz w:val="24"/>
                <w:szCs w:val="24"/>
              </w:rPr>
            </w:pPr>
            <w:r w:rsidRPr="00FD516E">
              <w:rPr>
                <w:b/>
                <w:bCs/>
                <w:sz w:val="18"/>
              </w:rPr>
              <w:t>SO</w:t>
            </w:r>
            <w:r w:rsidRPr="00FD516E">
              <w:rPr>
                <w:b/>
                <w:bCs/>
                <w:sz w:val="18"/>
                <w:vertAlign w:val="subscript"/>
              </w:rPr>
              <w:t xml:space="preserve">2 </w:t>
            </w:r>
            <w:r w:rsidR="00F34D82" w:rsidRPr="00FD516E">
              <w:rPr>
                <w:b/>
                <w:bCs/>
                <w:sz w:val="20"/>
                <w:vertAlign w:val="superscript"/>
              </w:rPr>
              <w:t>2</w:t>
            </w:r>
          </w:p>
        </w:tc>
        <w:tc>
          <w:tcPr>
            <w:tcW w:w="914" w:type="dxa"/>
            <w:gridSpan w:val="2"/>
            <w:tcBorders>
              <w:top w:val="nil"/>
              <w:left w:val="nil"/>
              <w:bottom w:val="double" w:sz="4" w:space="0" w:color="auto"/>
              <w:right w:val="single" w:sz="4" w:space="0" w:color="auto"/>
            </w:tcBorders>
            <w:shd w:val="clear" w:color="auto" w:fill="F2F2F2" w:themeFill="background1" w:themeFillShade="F2"/>
            <w:noWrap/>
            <w:vAlign w:val="bottom"/>
          </w:tcPr>
          <w:p w14:paraId="77946CD5" w14:textId="77777777" w:rsidR="00F65A4A" w:rsidRPr="00FD516E" w:rsidRDefault="00F65A4A" w:rsidP="007905F7">
            <w:pPr>
              <w:widowControl/>
              <w:autoSpaceDE/>
              <w:autoSpaceDN/>
              <w:adjustRightInd/>
              <w:ind w:left="0" w:firstLine="0"/>
              <w:jc w:val="center"/>
              <w:rPr>
                <w:rFonts w:cs="Arial"/>
                <w:sz w:val="24"/>
                <w:szCs w:val="24"/>
              </w:rPr>
            </w:pPr>
            <w:r w:rsidRPr="00FD516E">
              <w:rPr>
                <w:b/>
                <w:bCs/>
                <w:sz w:val="18"/>
              </w:rPr>
              <w:t>NOx</w:t>
            </w:r>
            <w:r w:rsidRPr="00FD516E">
              <w:rPr>
                <w:rFonts w:cs="Arial"/>
                <w:sz w:val="24"/>
                <w:szCs w:val="24"/>
              </w:rPr>
              <w:t xml:space="preserve"> </w:t>
            </w:r>
          </w:p>
        </w:tc>
        <w:tc>
          <w:tcPr>
            <w:tcW w:w="864" w:type="dxa"/>
            <w:tcBorders>
              <w:top w:val="nil"/>
              <w:left w:val="nil"/>
              <w:bottom w:val="double" w:sz="4" w:space="0" w:color="auto"/>
              <w:right w:val="single" w:sz="4" w:space="0" w:color="auto"/>
            </w:tcBorders>
            <w:shd w:val="clear" w:color="auto" w:fill="F2F2F2" w:themeFill="background1" w:themeFillShade="F2"/>
            <w:noWrap/>
            <w:vAlign w:val="bottom"/>
          </w:tcPr>
          <w:p w14:paraId="142027BC" w14:textId="77777777" w:rsidR="00F65A4A" w:rsidRPr="00FD516E" w:rsidRDefault="00F65A4A" w:rsidP="007905F7">
            <w:pPr>
              <w:widowControl/>
              <w:autoSpaceDE/>
              <w:autoSpaceDN/>
              <w:adjustRightInd/>
              <w:ind w:left="0" w:firstLine="0"/>
              <w:jc w:val="center"/>
              <w:rPr>
                <w:b/>
                <w:bCs/>
                <w:sz w:val="18"/>
              </w:rPr>
            </w:pPr>
            <w:r w:rsidRPr="00FD516E">
              <w:rPr>
                <w:b/>
                <w:bCs/>
                <w:sz w:val="18"/>
              </w:rPr>
              <w:t xml:space="preserve">CO </w:t>
            </w:r>
          </w:p>
        </w:tc>
        <w:tc>
          <w:tcPr>
            <w:tcW w:w="851" w:type="dxa"/>
            <w:tcBorders>
              <w:top w:val="nil"/>
              <w:left w:val="nil"/>
              <w:bottom w:val="double" w:sz="4" w:space="0" w:color="auto"/>
              <w:right w:val="single" w:sz="4" w:space="0" w:color="auto"/>
            </w:tcBorders>
            <w:shd w:val="clear" w:color="auto" w:fill="F2F2F2" w:themeFill="background1" w:themeFillShade="F2"/>
            <w:noWrap/>
            <w:vAlign w:val="bottom"/>
          </w:tcPr>
          <w:p w14:paraId="30A1109E" w14:textId="69EBB65D" w:rsidR="00F65A4A" w:rsidRPr="00FD516E" w:rsidRDefault="005538BC" w:rsidP="007905F7">
            <w:pPr>
              <w:widowControl/>
              <w:autoSpaceDE/>
              <w:autoSpaceDN/>
              <w:adjustRightInd/>
              <w:ind w:left="0" w:firstLine="0"/>
              <w:jc w:val="center"/>
              <w:rPr>
                <w:b/>
                <w:bCs/>
                <w:sz w:val="18"/>
              </w:rPr>
            </w:pPr>
            <w:r w:rsidRPr="00FD516E">
              <w:rPr>
                <w:b/>
                <w:bCs/>
                <w:sz w:val="18"/>
              </w:rPr>
              <w:t>VOC</w:t>
            </w:r>
            <w:r w:rsidRPr="00FD516E">
              <w:rPr>
                <w:b/>
                <w:bCs/>
                <w:sz w:val="20"/>
                <w:vertAlign w:val="superscript"/>
              </w:rPr>
              <w:t>3</w:t>
            </w:r>
          </w:p>
        </w:tc>
        <w:tc>
          <w:tcPr>
            <w:tcW w:w="928" w:type="dxa"/>
            <w:tcBorders>
              <w:top w:val="nil"/>
              <w:left w:val="nil"/>
              <w:bottom w:val="double" w:sz="4" w:space="0" w:color="auto"/>
              <w:right w:val="double" w:sz="6" w:space="0" w:color="auto"/>
            </w:tcBorders>
            <w:shd w:val="clear" w:color="auto" w:fill="F2F2F2" w:themeFill="background1" w:themeFillShade="F2"/>
            <w:noWrap/>
            <w:vAlign w:val="bottom"/>
          </w:tcPr>
          <w:p w14:paraId="6A6873CE" w14:textId="2C215B96" w:rsidR="00F65A4A" w:rsidRPr="00FD516E" w:rsidRDefault="00F65A4A" w:rsidP="007905F7">
            <w:pPr>
              <w:widowControl/>
              <w:autoSpaceDE/>
              <w:autoSpaceDN/>
              <w:adjustRightInd/>
              <w:ind w:left="0" w:firstLine="0"/>
              <w:jc w:val="center"/>
              <w:rPr>
                <w:rFonts w:cs="Arial"/>
                <w:sz w:val="24"/>
                <w:szCs w:val="24"/>
              </w:rPr>
            </w:pPr>
            <w:r w:rsidRPr="00FD516E">
              <w:rPr>
                <w:b/>
                <w:bCs/>
                <w:sz w:val="18"/>
              </w:rPr>
              <w:t>HAP</w:t>
            </w:r>
          </w:p>
        </w:tc>
      </w:tr>
      <w:tr w:rsidR="00F65A4A" w:rsidRPr="00FD516E" w14:paraId="7A4A9615" w14:textId="77777777" w:rsidTr="00A80199">
        <w:trPr>
          <w:cantSplit/>
          <w:trHeight w:val="288"/>
        </w:trPr>
        <w:tc>
          <w:tcPr>
            <w:tcW w:w="2516" w:type="dxa"/>
            <w:tcBorders>
              <w:top w:val="double" w:sz="4" w:space="0" w:color="auto"/>
              <w:left w:val="double" w:sz="6" w:space="0" w:color="auto"/>
              <w:bottom w:val="single" w:sz="4" w:space="0" w:color="auto"/>
              <w:right w:val="single" w:sz="4" w:space="0" w:color="auto"/>
            </w:tcBorders>
            <w:noWrap/>
            <w:vAlign w:val="bottom"/>
          </w:tcPr>
          <w:p w14:paraId="6FE56320" w14:textId="4341B9C0" w:rsidR="00F65A4A" w:rsidRPr="00FD516E" w:rsidRDefault="00F65A4A" w:rsidP="007905F7">
            <w:pPr>
              <w:ind w:left="0" w:firstLine="0"/>
              <w:jc w:val="left"/>
              <w:rPr>
                <w:rFonts w:cs="Arial"/>
                <w:sz w:val="18"/>
                <w:szCs w:val="18"/>
              </w:rPr>
            </w:pPr>
            <w:r w:rsidRPr="00FD516E">
              <w:rPr>
                <w:rFonts w:cs="Arial"/>
                <w:sz w:val="18"/>
                <w:szCs w:val="18"/>
              </w:rPr>
              <w:t>Fugitive Emissions - Landfill</w:t>
            </w:r>
          </w:p>
        </w:tc>
        <w:tc>
          <w:tcPr>
            <w:tcW w:w="1685" w:type="dxa"/>
            <w:tcBorders>
              <w:top w:val="double" w:sz="4" w:space="0" w:color="auto"/>
              <w:left w:val="nil"/>
              <w:bottom w:val="single" w:sz="4" w:space="0" w:color="auto"/>
              <w:right w:val="single" w:sz="4" w:space="0" w:color="auto"/>
            </w:tcBorders>
            <w:noWrap/>
            <w:vAlign w:val="bottom"/>
          </w:tcPr>
          <w:p w14:paraId="4E18B903" w14:textId="43C44542" w:rsidR="00F65A4A" w:rsidRPr="00FD516E" w:rsidRDefault="00F65A4A" w:rsidP="007905F7">
            <w:pPr>
              <w:widowControl/>
              <w:autoSpaceDE/>
              <w:autoSpaceDN/>
              <w:adjustRightInd/>
              <w:ind w:left="0" w:firstLine="0"/>
              <w:jc w:val="center"/>
              <w:rPr>
                <w:rFonts w:cs="Arial"/>
                <w:sz w:val="18"/>
                <w:szCs w:val="18"/>
              </w:rPr>
            </w:pPr>
            <w:r w:rsidRPr="00FD516E">
              <w:rPr>
                <w:rFonts w:cs="Arial"/>
                <w:sz w:val="18"/>
                <w:szCs w:val="18"/>
              </w:rPr>
              <w:t>---</w:t>
            </w:r>
          </w:p>
        </w:tc>
        <w:tc>
          <w:tcPr>
            <w:tcW w:w="886" w:type="dxa"/>
            <w:tcBorders>
              <w:top w:val="double" w:sz="4" w:space="0" w:color="auto"/>
              <w:left w:val="nil"/>
              <w:bottom w:val="single" w:sz="4" w:space="0" w:color="auto"/>
              <w:right w:val="single" w:sz="4" w:space="0" w:color="auto"/>
            </w:tcBorders>
            <w:noWrap/>
            <w:vAlign w:val="bottom"/>
          </w:tcPr>
          <w:p w14:paraId="257E81A2" w14:textId="5BA1D2A3" w:rsidR="00F65A4A" w:rsidRPr="00FD516E" w:rsidRDefault="00F65A4A" w:rsidP="007905F7">
            <w:pPr>
              <w:widowControl/>
              <w:autoSpaceDE/>
              <w:autoSpaceDN/>
              <w:adjustRightInd/>
              <w:ind w:left="0" w:firstLine="0"/>
              <w:jc w:val="center"/>
              <w:rPr>
                <w:rFonts w:cs="Arial"/>
                <w:sz w:val="18"/>
                <w:szCs w:val="18"/>
              </w:rPr>
            </w:pPr>
            <w:r w:rsidRPr="00FD516E">
              <w:rPr>
                <w:rFonts w:cs="Arial"/>
                <w:sz w:val="18"/>
                <w:szCs w:val="18"/>
              </w:rPr>
              <w:t>---</w:t>
            </w:r>
          </w:p>
        </w:tc>
        <w:tc>
          <w:tcPr>
            <w:tcW w:w="914" w:type="dxa"/>
            <w:gridSpan w:val="2"/>
            <w:tcBorders>
              <w:top w:val="double" w:sz="4" w:space="0" w:color="auto"/>
              <w:left w:val="nil"/>
              <w:bottom w:val="single" w:sz="4" w:space="0" w:color="auto"/>
              <w:right w:val="single" w:sz="4" w:space="0" w:color="auto"/>
            </w:tcBorders>
            <w:noWrap/>
            <w:vAlign w:val="bottom"/>
          </w:tcPr>
          <w:p w14:paraId="013FD9A7" w14:textId="6A1A9300" w:rsidR="00F65A4A" w:rsidRPr="00FD516E" w:rsidRDefault="00F65A4A" w:rsidP="007905F7">
            <w:pPr>
              <w:widowControl/>
              <w:autoSpaceDE/>
              <w:autoSpaceDN/>
              <w:adjustRightInd/>
              <w:ind w:left="0" w:firstLine="0"/>
              <w:jc w:val="center"/>
              <w:rPr>
                <w:rFonts w:cs="Arial"/>
                <w:sz w:val="18"/>
                <w:szCs w:val="18"/>
              </w:rPr>
            </w:pPr>
            <w:r w:rsidRPr="00FD516E">
              <w:rPr>
                <w:rFonts w:cs="Arial"/>
                <w:sz w:val="18"/>
                <w:szCs w:val="18"/>
              </w:rPr>
              <w:t>---</w:t>
            </w:r>
          </w:p>
        </w:tc>
        <w:tc>
          <w:tcPr>
            <w:tcW w:w="864" w:type="dxa"/>
            <w:tcBorders>
              <w:top w:val="double" w:sz="4" w:space="0" w:color="auto"/>
              <w:left w:val="nil"/>
              <w:bottom w:val="single" w:sz="4" w:space="0" w:color="auto"/>
              <w:right w:val="single" w:sz="4" w:space="0" w:color="auto"/>
            </w:tcBorders>
            <w:noWrap/>
            <w:vAlign w:val="bottom"/>
          </w:tcPr>
          <w:p w14:paraId="098D9F2F" w14:textId="18865466" w:rsidR="00F65A4A" w:rsidRPr="00FD516E" w:rsidRDefault="00F65A4A" w:rsidP="007905F7">
            <w:pPr>
              <w:widowControl/>
              <w:autoSpaceDE/>
              <w:autoSpaceDN/>
              <w:adjustRightInd/>
              <w:ind w:left="0" w:firstLine="0"/>
              <w:jc w:val="center"/>
              <w:rPr>
                <w:rFonts w:cs="Arial"/>
                <w:sz w:val="18"/>
                <w:szCs w:val="18"/>
              </w:rPr>
            </w:pPr>
            <w:r w:rsidRPr="00FD516E">
              <w:rPr>
                <w:rFonts w:cs="Arial"/>
                <w:sz w:val="18"/>
                <w:szCs w:val="18"/>
              </w:rPr>
              <w:t>---</w:t>
            </w:r>
          </w:p>
        </w:tc>
        <w:tc>
          <w:tcPr>
            <w:tcW w:w="851" w:type="dxa"/>
            <w:tcBorders>
              <w:top w:val="double" w:sz="4" w:space="0" w:color="auto"/>
              <w:left w:val="nil"/>
              <w:bottom w:val="single" w:sz="4" w:space="0" w:color="auto"/>
              <w:right w:val="single" w:sz="4" w:space="0" w:color="auto"/>
            </w:tcBorders>
            <w:noWrap/>
            <w:vAlign w:val="bottom"/>
          </w:tcPr>
          <w:p w14:paraId="19207471" w14:textId="12B6F9AB" w:rsidR="00F65A4A" w:rsidRPr="00FD516E" w:rsidRDefault="00F65A4A" w:rsidP="00D42A8D">
            <w:pPr>
              <w:widowControl/>
              <w:autoSpaceDE/>
              <w:autoSpaceDN/>
              <w:adjustRightInd/>
              <w:ind w:left="0" w:firstLine="0"/>
              <w:jc w:val="center"/>
              <w:rPr>
                <w:rFonts w:cs="Arial"/>
                <w:b/>
                <w:sz w:val="18"/>
                <w:szCs w:val="18"/>
              </w:rPr>
            </w:pPr>
            <w:r w:rsidRPr="00FD516E">
              <w:rPr>
                <w:rFonts w:cs="Arial"/>
                <w:b/>
                <w:sz w:val="18"/>
                <w:szCs w:val="18"/>
              </w:rPr>
              <w:t>10.91</w:t>
            </w:r>
          </w:p>
        </w:tc>
        <w:tc>
          <w:tcPr>
            <w:tcW w:w="928" w:type="dxa"/>
            <w:tcBorders>
              <w:top w:val="double" w:sz="4" w:space="0" w:color="auto"/>
              <w:left w:val="nil"/>
              <w:bottom w:val="single" w:sz="4" w:space="0" w:color="auto"/>
              <w:right w:val="double" w:sz="6" w:space="0" w:color="auto"/>
            </w:tcBorders>
            <w:noWrap/>
            <w:vAlign w:val="bottom"/>
          </w:tcPr>
          <w:p w14:paraId="18C936DE" w14:textId="5E2C6C7C" w:rsidR="00F65A4A" w:rsidRPr="00FD516E" w:rsidRDefault="00F65A4A" w:rsidP="00085F42">
            <w:pPr>
              <w:widowControl/>
              <w:autoSpaceDE/>
              <w:autoSpaceDN/>
              <w:adjustRightInd/>
              <w:ind w:left="0" w:firstLine="0"/>
              <w:jc w:val="center"/>
              <w:rPr>
                <w:rFonts w:cs="Arial"/>
                <w:sz w:val="18"/>
                <w:szCs w:val="18"/>
              </w:rPr>
            </w:pPr>
            <w:r w:rsidRPr="00FD516E">
              <w:rPr>
                <w:rFonts w:cs="Arial"/>
                <w:b/>
                <w:sz w:val="18"/>
                <w:szCs w:val="18"/>
              </w:rPr>
              <w:t>3.77</w:t>
            </w:r>
          </w:p>
        </w:tc>
      </w:tr>
      <w:tr w:rsidR="006C7879" w:rsidRPr="00FD516E" w14:paraId="128437EB" w14:textId="77777777" w:rsidTr="006C7879">
        <w:trPr>
          <w:cantSplit/>
          <w:trHeight w:val="251"/>
        </w:trPr>
        <w:tc>
          <w:tcPr>
            <w:tcW w:w="8644" w:type="dxa"/>
            <w:gridSpan w:val="8"/>
            <w:tcBorders>
              <w:top w:val="nil"/>
              <w:left w:val="double" w:sz="6" w:space="0" w:color="auto"/>
              <w:bottom w:val="single" w:sz="4" w:space="0" w:color="auto"/>
              <w:right w:val="double" w:sz="6" w:space="0" w:color="auto"/>
            </w:tcBorders>
            <w:vAlign w:val="center"/>
          </w:tcPr>
          <w:p w14:paraId="0D1FA832" w14:textId="4CDC19ED" w:rsidR="006C7879" w:rsidRPr="00FD516E" w:rsidRDefault="006C7879" w:rsidP="006C7879">
            <w:pPr>
              <w:widowControl/>
              <w:autoSpaceDE/>
              <w:autoSpaceDN/>
              <w:adjustRightInd/>
              <w:ind w:left="0" w:firstLine="0"/>
              <w:jc w:val="center"/>
              <w:rPr>
                <w:rFonts w:cs="Arial"/>
                <w:sz w:val="18"/>
                <w:szCs w:val="18"/>
              </w:rPr>
            </w:pPr>
            <w:r w:rsidRPr="00FD516E">
              <w:rPr>
                <w:rFonts w:cs="Arial"/>
                <w:sz w:val="18"/>
                <w:szCs w:val="18"/>
              </w:rPr>
              <w:t>Combustion Emissions</w:t>
            </w:r>
          </w:p>
        </w:tc>
      </w:tr>
      <w:tr w:rsidR="00F709D8" w:rsidRPr="00FD516E" w14:paraId="166BC831" w14:textId="77777777" w:rsidTr="006C7879">
        <w:trPr>
          <w:cantSplit/>
          <w:trHeight w:val="288"/>
        </w:trPr>
        <w:tc>
          <w:tcPr>
            <w:tcW w:w="2516" w:type="dxa"/>
            <w:tcBorders>
              <w:top w:val="single" w:sz="4" w:space="0" w:color="auto"/>
              <w:left w:val="double" w:sz="6" w:space="0" w:color="auto"/>
              <w:bottom w:val="nil"/>
              <w:right w:val="single" w:sz="4" w:space="0" w:color="auto"/>
            </w:tcBorders>
            <w:vAlign w:val="center"/>
          </w:tcPr>
          <w:p w14:paraId="4B6FF190" w14:textId="2D3975C2" w:rsidR="00F709D8" w:rsidRPr="00FD516E" w:rsidRDefault="00F709D8" w:rsidP="00F709D8">
            <w:pPr>
              <w:ind w:left="0" w:firstLine="0"/>
              <w:jc w:val="left"/>
              <w:rPr>
                <w:rFonts w:cs="Arial"/>
                <w:sz w:val="18"/>
                <w:szCs w:val="18"/>
              </w:rPr>
            </w:pPr>
            <w:r w:rsidRPr="00FD516E">
              <w:rPr>
                <w:rFonts w:cs="Arial"/>
                <w:sz w:val="18"/>
                <w:szCs w:val="18"/>
              </w:rPr>
              <w:t>Scenario A:</w:t>
            </w:r>
          </w:p>
        </w:tc>
        <w:tc>
          <w:tcPr>
            <w:tcW w:w="6128" w:type="dxa"/>
            <w:gridSpan w:val="7"/>
            <w:tcBorders>
              <w:top w:val="nil"/>
              <w:left w:val="nil"/>
              <w:bottom w:val="single" w:sz="4" w:space="0" w:color="auto"/>
              <w:right w:val="double" w:sz="6" w:space="0" w:color="auto"/>
            </w:tcBorders>
            <w:noWrap/>
            <w:vAlign w:val="bottom"/>
          </w:tcPr>
          <w:p w14:paraId="19380D88" w14:textId="77777777" w:rsidR="00F709D8" w:rsidRPr="00FD516E" w:rsidRDefault="00F709D8" w:rsidP="003D7B67">
            <w:pPr>
              <w:widowControl/>
              <w:autoSpaceDE/>
              <w:autoSpaceDN/>
              <w:adjustRightInd/>
              <w:ind w:left="0" w:firstLine="0"/>
              <w:jc w:val="center"/>
              <w:rPr>
                <w:rFonts w:cs="Arial"/>
                <w:sz w:val="18"/>
                <w:szCs w:val="18"/>
              </w:rPr>
            </w:pPr>
          </w:p>
        </w:tc>
      </w:tr>
      <w:tr w:rsidR="00F65A4A" w:rsidRPr="00FD516E" w14:paraId="5501426F" w14:textId="77777777" w:rsidTr="006C7879">
        <w:trPr>
          <w:cantSplit/>
          <w:trHeight w:val="440"/>
        </w:trPr>
        <w:tc>
          <w:tcPr>
            <w:tcW w:w="2516" w:type="dxa"/>
            <w:tcBorders>
              <w:top w:val="single" w:sz="4" w:space="0" w:color="auto"/>
              <w:left w:val="double" w:sz="6" w:space="0" w:color="auto"/>
              <w:bottom w:val="nil"/>
              <w:right w:val="single" w:sz="4" w:space="0" w:color="auto"/>
            </w:tcBorders>
            <w:vAlign w:val="bottom"/>
          </w:tcPr>
          <w:p w14:paraId="7D77F5CE" w14:textId="35AFA692" w:rsidR="00F65A4A" w:rsidRPr="00FD516E" w:rsidRDefault="00F65A4A" w:rsidP="00287B12">
            <w:pPr>
              <w:ind w:left="252" w:firstLine="0"/>
              <w:jc w:val="left"/>
              <w:rPr>
                <w:rFonts w:cs="Arial"/>
                <w:sz w:val="18"/>
                <w:szCs w:val="18"/>
              </w:rPr>
            </w:pPr>
            <w:r w:rsidRPr="00FD516E">
              <w:rPr>
                <w:rFonts w:cs="Arial"/>
                <w:sz w:val="18"/>
                <w:szCs w:val="18"/>
              </w:rPr>
              <w:t>All Collected LFG Combusted in Flares</w:t>
            </w:r>
          </w:p>
        </w:tc>
        <w:tc>
          <w:tcPr>
            <w:tcW w:w="1685" w:type="dxa"/>
            <w:tcBorders>
              <w:top w:val="nil"/>
              <w:left w:val="nil"/>
              <w:bottom w:val="single" w:sz="4" w:space="0" w:color="auto"/>
              <w:right w:val="single" w:sz="4" w:space="0" w:color="auto"/>
            </w:tcBorders>
            <w:noWrap/>
            <w:vAlign w:val="bottom"/>
          </w:tcPr>
          <w:p w14:paraId="7E1DD159" w14:textId="66C32CFE" w:rsidR="00F65A4A" w:rsidRPr="00FD516E" w:rsidRDefault="007E46DE" w:rsidP="00E54DE7">
            <w:pPr>
              <w:widowControl/>
              <w:autoSpaceDE/>
              <w:autoSpaceDN/>
              <w:adjustRightInd/>
              <w:ind w:left="0" w:firstLine="0"/>
              <w:jc w:val="center"/>
              <w:rPr>
                <w:rFonts w:cs="Arial"/>
                <w:sz w:val="18"/>
                <w:szCs w:val="18"/>
              </w:rPr>
            </w:pPr>
            <w:r w:rsidRPr="00FD516E">
              <w:rPr>
                <w:rFonts w:cs="Arial"/>
                <w:sz w:val="18"/>
                <w:szCs w:val="18"/>
              </w:rPr>
              <w:t>17.31</w:t>
            </w:r>
          </w:p>
        </w:tc>
        <w:tc>
          <w:tcPr>
            <w:tcW w:w="886" w:type="dxa"/>
            <w:tcBorders>
              <w:top w:val="nil"/>
              <w:left w:val="nil"/>
              <w:bottom w:val="single" w:sz="4" w:space="0" w:color="auto"/>
              <w:right w:val="single" w:sz="4" w:space="0" w:color="auto"/>
            </w:tcBorders>
            <w:noWrap/>
            <w:vAlign w:val="bottom"/>
          </w:tcPr>
          <w:p w14:paraId="58F54ABA" w14:textId="5530E428" w:rsidR="00F65A4A" w:rsidRPr="00FD516E" w:rsidRDefault="00F65A4A" w:rsidP="00EB080C">
            <w:pPr>
              <w:widowControl/>
              <w:autoSpaceDE/>
              <w:autoSpaceDN/>
              <w:adjustRightInd/>
              <w:ind w:left="0" w:firstLine="0"/>
              <w:jc w:val="center"/>
              <w:rPr>
                <w:rFonts w:cs="Arial"/>
                <w:b/>
                <w:sz w:val="18"/>
                <w:szCs w:val="18"/>
              </w:rPr>
            </w:pPr>
            <w:r w:rsidRPr="00FD516E">
              <w:rPr>
                <w:rFonts w:cs="Arial"/>
                <w:b/>
                <w:sz w:val="18"/>
                <w:szCs w:val="18"/>
              </w:rPr>
              <w:t>89.35</w:t>
            </w:r>
          </w:p>
        </w:tc>
        <w:tc>
          <w:tcPr>
            <w:tcW w:w="914" w:type="dxa"/>
            <w:gridSpan w:val="2"/>
            <w:tcBorders>
              <w:top w:val="nil"/>
              <w:left w:val="nil"/>
              <w:bottom w:val="single" w:sz="4" w:space="0" w:color="auto"/>
              <w:right w:val="single" w:sz="4" w:space="0" w:color="auto"/>
            </w:tcBorders>
            <w:noWrap/>
            <w:vAlign w:val="bottom"/>
          </w:tcPr>
          <w:p w14:paraId="5540A41A" w14:textId="7FDE552B" w:rsidR="00F65A4A" w:rsidRPr="00FD516E" w:rsidRDefault="00F65A4A" w:rsidP="00E54DE7">
            <w:pPr>
              <w:widowControl/>
              <w:autoSpaceDE/>
              <w:autoSpaceDN/>
              <w:adjustRightInd/>
              <w:ind w:left="0" w:firstLine="0"/>
              <w:jc w:val="center"/>
              <w:rPr>
                <w:rFonts w:cs="Arial"/>
                <w:sz w:val="18"/>
                <w:szCs w:val="18"/>
              </w:rPr>
            </w:pPr>
            <w:r w:rsidRPr="00FD516E">
              <w:rPr>
                <w:rFonts w:cs="Arial"/>
                <w:sz w:val="18"/>
                <w:szCs w:val="18"/>
              </w:rPr>
              <w:t>44.68</w:t>
            </w:r>
          </w:p>
        </w:tc>
        <w:tc>
          <w:tcPr>
            <w:tcW w:w="864" w:type="dxa"/>
            <w:tcBorders>
              <w:top w:val="nil"/>
              <w:left w:val="nil"/>
              <w:bottom w:val="single" w:sz="4" w:space="0" w:color="auto"/>
              <w:right w:val="single" w:sz="4" w:space="0" w:color="auto"/>
            </w:tcBorders>
            <w:noWrap/>
            <w:vAlign w:val="bottom"/>
          </w:tcPr>
          <w:p w14:paraId="2BE44DD1" w14:textId="24344E18" w:rsidR="00F65A4A" w:rsidRPr="00FD516E" w:rsidRDefault="00F65A4A" w:rsidP="00287B12">
            <w:pPr>
              <w:widowControl/>
              <w:autoSpaceDE/>
              <w:autoSpaceDN/>
              <w:adjustRightInd/>
              <w:ind w:left="0" w:firstLine="0"/>
              <w:jc w:val="center"/>
              <w:rPr>
                <w:rFonts w:cs="Arial"/>
                <w:sz w:val="18"/>
                <w:szCs w:val="18"/>
              </w:rPr>
            </w:pPr>
            <w:r w:rsidRPr="00FD516E">
              <w:rPr>
                <w:rFonts w:cs="Arial"/>
                <w:sz w:val="18"/>
                <w:szCs w:val="18"/>
              </w:rPr>
              <w:t>243.09</w:t>
            </w:r>
          </w:p>
        </w:tc>
        <w:tc>
          <w:tcPr>
            <w:tcW w:w="851" w:type="dxa"/>
            <w:tcBorders>
              <w:top w:val="nil"/>
              <w:left w:val="nil"/>
              <w:bottom w:val="single" w:sz="4" w:space="0" w:color="auto"/>
              <w:right w:val="single" w:sz="4" w:space="0" w:color="auto"/>
            </w:tcBorders>
            <w:noWrap/>
            <w:vAlign w:val="bottom"/>
          </w:tcPr>
          <w:p w14:paraId="708A12A1" w14:textId="6BD0C327" w:rsidR="00F65A4A" w:rsidRPr="00FD516E" w:rsidRDefault="00F65A4A" w:rsidP="00277D97">
            <w:pPr>
              <w:widowControl/>
              <w:autoSpaceDE/>
              <w:autoSpaceDN/>
              <w:adjustRightInd/>
              <w:ind w:left="0" w:firstLine="0"/>
              <w:jc w:val="center"/>
              <w:rPr>
                <w:rFonts w:cs="Arial"/>
                <w:sz w:val="18"/>
                <w:szCs w:val="18"/>
              </w:rPr>
            </w:pPr>
            <w:r w:rsidRPr="00FD516E">
              <w:rPr>
                <w:rFonts w:cs="Arial"/>
                <w:sz w:val="18"/>
                <w:szCs w:val="18"/>
              </w:rPr>
              <w:t>1.31</w:t>
            </w:r>
          </w:p>
        </w:tc>
        <w:tc>
          <w:tcPr>
            <w:tcW w:w="928" w:type="dxa"/>
            <w:tcBorders>
              <w:top w:val="nil"/>
              <w:left w:val="nil"/>
              <w:bottom w:val="single" w:sz="4" w:space="0" w:color="auto"/>
              <w:right w:val="double" w:sz="6" w:space="0" w:color="auto"/>
            </w:tcBorders>
            <w:noWrap/>
            <w:vAlign w:val="bottom"/>
          </w:tcPr>
          <w:p w14:paraId="331C053A" w14:textId="00B5FEE4" w:rsidR="00F65A4A" w:rsidRPr="00FD516E" w:rsidRDefault="00F65A4A" w:rsidP="003D7B67">
            <w:pPr>
              <w:widowControl/>
              <w:autoSpaceDE/>
              <w:autoSpaceDN/>
              <w:adjustRightInd/>
              <w:ind w:left="0" w:firstLine="0"/>
              <w:jc w:val="center"/>
              <w:rPr>
                <w:rFonts w:cs="Arial"/>
                <w:sz w:val="18"/>
                <w:szCs w:val="18"/>
              </w:rPr>
            </w:pPr>
            <w:r w:rsidRPr="00FD516E">
              <w:rPr>
                <w:rFonts w:cs="Arial"/>
                <w:sz w:val="18"/>
                <w:szCs w:val="18"/>
              </w:rPr>
              <w:t>0.45</w:t>
            </w:r>
          </w:p>
        </w:tc>
      </w:tr>
      <w:tr w:rsidR="00CB4D4E" w:rsidRPr="009F5E32" w14:paraId="6F4B36D2" w14:textId="77777777" w:rsidTr="006C7879">
        <w:trPr>
          <w:cantSplit/>
          <w:trHeight w:val="235"/>
        </w:trPr>
        <w:tc>
          <w:tcPr>
            <w:tcW w:w="2516" w:type="dxa"/>
            <w:tcBorders>
              <w:top w:val="single" w:sz="4" w:space="0" w:color="auto"/>
              <w:left w:val="double" w:sz="6" w:space="0" w:color="auto"/>
              <w:bottom w:val="double" w:sz="6" w:space="0" w:color="auto"/>
              <w:right w:val="single" w:sz="4" w:space="0" w:color="auto"/>
            </w:tcBorders>
            <w:vAlign w:val="bottom"/>
          </w:tcPr>
          <w:p w14:paraId="76A9584D" w14:textId="2B810BA0" w:rsidR="00CB4D4E" w:rsidRPr="00FD516E" w:rsidRDefault="00CB4D4E" w:rsidP="00CB4D4E">
            <w:pPr>
              <w:ind w:left="0" w:firstLine="0"/>
              <w:jc w:val="left"/>
              <w:rPr>
                <w:rFonts w:cs="Arial"/>
                <w:sz w:val="18"/>
                <w:szCs w:val="18"/>
              </w:rPr>
            </w:pPr>
            <w:r w:rsidRPr="00FD516E">
              <w:rPr>
                <w:rFonts w:cs="Arial"/>
                <w:bCs/>
                <w:sz w:val="18"/>
                <w:szCs w:val="18"/>
              </w:rPr>
              <w:t xml:space="preserve">Non-Road Engines at Landfill Operation. </w:t>
            </w:r>
          </w:p>
        </w:tc>
        <w:tc>
          <w:tcPr>
            <w:tcW w:w="1685" w:type="dxa"/>
            <w:tcBorders>
              <w:top w:val="single" w:sz="4" w:space="0" w:color="auto"/>
              <w:left w:val="single" w:sz="4" w:space="0" w:color="auto"/>
              <w:bottom w:val="double" w:sz="6" w:space="0" w:color="auto"/>
              <w:right w:val="single" w:sz="4" w:space="0" w:color="auto"/>
            </w:tcBorders>
            <w:shd w:val="clear" w:color="auto" w:fill="auto"/>
            <w:vAlign w:val="center"/>
          </w:tcPr>
          <w:p w14:paraId="3159E8B4" w14:textId="5BB1B9AA"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0.71</w:t>
            </w:r>
          </w:p>
        </w:tc>
        <w:tc>
          <w:tcPr>
            <w:tcW w:w="900" w:type="dxa"/>
            <w:gridSpan w:val="2"/>
            <w:tcBorders>
              <w:top w:val="single" w:sz="4" w:space="0" w:color="auto"/>
              <w:left w:val="nil"/>
              <w:bottom w:val="double" w:sz="6" w:space="0" w:color="auto"/>
              <w:right w:val="single" w:sz="4" w:space="0" w:color="auto"/>
            </w:tcBorders>
            <w:shd w:val="clear" w:color="auto" w:fill="auto"/>
            <w:vAlign w:val="center"/>
          </w:tcPr>
          <w:p w14:paraId="614103C6" w14:textId="4C2C8D04"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0.023</w:t>
            </w:r>
          </w:p>
        </w:tc>
        <w:tc>
          <w:tcPr>
            <w:tcW w:w="900" w:type="dxa"/>
            <w:tcBorders>
              <w:top w:val="single" w:sz="4" w:space="0" w:color="auto"/>
              <w:left w:val="nil"/>
              <w:bottom w:val="double" w:sz="6" w:space="0" w:color="auto"/>
              <w:right w:val="single" w:sz="4" w:space="0" w:color="auto"/>
            </w:tcBorders>
            <w:shd w:val="clear" w:color="auto" w:fill="auto"/>
            <w:vAlign w:val="center"/>
          </w:tcPr>
          <w:p w14:paraId="163AC096" w14:textId="3878ED54"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22.62</w:t>
            </w:r>
          </w:p>
        </w:tc>
        <w:tc>
          <w:tcPr>
            <w:tcW w:w="864" w:type="dxa"/>
            <w:tcBorders>
              <w:top w:val="single" w:sz="4" w:space="0" w:color="auto"/>
              <w:left w:val="nil"/>
              <w:bottom w:val="double" w:sz="6" w:space="0" w:color="auto"/>
              <w:right w:val="single" w:sz="4" w:space="0" w:color="auto"/>
            </w:tcBorders>
            <w:shd w:val="clear" w:color="auto" w:fill="auto"/>
            <w:vAlign w:val="center"/>
          </w:tcPr>
          <w:p w14:paraId="66FB056B" w14:textId="642ABF9F"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12.25</w:t>
            </w:r>
          </w:p>
        </w:tc>
        <w:tc>
          <w:tcPr>
            <w:tcW w:w="851" w:type="dxa"/>
            <w:tcBorders>
              <w:top w:val="single" w:sz="4" w:space="0" w:color="auto"/>
              <w:left w:val="nil"/>
              <w:bottom w:val="double" w:sz="6" w:space="0" w:color="auto"/>
              <w:right w:val="single" w:sz="4" w:space="0" w:color="auto"/>
            </w:tcBorders>
            <w:shd w:val="clear" w:color="auto" w:fill="auto"/>
            <w:vAlign w:val="center"/>
          </w:tcPr>
          <w:p w14:paraId="470BCC49" w14:textId="5706298D"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0.00</w:t>
            </w:r>
          </w:p>
        </w:tc>
        <w:tc>
          <w:tcPr>
            <w:tcW w:w="928" w:type="dxa"/>
            <w:tcBorders>
              <w:top w:val="single" w:sz="4" w:space="0" w:color="auto"/>
              <w:left w:val="nil"/>
              <w:bottom w:val="double" w:sz="6" w:space="0" w:color="auto"/>
              <w:right w:val="double" w:sz="6" w:space="0" w:color="auto"/>
            </w:tcBorders>
            <w:shd w:val="clear" w:color="auto" w:fill="auto"/>
            <w:vAlign w:val="center"/>
          </w:tcPr>
          <w:p w14:paraId="59AD7AC1" w14:textId="2274EA8E" w:rsidR="00CB4D4E" w:rsidRPr="00CB4D4E" w:rsidRDefault="00CB4D4E" w:rsidP="00CB4D4E">
            <w:pPr>
              <w:widowControl/>
              <w:autoSpaceDE/>
              <w:autoSpaceDN/>
              <w:adjustRightInd/>
              <w:ind w:left="0" w:firstLine="0"/>
              <w:jc w:val="center"/>
              <w:rPr>
                <w:rFonts w:cs="Arial"/>
                <w:sz w:val="18"/>
                <w:szCs w:val="18"/>
              </w:rPr>
            </w:pPr>
            <w:r w:rsidRPr="00CB4D4E">
              <w:rPr>
                <w:rFonts w:cs="Arial"/>
                <w:sz w:val="18"/>
                <w:szCs w:val="18"/>
              </w:rPr>
              <w:t>0.099</w:t>
            </w:r>
          </w:p>
        </w:tc>
      </w:tr>
      <w:tr w:rsidR="00287B12" w:rsidRPr="00FD516E" w14:paraId="55CD0BAC" w14:textId="77777777" w:rsidTr="006C7879">
        <w:trPr>
          <w:cantSplit/>
          <w:trHeight w:val="235"/>
        </w:trPr>
        <w:tc>
          <w:tcPr>
            <w:tcW w:w="2516" w:type="dxa"/>
            <w:tcBorders>
              <w:top w:val="single" w:sz="4" w:space="0" w:color="auto"/>
              <w:left w:val="double" w:sz="6" w:space="0" w:color="auto"/>
              <w:bottom w:val="single" w:sz="4" w:space="0" w:color="auto"/>
              <w:right w:val="single" w:sz="4" w:space="0" w:color="auto"/>
            </w:tcBorders>
            <w:vAlign w:val="center"/>
          </w:tcPr>
          <w:p w14:paraId="376E03DF" w14:textId="463E3FCF" w:rsidR="00287B12" w:rsidRPr="00FD516E" w:rsidRDefault="00287B12" w:rsidP="00F709D8">
            <w:pPr>
              <w:ind w:left="0" w:firstLine="0"/>
              <w:jc w:val="left"/>
              <w:rPr>
                <w:rFonts w:cs="Arial"/>
                <w:sz w:val="18"/>
                <w:szCs w:val="18"/>
              </w:rPr>
            </w:pPr>
            <w:r w:rsidRPr="00FD516E">
              <w:rPr>
                <w:rFonts w:cs="Arial"/>
                <w:sz w:val="18"/>
                <w:szCs w:val="18"/>
              </w:rPr>
              <w:t>Scenario B:</w:t>
            </w:r>
          </w:p>
        </w:tc>
        <w:tc>
          <w:tcPr>
            <w:tcW w:w="6128" w:type="dxa"/>
            <w:gridSpan w:val="7"/>
            <w:tcBorders>
              <w:top w:val="single" w:sz="4" w:space="0" w:color="auto"/>
              <w:left w:val="single" w:sz="4" w:space="0" w:color="auto"/>
              <w:bottom w:val="single" w:sz="4" w:space="0" w:color="auto"/>
              <w:right w:val="double" w:sz="6" w:space="0" w:color="auto"/>
            </w:tcBorders>
            <w:vAlign w:val="bottom"/>
          </w:tcPr>
          <w:p w14:paraId="7FFADBBE" w14:textId="77777777" w:rsidR="00287B12" w:rsidRPr="00FD516E" w:rsidRDefault="00287B12" w:rsidP="00287B12">
            <w:pPr>
              <w:widowControl/>
              <w:autoSpaceDE/>
              <w:autoSpaceDN/>
              <w:adjustRightInd/>
              <w:ind w:left="0" w:firstLine="0"/>
              <w:jc w:val="center"/>
              <w:rPr>
                <w:rFonts w:cs="Arial"/>
                <w:sz w:val="18"/>
                <w:szCs w:val="18"/>
              </w:rPr>
            </w:pPr>
          </w:p>
        </w:tc>
      </w:tr>
      <w:tr w:rsidR="00F65A4A" w:rsidRPr="009F5E32" w14:paraId="2131FBCF" w14:textId="77777777" w:rsidTr="006C7879">
        <w:trPr>
          <w:cantSplit/>
          <w:trHeight w:val="305"/>
        </w:trPr>
        <w:tc>
          <w:tcPr>
            <w:tcW w:w="2516" w:type="dxa"/>
            <w:tcBorders>
              <w:top w:val="single" w:sz="4" w:space="0" w:color="auto"/>
              <w:left w:val="double" w:sz="6" w:space="0" w:color="auto"/>
              <w:bottom w:val="single" w:sz="4" w:space="0" w:color="auto"/>
              <w:right w:val="single" w:sz="4" w:space="0" w:color="auto"/>
            </w:tcBorders>
            <w:vAlign w:val="bottom"/>
          </w:tcPr>
          <w:p w14:paraId="5DF619A1" w14:textId="506F7F22" w:rsidR="00F65A4A" w:rsidRPr="00FD516E" w:rsidRDefault="00F65A4A" w:rsidP="00E54DE7">
            <w:pPr>
              <w:ind w:left="720" w:hanging="468"/>
              <w:jc w:val="left"/>
              <w:rPr>
                <w:rFonts w:cs="Arial"/>
                <w:sz w:val="18"/>
                <w:szCs w:val="18"/>
              </w:rPr>
            </w:pPr>
            <w:r w:rsidRPr="00FD516E">
              <w:rPr>
                <w:rFonts w:cs="Arial"/>
                <w:sz w:val="18"/>
                <w:szCs w:val="18"/>
              </w:rPr>
              <w:t xml:space="preserve">All 5 Engines Operating, </w:t>
            </w:r>
          </w:p>
        </w:tc>
        <w:tc>
          <w:tcPr>
            <w:tcW w:w="1685" w:type="dxa"/>
            <w:tcBorders>
              <w:top w:val="single" w:sz="4" w:space="0" w:color="auto"/>
              <w:left w:val="single" w:sz="4" w:space="0" w:color="auto"/>
              <w:bottom w:val="single" w:sz="4" w:space="0" w:color="auto"/>
              <w:right w:val="single" w:sz="4" w:space="0" w:color="auto"/>
            </w:tcBorders>
            <w:vAlign w:val="bottom"/>
          </w:tcPr>
          <w:p w14:paraId="474C3141" w14:textId="08ABB08C" w:rsidR="00F65A4A" w:rsidRPr="00FD516E" w:rsidRDefault="00F65A4A" w:rsidP="00E54DE7">
            <w:pPr>
              <w:widowControl/>
              <w:autoSpaceDE/>
              <w:autoSpaceDN/>
              <w:adjustRightInd/>
              <w:ind w:left="0" w:firstLine="0"/>
              <w:jc w:val="center"/>
              <w:rPr>
                <w:rFonts w:cs="Arial"/>
                <w:b/>
                <w:sz w:val="18"/>
                <w:szCs w:val="18"/>
              </w:rPr>
            </w:pPr>
            <w:r w:rsidRPr="00FD516E">
              <w:rPr>
                <w:rFonts w:cs="Arial"/>
                <w:b/>
                <w:sz w:val="18"/>
                <w:szCs w:val="18"/>
              </w:rPr>
              <w:t>16.41</w:t>
            </w:r>
          </w:p>
        </w:tc>
        <w:tc>
          <w:tcPr>
            <w:tcW w:w="886" w:type="dxa"/>
            <w:tcBorders>
              <w:top w:val="single" w:sz="4" w:space="0" w:color="auto"/>
              <w:left w:val="single" w:sz="4" w:space="0" w:color="auto"/>
              <w:bottom w:val="single" w:sz="4" w:space="0" w:color="auto"/>
              <w:right w:val="single" w:sz="4" w:space="0" w:color="auto"/>
            </w:tcBorders>
            <w:vAlign w:val="bottom"/>
          </w:tcPr>
          <w:p w14:paraId="510A6593" w14:textId="3F54BA93" w:rsidR="00F65A4A" w:rsidRPr="00FD516E" w:rsidRDefault="00F65A4A" w:rsidP="00EB080C">
            <w:pPr>
              <w:widowControl/>
              <w:autoSpaceDE/>
              <w:autoSpaceDN/>
              <w:adjustRightInd/>
              <w:ind w:left="0" w:firstLine="0"/>
              <w:jc w:val="center"/>
              <w:rPr>
                <w:rFonts w:cs="Arial"/>
                <w:sz w:val="18"/>
                <w:szCs w:val="18"/>
              </w:rPr>
            </w:pPr>
            <w:r w:rsidRPr="00FD516E">
              <w:rPr>
                <w:rFonts w:cs="Arial"/>
                <w:sz w:val="18"/>
                <w:szCs w:val="18"/>
              </w:rPr>
              <w:t>45.14</w:t>
            </w:r>
          </w:p>
        </w:tc>
        <w:tc>
          <w:tcPr>
            <w:tcW w:w="914" w:type="dxa"/>
            <w:gridSpan w:val="2"/>
            <w:tcBorders>
              <w:top w:val="single" w:sz="4" w:space="0" w:color="auto"/>
              <w:left w:val="single" w:sz="4" w:space="0" w:color="auto"/>
              <w:bottom w:val="single" w:sz="4" w:space="0" w:color="auto"/>
              <w:right w:val="single" w:sz="4" w:space="0" w:color="auto"/>
            </w:tcBorders>
            <w:vAlign w:val="bottom"/>
          </w:tcPr>
          <w:p w14:paraId="16E7A5E0" w14:textId="3DA0968B" w:rsidR="00F65A4A" w:rsidRPr="00FD516E" w:rsidRDefault="00F65A4A" w:rsidP="00E54DE7">
            <w:pPr>
              <w:widowControl/>
              <w:autoSpaceDE/>
              <w:autoSpaceDN/>
              <w:adjustRightInd/>
              <w:ind w:left="0" w:firstLine="0"/>
              <w:jc w:val="center"/>
              <w:rPr>
                <w:rFonts w:cs="Arial"/>
                <w:b/>
                <w:sz w:val="18"/>
                <w:szCs w:val="18"/>
              </w:rPr>
            </w:pPr>
            <w:r w:rsidRPr="00FD516E">
              <w:rPr>
                <w:rFonts w:cs="Arial"/>
                <w:b/>
                <w:sz w:val="18"/>
                <w:szCs w:val="18"/>
              </w:rPr>
              <w:t>53.62</w:t>
            </w:r>
          </w:p>
        </w:tc>
        <w:tc>
          <w:tcPr>
            <w:tcW w:w="864" w:type="dxa"/>
            <w:tcBorders>
              <w:top w:val="single" w:sz="4" w:space="0" w:color="auto"/>
              <w:left w:val="single" w:sz="4" w:space="0" w:color="auto"/>
              <w:bottom w:val="single" w:sz="4" w:space="0" w:color="auto"/>
              <w:right w:val="single" w:sz="4" w:space="0" w:color="auto"/>
            </w:tcBorders>
            <w:vAlign w:val="bottom"/>
          </w:tcPr>
          <w:p w14:paraId="4FD34450" w14:textId="54BC285D" w:rsidR="00F65A4A" w:rsidRPr="00FD516E" w:rsidRDefault="00F65A4A" w:rsidP="00E54DE7">
            <w:pPr>
              <w:widowControl/>
              <w:autoSpaceDE/>
              <w:autoSpaceDN/>
              <w:adjustRightInd/>
              <w:ind w:left="0" w:firstLine="0"/>
              <w:jc w:val="center"/>
              <w:rPr>
                <w:rFonts w:cs="Arial"/>
                <w:b/>
                <w:sz w:val="18"/>
                <w:szCs w:val="18"/>
              </w:rPr>
            </w:pPr>
            <w:r w:rsidRPr="00FD516E">
              <w:rPr>
                <w:rFonts w:cs="Arial"/>
                <w:b/>
                <w:sz w:val="18"/>
                <w:szCs w:val="18"/>
              </w:rPr>
              <w:t>375.31</w:t>
            </w:r>
          </w:p>
        </w:tc>
        <w:tc>
          <w:tcPr>
            <w:tcW w:w="851" w:type="dxa"/>
            <w:tcBorders>
              <w:top w:val="single" w:sz="4" w:space="0" w:color="auto"/>
              <w:left w:val="single" w:sz="4" w:space="0" w:color="auto"/>
              <w:bottom w:val="single" w:sz="4" w:space="0" w:color="auto"/>
              <w:right w:val="single" w:sz="4" w:space="0" w:color="auto"/>
            </w:tcBorders>
            <w:vAlign w:val="bottom"/>
          </w:tcPr>
          <w:p w14:paraId="76F084E7" w14:textId="6BF25EC3" w:rsidR="00F65A4A" w:rsidRPr="00FD516E" w:rsidRDefault="00F839A5" w:rsidP="00E54DE7">
            <w:pPr>
              <w:widowControl/>
              <w:autoSpaceDE/>
              <w:autoSpaceDN/>
              <w:adjustRightInd/>
              <w:ind w:left="0" w:firstLine="0"/>
              <w:jc w:val="center"/>
              <w:rPr>
                <w:rFonts w:cs="Arial"/>
                <w:b/>
                <w:sz w:val="18"/>
                <w:szCs w:val="18"/>
              </w:rPr>
            </w:pPr>
            <w:r w:rsidRPr="00FD516E">
              <w:rPr>
                <w:rFonts w:cs="Arial"/>
                <w:b/>
                <w:sz w:val="18"/>
                <w:szCs w:val="18"/>
              </w:rPr>
              <w:t>33.59</w:t>
            </w:r>
          </w:p>
        </w:tc>
        <w:tc>
          <w:tcPr>
            <w:tcW w:w="928" w:type="dxa"/>
            <w:tcBorders>
              <w:top w:val="single" w:sz="4" w:space="0" w:color="auto"/>
              <w:left w:val="single" w:sz="4" w:space="0" w:color="auto"/>
              <w:bottom w:val="single" w:sz="4" w:space="0" w:color="auto"/>
              <w:right w:val="double" w:sz="6" w:space="0" w:color="auto"/>
            </w:tcBorders>
            <w:vAlign w:val="bottom"/>
          </w:tcPr>
          <w:p w14:paraId="5911F6B2" w14:textId="35217E46" w:rsidR="00F65A4A" w:rsidRPr="00FD516E" w:rsidRDefault="003108AC" w:rsidP="00E54DE7">
            <w:pPr>
              <w:widowControl/>
              <w:autoSpaceDE/>
              <w:autoSpaceDN/>
              <w:adjustRightInd/>
              <w:ind w:left="0" w:firstLine="0"/>
              <w:jc w:val="center"/>
              <w:rPr>
                <w:rFonts w:cs="Arial"/>
                <w:sz w:val="18"/>
                <w:szCs w:val="18"/>
              </w:rPr>
            </w:pPr>
            <w:r>
              <w:rPr>
                <w:rFonts w:cs="Arial"/>
                <w:b/>
                <w:sz w:val="18"/>
                <w:szCs w:val="18"/>
              </w:rPr>
              <w:t>33.15</w:t>
            </w:r>
          </w:p>
        </w:tc>
      </w:tr>
      <w:tr w:rsidR="00F65A4A" w:rsidRPr="00FD516E" w14:paraId="08BA140E" w14:textId="77777777" w:rsidTr="006C7879">
        <w:trPr>
          <w:cantSplit/>
          <w:trHeight w:val="512"/>
        </w:trPr>
        <w:tc>
          <w:tcPr>
            <w:tcW w:w="2516" w:type="dxa"/>
            <w:tcBorders>
              <w:top w:val="single" w:sz="4" w:space="0" w:color="auto"/>
              <w:left w:val="double" w:sz="6" w:space="0" w:color="auto"/>
              <w:bottom w:val="single" w:sz="4" w:space="0" w:color="auto"/>
              <w:right w:val="single" w:sz="4" w:space="0" w:color="auto"/>
            </w:tcBorders>
            <w:vAlign w:val="bottom"/>
          </w:tcPr>
          <w:p w14:paraId="4AECBE66" w14:textId="69EAB4CD" w:rsidR="00F65A4A" w:rsidRPr="00FD516E" w:rsidRDefault="00F65A4A" w:rsidP="00E54DE7">
            <w:pPr>
              <w:ind w:left="252" w:firstLine="0"/>
              <w:jc w:val="left"/>
              <w:rPr>
                <w:rFonts w:cs="Arial"/>
                <w:sz w:val="18"/>
                <w:szCs w:val="18"/>
              </w:rPr>
            </w:pPr>
            <w:r w:rsidRPr="00FD516E">
              <w:rPr>
                <w:rFonts w:cs="Arial"/>
                <w:sz w:val="18"/>
                <w:szCs w:val="18"/>
              </w:rPr>
              <w:t>Balance of LFG Combusted in Flare(s)</w:t>
            </w:r>
          </w:p>
        </w:tc>
        <w:tc>
          <w:tcPr>
            <w:tcW w:w="1685" w:type="dxa"/>
            <w:tcBorders>
              <w:top w:val="single" w:sz="4" w:space="0" w:color="auto"/>
              <w:left w:val="single" w:sz="4" w:space="0" w:color="auto"/>
              <w:bottom w:val="single" w:sz="4" w:space="0" w:color="auto"/>
              <w:right w:val="single" w:sz="4" w:space="0" w:color="auto"/>
            </w:tcBorders>
            <w:vAlign w:val="bottom"/>
          </w:tcPr>
          <w:p w14:paraId="775136AD" w14:textId="6CBE1A1C" w:rsidR="00F65A4A" w:rsidRPr="00FD516E" w:rsidRDefault="007E46DE" w:rsidP="00287B12">
            <w:pPr>
              <w:ind w:left="0" w:firstLine="0"/>
              <w:jc w:val="center"/>
              <w:rPr>
                <w:rFonts w:cs="Arial"/>
                <w:b/>
                <w:sz w:val="18"/>
                <w:szCs w:val="18"/>
              </w:rPr>
            </w:pPr>
            <w:r w:rsidRPr="00FD516E">
              <w:rPr>
                <w:rFonts w:cs="Arial"/>
                <w:b/>
                <w:sz w:val="18"/>
                <w:szCs w:val="18"/>
              </w:rPr>
              <w:t>8.53</w:t>
            </w:r>
          </w:p>
        </w:tc>
        <w:tc>
          <w:tcPr>
            <w:tcW w:w="886" w:type="dxa"/>
            <w:tcBorders>
              <w:top w:val="single" w:sz="4" w:space="0" w:color="auto"/>
              <w:left w:val="single" w:sz="4" w:space="0" w:color="auto"/>
              <w:bottom w:val="single" w:sz="4" w:space="0" w:color="auto"/>
              <w:right w:val="single" w:sz="4" w:space="0" w:color="auto"/>
            </w:tcBorders>
            <w:vAlign w:val="bottom"/>
          </w:tcPr>
          <w:p w14:paraId="01AB9312" w14:textId="0A1F6944" w:rsidR="00F65A4A" w:rsidRPr="00FD516E" w:rsidRDefault="00F65A4A" w:rsidP="00287B12">
            <w:pPr>
              <w:ind w:left="0" w:firstLine="0"/>
              <w:jc w:val="center"/>
              <w:rPr>
                <w:rFonts w:cs="Arial"/>
                <w:sz w:val="18"/>
                <w:szCs w:val="18"/>
              </w:rPr>
            </w:pPr>
            <w:r w:rsidRPr="00FD516E">
              <w:rPr>
                <w:rFonts w:cs="Arial"/>
                <w:sz w:val="18"/>
                <w:szCs w:val="18"/>
              </w:rPr>
              <w:t>44.01</w:t>
            </w:r>
          </w:p>
        </w:tc>
        <w:tc>
          <w:tcPr>
            <w:tcW w:w="914" w:type="dxa"/>
            <w:gridSpan w:val="2"/>
            <w:tcBorders>
              <w:top w:val="single" w:sz="4" w:space="0" w:color="auto"/>
              <w:left w:val="single" w:sz="4" w:space="0" w:color="auto"/>
              <w:bottom w:val="single" w:sz="4" w:space="0" w:color="auto"/>
              <w:right w:val="single" w:sz="4" w:space="0" w:color="auto"/>
            </w:tcBorders>
            <w:vAlign w:val="bottom"/>
          </w:tcPr>
          <w:p w14:paraId="2E35D5B5" w14:textId="39B2D3B6" w:rsidR="00F65A4A" w:rsidRPr="00FD516E" w:rsidRDefault="00F65A4A" w:rsidP="00287B12">
            <w:pPr>
              <w:ind w:left="0" w:firstLine="0"/>
              <w:jc w:val="center"/>
              <w:rPr>
                <w:rFonts w:cs="Arial"/>
                <w:b/>
                <w:sz w:val="18"/>
                <w:szCs w:val="18"/>
              </w:rPr>
            </w:pPr>
            <w:r w:rsidRPr="00FD516E">
              <w:rPr>
                <w:rFonts w:cs="Arial"/>
                <w:b/>
                <w:sz w:val="18"/>
                <w:szCs w:val="18"/>
              </w:rPr>
              <w:t>22.00</w:t>
            </w:r>
          </w:p>
        </w:tc>
        <w:tc>
          <w:tcPr>
            <w:tcW w:w="864" w:type="dxa"/>
            <w:tcBorders>
              <w:top w:val="single" w:sz="4" w:space="0" w:color="auto"/>
              <w:left w:val="single" w:sz="4" w:space="0" w:color="auto"/>
              <w:bottom w:val="single" w:sz="4" w:space="0" w:color="auto"/>
              <w:right w:val="single" w:sz="4" w:space="0" w:color="auto"/>
            </w:tcBorders>
            <w:vAlign w:val="bottom"/>
          </w:tcPr>
          <w:p w14:paraId="62545520" w14:textId="2CE99E0C" w:rsidR="00F65A4A" w:rsidRPr="00FD516E" w:rsidRDefault="00F65A4A" w:rsidP="00287B12">
            <w:pPr>
              <w:ind w:left="0" w:firstLine="0"/>
              <w:jc w:val="center"/>
              <w:rPr>
                <w:rFonts w:cs="Arial"/>
                <w:b/>
                <w:sz w:val="18"/>
                <w:szCs w:val="18"/>
              </w:rPr>
            </w:pPr>
            <w:r w:rsidRPr="00FD516E">
              <w:rPr>
                <w:rFonts w:cs="Arial"/>
                <w:b/>
                <w:sz w:val="18"/>
                <w:szCs w:val="18"/>
              </w:rPr>
              <w:t>119.72</w:t>
            </w:r>
          </w:p>
        </w:tc>
        <w:tc>
          <w:tcPr>
            <w:tcW w:w="851" w:type="dxa"/>
            <w:tcBorders>
              <w:top w:val="single" w:sz="4" w:space="0" w:color="auto"/>
              <w:left w:val="single" w:sz="4" w:space="0" w:color="auto"/>
              <w:bottom w:val="single" w:sz="4" w:space="0" w:color="auto"/>
              <w:right w:val="single" w:sz="4" w:space="0" w:color="auto"/>
            </w:tcBorders>
            <w:vAlign w:val="bottom"/>
          </w:tcPr>
          <w:p w14:paraId="58528B55" w14:textId="19611079" w:rsidR="00F65A4A" w:rsidRPr="00FD516E" w:rsidRDefault="00F65A4A" w:rsidP="00287B12">
            <w:pPr>
              <w:ind w:left="0" w:firstLine="0"/>
              <w:jc w:val="center"/>
              <w:rPr>
                <w:rFonts w:cs="Arial"/>
                <w:b/>
                <w:sz w:val="18"/>
                <w:szCs w:val="18"/>
              </w:rPr>
            </w:pPr>
            <w:r w:rsidRPr="00FD516E">
              <w:rPr>
                <w:rFonts w:cs="Arial"/>
                <w:b/>
                <w:sz w:val="18"/>
                <w:szCs w:val="18"/>
              </w:rPr>
              <w:t>0.65</w:t>
            </w:r>
          </w:p>
        </w:tc>
        <w:tc>
          <w:tcPr>
            <w:tcW w:w="928" w:type="dxa"/>
            <w:tcBorders>
              <w:top w:val="single" w:sz="4" w:space="0" w:color="auto"/>
              <w:left w:val="single" w:sz="4" w:space="0" w:color="auto"/>
              <w:bottom w:val="single" w:sz="4" w:space="0" w:color="auto"/>
              <w:right w:val="double" w:sz="6" w:space="0" w:color="auto"/>
            </w:tcBorders>
            <w:vAlign w:val="bottom"/>
          </w:tcPr>
          <w:p w14:paraId="35B8AC63" w14:textId="7689E439" w:rsidR="00F65A4A" w:rsidRPr="00FD516E" w:rsidRDefault="00F65A4A" w:rsidP="00287B12">
            <w:pPr>
              <w:ind w:left="0" w:firstLine="0"/>
              <w:jc w:val="center"/>
              <w:rPr>
                <w:rFonts w:cs="Arial"/>
                <w:sz w:val="18"/>
                <w:szCs w:val="18"/>
              </w:rPr>
            </w:pPr>
            <w:r w:rsidRPr="00FD516E">
              <w:rPr>
                <w:rFonts w:cs="Arial"/>
                <w:b/>
                <w:sz w:val="18"/>
                <w:szCs w:val="18"/>
              </w:rPr>
              <w:t>0.22</w:t>
            </w:r>
          </w:p>
        </w:tc>
      </w:tr>
      <w:tr w:rsidR="00F65A4A" w:rsidRPr="00FD516E" w14:paraId="1A844B3C" w14:textId="77777777" w:rsidTr="006C7879">
        <w:trPr>
          <w:cantSplit/>
          <w:trHeight w:val="458"/>
        </w:trPr>
        <w:tc>
          <w:tcPr>
            <w:tcW w:w="2516" w:type="dxa"/>
            <w:tcBorders>
              <w:top w:val="single" w:sz="4" w:space="0" w:color="auto"/>
              <w:left w:val="double" w:sz="6" w:space="0" w:color="auto"/>
              <w:bottom w:val="single" w:sz="4" w:space="0" w:color="auto"/>
              <w:right w:val="single" w:sz="4" w:space="0" w:color="auto"/>
            </w:tcBorders>
            <w:vAlign w:val="bottom"/>
          </w:tcPr>
          <w:p w14:paraId="4EE7B3BE" w14:textId="093E4033" w:rsidR="00F65A4A" w:rsidRPr="00FD516E" w:rsidRDefault="007E46DE" w:rsidP="00454C06">
            <w:pPr>
              <w:ind w:left="259" w:firstLine="0"/>
              <w:jc w:val="left"/>
              <w:rPr>
                <w:rFonts w:cs="Arial"/>
                <w:sz w:val="18"/>
                <w:szCs w:val="18"/>
              </w:rPr>
            </w:pPr>
            <w:r w:rsidRPr="00FD516E">
              <w:rPr>
                <w:rFonts w:cs="Arial"/>
                <w:sz w:val="18"/>
                <w:szCs w:val="18"/>
              </w:rPr>
              <w:t>LFGTE Operation Emergency Engine</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29E76CAC" w14:textId="1D42803D" w:rsidR="00F65A4A" w:rsidRPr="00FD516E" w:rsidRDefault="00F65A4A" w:rsidP="00F65A4A">
            <w:pPr>
              <w:ind w:left="0" w:firstLine="0"/>
              <w:jc w:val="center"/>
              <w:rPr>
                <w:rFonts w:cs="Arial"/>
                <w:b/>
                <w:sz w:val="18"/>
                <w:szCs w:val="18"/>
              </w:rPr>
            </w:pPr>
            <w:r w:rsidRPr="00FD516E">
              <w:rPr>
                <w:rFonts w:cs="Arial"/>
                <w:b/>
                <w:bCs/>
                <w:sz w:val="18"/>
                <w:szCs w:val="18"/>
              </w:rPr>
              <w:t>0.03</w:t>
            </w:r>
          </w:p>
        </w:tc>
        <w:tc>
          <w:tcPr>
            <w:tcW w:w="886" w:type="dxa"/>
            <w:tcBorders>
              <w:top w:val="single" w:sz="4" w:space="0" w:color="auto"/>
              <w:left w:val="nil"/>
              <w:bottom w:val="single" w:sz="4" w:space="0" w:color="auto"/>
              <w:right w:val="single" w:sz="4" w:space="0" w:color="auto"/>
            </w:tcBorders>
            <w:shd w:val="clear" w:color="auto" w:fill="auto"/>
            <w:vAlign w:val="center"/>
          </w:tcPr>
          <w:p w14:paraId="2E40C47F" w14:textId="1B3E614E" w:rsidR="00F65A4A" w:rsidRPr="00FD516E" w:rsidRDefault="00F65A4A" w:rsidP="00F65A4A">
            <w:pPr>
              <w:ind w:left="0" w:firstLine="0"/>
              <w:jc w:val="center"/>
              <w:rPr>
                <w:rFonts w:cs="Arial"/>
                <w:sz w:val="18"/>
                <w:szCs w:val="18"/>
              </w:rPr>
            </w:pPr>
            <w:r w:rsidRPr="00FD516E">
              <w:rPr>
                <w:rFonts w:cs="Arial"/>
                <w:sz w:val="18"/>
                <w:szCs w:val="18"/>
              </w:rPr>
              <w:t>0.005</w:t>
            </w:r>
          </w:p>
        </w:tc>
        <w:tc>
          <w:tcPr>
            <w:tcW w:w="914" w:type="dxa"/>
            <w:gridSpan w:val="2"/>
            <w:tcBorders>
              <w:top w:val="single" w:sz="4" w:space="0" w:color="auto"/>
              <w:left w:val="nil"/>
              <w:bottom w:val="single" w:sz="4" w:space="0" w:color="auto"/>
              <w:right w:val="single" w:sz="4" w:space="0" w:color="auto"/>
            </w:tcBorders>
            <w:shd w:val="clear" w:color="auto" w:fill="auto"/>
            <w:vAlign w:val="center"/>
          </w:tcPr>
          <w:p w14:paraId="05BF16F4" w14:textId="4327A934" w:rsidR="00F65A4A" w:rsidRPr="00FD516E" w:rsidRDefault="00F65A4A" w:rsidP="00F65A4A">
            <w:pPr>
              <w:ind w:left="0" w:firstLine="0"/>
              <w:jc w:val="center"/>
              <w:rPr>
                <w:rFonts w:cs="Arial"/>
                <w:b/>
                <w:sz w:val="18"/>
                <w:szCs w:val="18"/>
              </w:rPr>
            </w:pPr>
            <w:r w:rsidRPr="00FD516E">
              <w:rPr>
                <w:rFonts w:cs="Arial"/>
                <w:b/>
                <w:bCs/>
                <w:sz w:val="18"/>
                <w:szCs w:val="18"/>
              </w:rPr>
              <w:t>0.42</w:t>
            </w:r>
          </w:p>
        </w:tc>
        <w:tc>
          <w:tcPr>
            <w:tcW w:w="864" w:type="dxa"/>
            <w:tcBorders>
              <w:top w:val="single" w:sz="4" w:space="0" w:color="auto"/>
              <w:left w:val="nil"/>
              <w:bottom w:val="single" w:sz="4" w:space="0" w:color="auto"/>
              <w:right w:val="single" w:sz="4" w:space="0" w:color="auto"/>
            </w:tcBorders>
            <w:shd w:val="clear" w:color="auto" w:fill="auto"/>
            <w:vAlign w:val="center"/>
          </w:tcPr>
          <w:p w14:paraId="0EE047D0" w14:textId="63930EBF" w:rsidR="00F65A4A" w:rsidRPr="00FD516E" w:rsidRDefault="00F65A4A" w:rsidP="00F65A4A">
            <w:pPr>
              <w:ind w:left="0" w:firstLine="0"/>
              <w:jc w:val="center"/>
              <w:rPr>
                <w:rFonts w:cs="Arial"/>
                <w:b/>
                <w:sz w:val="18"/>
                <w:szCs w:val="18"/>
              </w:rPr>
            </w:pPr>
            <w:r w:rsidRPr="00FD516E">
              <w:rPr>
                <w:rFonts w:cs="Arial"/>
                <w:b/>
                <w:bCs/>
                <w:sz w:val="18"/>
                <w:szCs w:val="18"/>
              </w:rPr>
              <w:t>0.09</w:t>
            </w:r>
          </w:p>
        </w:tc>
        <w:tc>
          <w:tcPr>
            <w:tcW w:w="851" w:type="dxa"/>
            <w:tcBorders>
              <w:top w:val="single" w:sz="4" w:space="0" w:color="auto"/>
              <w:left w:val="nil"/>
              <w:bottom w:val="single" w:sz="4" w:space="0" w:color="auto"/>
              <w:right w:val="single" w:sz="4" w:space="0" w:color="auto"/>
            </w:tcBorders>
            <w:shd w:val="clear" w:color="auto" w:fill="auto"/>
            <w:vAlign w:val="center"/>
          </w:tcPr>
          <w:p w14:paraId="4D2FC0BE" w14:textId="1BA9B3F1" w:rsidR="00F65A4A" w:rsidRPr="00FD516E" w:rsidRDefault="00F65A4A" w:rsidP="00F65A4A">
            <w:pPr>
              <w:ind w:left="0" w:firstLine="0"/>
              <w:jc w:val="center"/>
              <w:rPr>
                <w:rFonts w:cs="Arial"/>
                <w:b/>
                <w:sz w:val="18"/>
                <w:szCs w:val="18"/>
              </w:rPr>
            </w:pPr>
            <w:r w:rsidRPr="00FD516E">
              <w:rPr>
                <w:rFonts w:cs="Arial"/>
                <w:b/>
                <w:bCs/>
                <w:sz w:val="18"/>
                <w:szCs w:val="18"/>
              </w:rPr>
              <w:t>0.03</w:t>
            </w:r>
          </w:p>
        </w:tc>
        <w:tc>
          <w:tcPr>
            <w:tcW w:w="928" w:type="dxa"/>
            <w:tcBorders>
              <w:top w:val="single" w:sz="4" w:space="0" w:color="auto"/>
              <w:left w:val="nil"/>
              <w:bottom w:val="single" w:sz="4" w:space="0" w:color="auto"/>
              <w:right w:val="double" w:sz="6" w:space="0" w:color="auto"/>
            </w:tcBorders>
            <w:shd w:val="clear" w:color="auto" w:fill="auto"/>
            <w:vAlign w:val="center"/>
          </w:tcPr>
          <w:p w14:paraId="3597C599" w14:textId="4DA17FC3" w:rsidR="00F65A4A" w:rsidRPr="00FD516E" w:rsidRDefault="00F65A4A" w:rsidP="00F65A4A">
            <w:pPr>
              <w:ind w:left="0" w:firstLine="0"/>
              <w:jc w:val="center"/>
              <w:rPr>
                <w:rFonts w:cs="Arial"/>
                <w:sz w:val="18"/>
                <w:szCs w:val="18"/>
              </w:rPr>
            </w:pPr>
            <w:r w:rsidRPr="00FD516E">
              <w:rPr>
                <w:rFonts w:cs="Arial"/>
                <w:b/>
                <w:bCs/>
                <w:sz w:val="18"/>
                <w:szCs w:val="18"/>
              </w:rPr>
              <w:t>0.001</w:t>
            </w:r>
          </w:p>
        </w:tc>
      </w:tr>
      <w:tr w:rsidR="000544A8" w:rsidRPr="009F5E32" w14:paraId="5BFAB8C1" w14:textId="77777777" w:rsidTr="006C7879">
        <w:trPr>
          <w:cantSplit/>
          <w:trHeight w:val="360"/>
        </w:trPr>
        <w:tc>
          <w:tcPr>
            <w:tcW w:w="2516" w:type="dxa"/>
            <w:tcBorders>
              <w:top w:val="single" w:sz="4" w:space="0" w:color="auto"/>
              <w:left w:val="double" w:sz="6" w:space="0" w:color="auto"/>
              <w:bottom w:val="double" w:sz="6" w:space="0" w:color="auto"/>
              <w:right w:val="single" w:sz="4" w:space="0" w:color="auto"/>
            </w:tcBorders>
            <w:noWrap/>
            <w:vAlign w:val="bottom"/>
          </w:tcPr>
          <w:p w14:paraId="69FCBB5C" w14:textId="44DFFAC8" w:rsidR="000544A8" w:rsidRPr="00FD516E" w:rsidRDefault="00454C06" w:rsidP="00454C06">
            <w:pPr>
              <w:widowControl/>
              <w:autoSpaceDE/>
              <w:autoSpaceDN/>
              <w:adjustRightInd/>
              <w:ind w:left="259" w:firstLine="0"/>
              <w:jc w:val="left"/>
              <w:rPr>
                <w:rFonts w:cs="Arial"/>
                <w:bCs/>
                <w:sz w:val="18"/>
                <w:szCs w:val="18"/>
              </w:rPr>
            </w:pPr>
            <w:r w:rsidRPr="00FD516E">
              <w:rPr>
                <w:rFonts w:cs="Arial"/>
                <w:bCs/>
                <w:sz w:val="18"/>
                <w:szCs w:val="18"/>
              </w:rPr>
              <w:t xml:space="preserve">Non-Road Engines at Landfill Operation. </w:t>
            </w:r>
          </w:p>
        </w:tc>
        <w:tc>
          <w:tcPr>
            <w:tcW w:w="1685"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FAC9DF4" w14:textId="6DCCE6DB" w:rsidR="000544A8" w:rsidRPr="00FD516E" w:rsidRDefault="00CB4D4E" w:rsidP="00F65A4A">
            <w:pPr>
              <w:widowControl/>
              <w:autoSpaceDE/>
              <w:autoSpaceDN/>
              <w:adjustRightInd/>
              <w:ind w:left="0" w:firstLine="0"/>
              <w:jc w:val="center"/>
              <w:rPr>
                <w:rFonts w:cs="Arial"/>
                <w:b/>
                <w:sz w:val="18"/>
                <w:szCs w:val="18"/>
              </w:rPr>
            </w:pPr>
            <w:r>
              <w:rPr>
                <w:rFonts w:cs="Arial"/>
                <w:b/>
                <w:sz w:val="18"/>
                <w:szCs w:val="18"/>
              </w:rPr>
              <w:t>0.71</w:t>
            </w:r>
          </w:p>
        </w:tc>
        <w:tc>
          <w:tcPr>
            <w:tcW w:w="886" w:type="dxa"/>
            <w:tcBorders>
              <w:top w:val="single" w:sz="4" w:space="0" w:color="auto"/>
              <w:left w:val="nil"/>
              <w:bottom w:val="double" w:sz="6" w:space="0" w:color="auto"/>
              <w:right w:val="single" w:sz="4" w:space="0" w:color="auto"/>
            </w:tcBorders>
            <w:shd w:val="clear" w:color="auto" w:fill="auto"/>
            <w:noWrap/>
            <w:vAlign w:val="center"/>
          </w:tcPr>
          <w:p w14:paraId="3C3451D6" w14:textId="60316476" w:rsidR="000544A8" w:rsidRPr="00FD516E" w:rsidRDefault="003F20D0" w:rsidP="00F65A4A">
            <w:pPr>
              <w:widowControl/>
              <w:autoSpaceDE/>
              <w:autoSpaceDN/>
              <w:adjustRightInd/>
              <w:ind w:left="0" w:firstLine="0"/>
              <w:jc w:val="center"/>
              <w:rPr>
                <w:rFonts w:cs="Arial"/>
                <w:b/>
                <w:sz w:val="18"/>
                <w:szCs w:val="18"/>
              </w:rPr>
            </w:pPr>
            <w:r w:rsidRPr="00FD516E">
              <w:rPr>
                <w:rFonts w:cs="Arial"/>
                <w:b/>
                <w:sz w:val="18"/>
                <w:szCs w:val="18"/>
              </w:rPr>
              <w:t>0.</w:t>
            </w:r>
            <w:r w:rsidR="00CB4D4E" w:rsidRPr="00FD516E">
              <w:rPr>
                <w:rFonts w:cs="Arial"/>
                <w:b/>
                <w:sz w:val="18"/>
                <w:szCs w:val="18"/>
              </w:rPr>
              <w:t>0</w:t>
            </w:r>
            <w:r w:rsidR="00CB4D4E">
              <w:rPr>
                <w:rFonts w:cs="Arial"/>
                <w:b/>
                <w:sz w:val="18"/>
                <w:szCs w:val="18"/>
              </w:rPr>
              <w:t>23</w:t>
            </w:r>
          </w:p>
        </w:tc>
        <w:tc>
          <w:tcPr>
            <w:tcW w:w="914" w:type="dxa"/>
            <w:gridSpan w:val="2"/>
            <w:tcBorders>
              <w:top w:val="single" w:sz="4" w:space="0" w:color="auto"/>
              <w:left w:val="nil"/>
              <w:bottom w:val="double" w:sz="6" w:space="0" w:color="auto"/>
              <w:right w:val="single" w:sz="4" w:space="0" w:color="auto"/>
            </w:tcBorders>
            <w:shd w:val="clear" w:color="auto" w:fill="auto"/>
            <w:noWrap/>
            <w:vAlign w:val="center"/>
          </w:tcPr>
          <w:p w14:paraId="3E34616C" w14:textId="3BCAEACE" w:rsidR="000544A8" w:rsidRPr="00FD516E" w:rsidRDefault="00CB4D4E" w:rsidP="00F65A4A">
            <w:pPr>
              <w:widowControl/>
              <w:autoSpaceDE/>
              <w:autoSpaceDN/>
              <w:adjustRightInd/>
              <w:ind w:left="0" w:firstLine="0"/>
              <w:jc w:val="center"/>
              <w:rPr>
                <w:rFonts w:cs="Arial"/>
                <w:b/>
                <w:sz w:val="18"/>
                <w:szCs w:val="18"/>
              </w:rPr>
            </w:pPr>
            <w:r>
              <w:rPr>
                <w:rFonts w:cs="Arial"/>
                <w:b/>
                <w:sz w:val="18"/>
                <w:szCs w:val="18"/>
              </w:rPr>
              <w:t>22.62</w:t>
            </w:r>
          </w:p>
        </w:tc>
        <w:tc>
          <w:tcPr>
            <w:tcW w:w="864" w:type="dxa"/>
            <w:tcBorders>
              <w:top w:val="single" w:sz="4" w:space="0" w:color="auto"/>
              <w:left w:val="nil"/>
              <w:bottom w:val="double" w:sz="6" w:space="0" w:color="auto"/>
              <w:right w:val="single" w:sz="4" w:space="0" w:color="auto"/>
            </w:tcBorders>
            <w:shd w:val="clear" w:color="auto" w:fill="auto"/>
            <w:noWrap/>
            <w:vAlign w:val="center"/>
          </w:tcPr>
          <w:p w14:paraId="7A8A4E89" w14:textId="2C9BB4C0" w:rsidR="000544A8" w:rsidRPr="00FD516E" w:rsidRDefault="00CB4D4E" w:rsidP="00F65A4A">
            <w:pPr>
              <w:widowControl/>
              <w:autoSpaceDE/>
              <w:autoSpaceDN/>
              <w:adjustRightInd/>
              <w:ind w:left="0" w:firstLine="0"/>
              <w:jc w:val="center"/>
              <w:rPr>
                <w:rFonts w:cs="Arial"/>
                <w:b/>
                <w:sz w:val="18"/>
                <w:szCs w:val="18"/>
              </w:rPr>
            </w:pPr>
            <w:r>
              <w:rPr>
                <w:rFonts w:cs="Arial"/>
                <w:b/>
                <w:sz w:val="18"/>
                <w:szCs w:val="18"/>
              </w:rPr>
              <w:t>12.25</w:t>
            </w:r>
          </w:p>
        </w:tc>
        <w:tc>
          <w:tcPr>
            <w:tcW w:w="851" w:type="dxa"/>
            <w:tcBorders>
              <w:top w:val="single" w:sz="4" w:space="0" w:color="auto"/>
              <w:left w:val="nil"/>
              <w:bottom w:val="double" w:sz="6" w:space="0" w:color="auto"/>
              <w:right w:val="single" w:sz="4" w:space="0" w:color="auto"/>
            </w:tcBorders>
            <w:shd w:val="clear" w:color="auto" w:fill="auto"/>
            <w:noWrap/>
            <w:vAlign w:val="center"/>
          </w:tcPr>
          <w:p w14:paraId="26F3E9F6" w14:textId="4E202734" w:rsidR="000544A8" w:rsidRPr="00FD516E" w:rsidRDefault="00F839A5" w:rsidP="00F65A4A">
            <w:pPr>
              <w:widowControl/>
              <w:autoSpaceDE/>
              <w:autoSpaceDN/>
              <w:adjustRightInd/>
              <w:ind w:left="0" w:firstLine="0"/>
              <w:jc w:val="center"/>
              <w:rPr>
                <w:rFonts w:cs="Arial"/>
                <w:b/>
                <w:sz w:val="18"/>
                <w:szCs w:val="18"/>
              </w:rPr>
            </w:pPr>
            <w:r w:rsidRPr="00FD516E">
              <w:rPr>
                <w:rFonts w:cs="Arial"/>
                <w:b/>
                <w:sz w:val="18"/>
                <w:szCs w:val="18"/>
              </w:rPr>
              <w:t>0.00</w:t>
            </w:r>
          </w:p>
        </w:tc>
        <w:tc>
          <w:tcPr>
            <w:tcW w:w="928" w:type="dxa"/>
            <w:tcBorders>
              <w:top w:val="single" w:sz="4" w:space="0" w:color="auto"/>
              <w:left w:val="nil"/>
              <w:bottom w:val="double" w:sz="6" w:space="0" w:color="auto"/>
              <w:right w:val="double" w:sz="6" w:space="0" w:color="auto"/>
            </w:tcBorders>
            <w:shd w:val="clear" w:color="auto" w:fill="auto"/>
            <w:noWrap/>
            <w:vAlign w:val="center"/>
          </w:tcPr>
          <w:p w14:paraId="76635682" w14:textId="208ED2E0" w:rsidR="000544A8" w:rsidRPr="00FD516E" w:rsidRDefault="00F839A5" w:rsidP="00F65A4A">
            <w:pPr>
              <w:widowControl/>
              <w:autoSpaceDE/>
              <w:autoSpaceDN/>
              <w:adjustRightInd/>
              <w:ind w:left="0" w:firstLine="0"/>
              <w:jc w:val="center"/>
              <w:rPr>
                <w:rFonts w:cs="Arial"/>
                <w:b/>
                <w:sz w:val="18"/>
                <w:szCs w:val="18"/>
              </w:rPr>
            </w:pPr>
            <w:r w:rsidRPr="00FD516E">
              <w:rPr>
                <w:rFonts w:cs="Arial"/>
                <w:b/>
                <w:sz w:val="18"/>
                <w:szCs w:val="18"/>
              </w:rPr>
              <w:t>0.</w:t>
            </w:r>
            <w:r w:rsidR="00CB4D4E" w:rsidRPr="00FD516E">
              <w:rPr>
                <w:rFonts w:cs="Arial"/>
                <w:b/>
                <w:sz w:val="18"/>
                <w:szCs w:val="18"/>
              </w:rPr>
              <w:t>0</w:t>
            </w:r>
            <w:r w:rsidR="00CB4D4E">
              <w:rPr>
                <w:rFonts w:cs="Arial"/>
                <w:b/>
                <w:sz w:val="18"/>
                <w:szCs w:val="18"/>
              </w:rPr>
              <w:t>99</w:t>
            </w:r>
          </w:p>
        </w:tc>
      </w:tr>
      <w:tr w:rsidR="00F65A4A" w:rsidRPr="009F5E32" w14:paraId="6E69EB33" w14:textId="77777777" w:rsidTr="006C7879">
        <w:trPr>
          <w:cantSplit/>
          <w:trHeight w:val="360"/>
        </w:trPr>
        <w:tc>
          <w:tcPr>
            <w:tcW w:w="2516" w:type="dxa"/>
            <w:tcBorders>
              <w:top w:val="double" w:sz="4" w:space="0" w:color="auto"/>
              <w:left w:val="double" w:sz="6" w:space="0" w:color="auto"/>
              <w:bottom w:val="double" w:sz="6" w:space="0" w:color="auto"/>
              <w:right w:val="single" w:sz="4" w:space="0" w:color="auto"/>
            </w:tcBorders>
            <w:noWrap/>
            <w:vAlign w:val="bottom"/>
          </w:tcPr>
          <w:p w14:paraId="23BE693A" w14:textId="7070F544" w:rsidR="00F65A4A" w:rsidRPr="00FD516E" w:rsidRDefault="00F65A4A" w:rsidP="00F65A4A">
            <w:pPr>
              <w:widowControl/>
              <w:autoSpaceDE/>
              <w:autoSpaceDN/>
              <w:adjustRightInd/>
              <w:ind w:left="0" w:firstLine="0"/>
              <w:jc w:val="right"/>
              <w:rPr>
                <w:rFonts w:cs="Arial"/>
                <w:bCs/>
                <w:sz w:val="18"/>
                <w:szCs w:val="18"/>
              </w:rPr>
            </w:pPr>
            <w:r w:rsidRPr="00FD516E">
              <w:rPr>
                <w:rFonts w:cs="Arial"/>
                <w:bCs/>
                <w:sz w:val="18"/>
                <w:szCs w:val="18"/>
              </w:rPr>
              <w:t>Total Estimated Emissions</w:t>
            </w:r>
          </w:p>
        </w:tc>
        <w:tc>
          <w:tcPr>
            <w:tcW w:w="1685" w:type="dxa"/>
            <w:tcBorders>
              <w:top w:val="nil"/>
              <w:left w:val="single" w:sz="4" w:space="0" w:color="auto"/>
              <w:bottom w:val="double" w:sz="6" w:space="0" w:color="auto"/>
              <w:right w:val="single" w:sz="4" w:space="0" w:color="auto"/>
            </w:tcBorders>
            <w:shd w:val="clear" w:color="auto" w:fill="auto"/>
            <w:noWrap/>
            <w:vAlign w:val="center"/>
          </w:tcPr>
          <w:p w14:paraId="5AD799E1" w14:textId="3A5270C9" w:rsidR="00F65A4A" w:rsidRPr="00FD516E" w:rsidRDefault="003108AC" w:rsidP="00F65A4A">
            <w:pPr>
              <w:widowControl/>
              <w:autoSpaceDE/>
              <w:autoSpaceDN/>
              <w:adjustRightInd/>
              <w:ind w:left="0" w:firstLine="0"/>
              <w:jc w:val="center"/>
              <w:rPr>
                <w:rFonts w:cs="Arial"/>
                <w:sz w:val="18"/>
                <w:szCs w:val="18"/>
              </w:rPr>
            </w:pPr>
            <w:r>
              <w:rPr>
                <w:rFonts w:cs="Arial"/>
                <w:sz w:val="18"/>
                <w:szCs w:val="18"/>
              </w:rPr>
              <w:t>25.67</w:t>
            </w:r>
          </w:p>
        </w:tc>
        <w:tc>
          <w:tcPr>
            <w:tcW w:w="886" w:type="dxa"/>
            <w:tcBorders>
              <w:top w:val="nil"/>
              <w:left w:val="nil"/>
              <w:bottom w:val="double" w:sz="6" w:space="0" w:color="auto"/>
              <w:right w:val="single" w:sz="4" w:space="0" w:color="auto"/>
            </w:tcBorders>
            <w:shd w:val="clear" w:color="auto" w:fill="auto"/>
            <w:noWrap/>
            <w:vAlign w:val="center"/>
          </w:tcPr>
          <w:p w14:paraId="1C373557" w14:textId="5CF022D7" w:rsidR="00F65A4A" w:rsidRPr="00FD516E" w:rsidRDefault="00F65A4A" w:rsidP="00F65A4A">
            <w:pPr>
              <w:widowControl/>
              <w:autoSpaceDE/>
              <w:autoSpaceDN/>
              <w:adjustRightInd/>
              <w:ind w:left="0" w:firstLine="0"/>
              <w:jc w:val="center"/>
              <w:rPr>
                <w:rFonts w:cs="Arial"/>
                <w:sz w:val="18"/>
                <w:szCs w:val="18"/>
              </w:rPr>
            </w:pPr>
            <w:r w:rsidRPr="00FD516E">
              <w:rPr>
                <w:rFonts w:cs="Arial"/>
                <w:sz w:val="18"/>
                <w:szCs w:val="18"/>
              </w:rPr>
              <w:t>89.</w:t>
            </w:r>
            <w:r w:rsidR="003108AC" w:rsidRPr="00FD516E">
              <w:rPr>
                <w:rFonts w:cs="Arial"/>
                <w:sz w:val="18"/>
                <w:szCs w:val="18"/>
              </w:rPr>
              <w:t>3</w:t>
            </w:r>
            <w:r w:rsidR="003108AC">
              <w:rPr>
                <w:rFonts w:cs="Arial"/>
                <w:sz w:val="18"/>
                <w:szCs w:val="18"/>
              </w:rPr>
              <w:t>8</w:t>
            </w:r>
          </w:p>
        </w:tc>
        <w:tc>
          <w:tcPr>
            <w:tcW w:w="914" w:type="dxa"/>
            <w:gridSpan w:val="2"/>
            <w:tcBorders>
              <w:top w:val="nil"/>
              <w:left w:val="nil"/>
              <w:bottom w:val="double" w:sz="6" w:space="0" w:color="auto"/>
              <w:right w:val="single" w:sz="4" w:space="0" w:color="auto"/>
            </w:tcBorders>
            <w:shd w:val="clear" w:color="auto" w:fill="auto"/>
            <w:noWrap/>
            <w:vAlign w:val="center"/>
          </w:tcPr>
          <w:p w14:paraId="0D0613F7" w14:textId="15D1B4B5" w:rsidR="00F65A4A" w:rsidRPr="00FD516E" w:rsidRDefault="003108AC" w:rsidP="00F65A4A">
            <w:pPr>
              <w:widowControl/>
              <w:autoSpaceDE/>
              <w:autoSpaceDN/>
              <w:adjustRightInd/>
              <w:ind w:left="0" w:firstLine="0"/>
              <w:jc w:val="center"/>
              <w:rPr>
                <w:rFonts w:cs="Arial"/>
                <w:sz w:val="18"/>
                <w:szCs w:val="18"/>
              </w:rPr>
            </w:pPr>
            <w:r>
              <w:rPr>
                <w:rFonts w:cs="Arial"/>
                <w:sz w:val="18"/>
                <w:szCs w:val="18"/>
              </w:rPr>
              <w:t>98.66</w:t>
            </w:r>
          </w:p>
        </w:tc>
        <w:tc>
          <w:tcPr>
            <w:tcW w:w="864" w:type="dxa"/>
            <w:tcBorders>
              <w:top w:val="nil"/>
              <w:left w:val="nil"/>
              <w:bottom w:val="double" w:sz="6" w:space="0" w:color="auto"/>
              <w:right w:val="single" w:sz="4" w:space="0" w:color="auto"/>
            </w:tcBorders>
            <w:shd w:val="clear" w:color="auto" w:fill="auto"/>
            <w:noWrap/>
            <w:vAlign w:val="center"/>
          </w:tcPr>
          <w:p w14:paraId="3D38978A" w14:textId="002DCD54" w:rsidR="00F65A4A" w:rsidRPr="00FD516E" w:rsidRDefault="003108AC" w:rsidP="00F65A4A">
            <w:pPr>
              <w:widowControl/>
              <w:autoSpaceDE/>
              <w:autoSpaceDN/>
              <w:adjustRightInd/>
              <w:ind w:left="0" w:firstLine="0"/>
              <w:jc w:val="center"/>
              <w:rPr>
                <w:rFonts w:cs="Arial"/>
                <w:sz w:val="18"/>
                <w:szCs w:val="18"/>
              </w:rPr>
            </w:pPr>
            <w:r>
              <w:rPr>
                <w:rFonts w:cs="Arial"/>
                <w:sz w:val="18"/>
                <w:szCs w:val="18"/>
              </w:rPr>
              <w:t>507.38</w:t>
            </w:r>
          </w:p>
        </w:tc>
        <w:tc>
          <w:tcPr>
            <w:tcW w:w="851" w:type="dxa"/>
            <w:tcBorders>
              <w:top w:val="nil"/>
              <w:left w:val="nil"/>
              <w:bottom w:val="double" w:sz="6" w:space="0" w:color="auto"/>
              <w:right w:val="single" w:sz="4" w:space="0" w:color="auto"/>
            </w:tcBorders>
            <w:shd w:val="clear" w:color="auto" w:fill="auto"/>
            <w:noWrap/>
            <w:vAlign w:val="center"/>
          </w:tcPr>
          <w:p w14:paraId="3F1A5470" w14:textId="0AA0A5AF" w:rsidR="00F65A4A" w:rsidRPr="00FD516E" w:rsidRDefault="00F52412" w:rsidP="00F65A4A">
            <w:pPr>
              <w:widowControl/>
              <w:autoSpaceDE/>
              <w:autoSpaceDN/>
              <w:adjustRightInd/>
              <w:ind w:left="0" w:firstLine="0"/>
              <w:jc w:val="center"/>
              <w:rPr>
                <w:rFonts w:cs="Arial"/>
                <w:sz w:val="18"/>
                <w:szCs w:val="18"/>
              </w:rPr>
            </w:pPr>
            <w:r w:rsidRPr="00FD516E">
              <w:rPr>
                <w:rFonts w:cs="Arial"/>
                <w:sz w:val="18"/>
                <w:szCs w:val="18"/>
              </w:rPr>
              <w:t>45.18</w:t>
            </w:r>
          </w:p>
        </w:tc>
        <w:tc>
          <w:tcPr>
            <w:tcW w:w="928" w:type="dxa"/>
            <w:tcBorders>
              <w:top w:val="nil"/>
              <w:left w:val="nil"/>
              <w:bottom w:val="double" w:sz="6" w:space="0" w:color="auto"/>
              <w:right w:val="double" w:sz="6" w:space="0" w:color="auto"/>
            </w:tcBorders>
            <w:shd w:val="clear" w:color="auto" w:fill="auto"/>
            <w:noWrap/>
            <w:vAlign w:val="center"/>
          </w:tcPr>
          <w:p w14:paraId="0008D898" w14:textId="228FEDEC" w:rsidR="00F65A4A" w:rsidRPr="00FD516E" w:rsidRDefault="006C7879" w:rsidP="00F65A4A">
            <w:pPr>
              <w:widowControl/>
              <w:autoSpaceDE/>
              <w:autoSpaceDN/>
              <w:adjustRightInd/>
              <w:ind w:left="0" w:firstLine="0"/>
              <w:jc w:val="center"/>
              <w:rPr>
                <w:rFonts w:cs="Arial"/>
                <w:sz w:val="18"/>
                <w:szCs w:val="18"/>
              </w:rPr>
            </w:pPr>
            <w:r>
              <w:rPr>
                <w:rFonts w:cs="Arial"/>
                <w:sz w:val="18"/>
                <w:szCs w:val="18"/>
              </w:rPr>
              <w:t>37.</w:t>
            </w:r>
            <w:r w:rsidR="003108AC">
              <w:rPr>
                <w:rFonts w:cs="Arial"/>
                <w:sz w:val="18"/>
                <w:szCs w:val="18"/>
              </w:rPr>
              <w:t>25</w:t>
            </w:r>
          </w:p>
        </w:tc>
      </w:tr>
      <w:tr w:rsidR="00F65A4A" w:rsidRPr="009F5E32" w14:paraId="6E0AEA46" w14:textId="77777777" w:rsidTr="00A80199">
        <w:trPr>
          <w:cantSplit/>
          <w:trHeight w:val="432"/>
        </w:trPr>
        <w:tc>
          <w:tcPr>
            <w:tcW w:w="2516" w:type="dxa"/>
            <w:tcBorders>
              <w:top w:val="double" w:sz="4" w:space="0" w:color="auto"/>
              <w:left w:val="double" w:sz="4" w:space="0" w:color="auto"/>
              <w:bottom w:val="double" w:sz="4" w:space="0" w:color="auto"/>
              <w:right w:val="single" w:sz="4" w:space="0" w:color="auto"/>
            </w:tcBorders>
            <w:noWrap/>
            <w:vAlign w:val="center"/>
          </w:tcPr>
          <w:p w14:paraId="2BE1C872" w14:textId="5A95D101" w:rsidR="00F65A4A" w:rsidRPr="00FD516E" w:rsidRDefault="00F65A4A" w:rsidP="00A80199">
            <w:pPr>
              <w:widowControl/>
              <w:autoSpaceDE/>
              <w:autoSpaceDN/>
              <w:adjustRightInd/>
              <w:ind w:left="0" w:firstLine="0"/>
              <w:jc w:val="right"/>
              <w:rPr>
                <w:rFonts w:cs="Arial"/>
                <w:b/>
                <w:bCs/>
                <w:sz w:val="18"/>
                <w:szCs w:val="18"/>
              </w:rPr>
            </w:pPr>
            <w:r w:rsidRPr="00FD516E">
              <w:rPr>
                <w:rFonts w:cs="Arial"/>
                <w:b/>
                <w:bCs/>
                <w:sz w:val="18"/>
                <w:szCs w:val="18"/>
              </w:rPr>
              <w:t xml:space="preserve">Allowable Emissions </w:t>
            </w:r>
            <w:r w:rsidR="00581C68" w:rsidRPr="00FD516E">
              <w:rPr>
                <w:rFonts w:cs="Arial"/>
                <w:b/>
                <w:bCs/>
                <w:sz w:val="20"/>
                <w:vertAlign w:val="superscript"/>
              </w:rPr>
              <w:t>3</w:t>
            </w:r>
          </w:p>
        </w:tc>
        <w:tc>
          <w:tcPr>
            <w:tcW w:w="1685" w:type="dxa"/>
            <w:tcBorders>
              <w:top w:val="double" w:sz="6" w:space="0" w:color="auto"/>
              <w:left w:val="nil"/>
              <w:bottom w:val="double" w:sz="4" w:space="0" w:color="auto"/>
              <w:right w:val="single" w:sz="4" w:space="0" w:color="auto"/>
            </w:tcBorders>
            <w:noWrap/>
            <w:vAlign w:val="center"/>
          </w:tcPr>
          <w:p w14:paraId="0FD396BB" w14:textId="162A640B" w:rsidR="00F65A4A" w:rsidRPr="00FD516E" w:rsidRDefault="008060F7" w:rsidP="00A80199">
            <w:pPr>
              <w:widowControl/>
              <w:autoSpaceDE/>
              <w:autoSpaceDN/>
              <w:adjustRightInd/>
              <w:ind w:left="0" w:firstLine="0"/>
              <w:jc w:val="center"/>
              <w:rPr>
                <w:rFonts w:cs="Arial"/>
                <w:b/>
                <w:sz w:val="18"/>
                <w:szCs w:val="18"/>
              </w:rPr>
            </w:pPr>
            <w:r>
              <w:rPr>
                <w:rFonts w:cs="Arial"/>
                <w:b/>
                <w:sz w:val="18"/>
                <w:szCs w:val="18"/>
              </w:rPr>
              <w:t>20.5</w:t>
            </w:r>
          </w:p>
        </w:tc>
        <w:tc>
          <w:tcPr>
            <w:tcW w:w="886" w:type="dxa"/>
            <w:tcBorders>
              <w:top w:val="double" w:sz="6" w:space="0" w:color="auto"/>
              <w:left w:val="nil"/>
              <w:bottom w:val="double" w:sz="4" w:space="0" w:color="auto"/>
              <w:right w:val="single" w:sz="4" w:space="0" w:color="auto"/>
            </w:tcBorders>
            <w:noWrap/>
            <w:vAlign w:val="center"/>
          </w:tcPr>
          <w:p w14:paraId="434A4B31" w14:textId="5C45F3AC" w:rsidR="00F65A4A" w:rsidRPr="00FD516E" w:rsidRDefault="00F65A4A" w:rsidP="00A80199">
            <w:pPr>
              <w:widowControl/>
              <w:autoSpaceDE/>
              <w:autoSpaceDN/>
              <w:adjustRightInd/>
              <w:ind w:left="0" w:firstLine="0"/>
              <w:jc w:val="center"/>
              <w:rPr>
                <w:rFonts w:cs="Arial"/>
                <w:b/>
                <w:sz w:val="18"/>
                <w:szCs w:val="18"/>
              </w:rPr>
            </w:pPr>
            <w:r w:rsidRPr="00FD516E">
              <w:rPr>
                <w:rFonts w:cs="Arial"/>
                <w:b/>
                <w:sz w:val="18"/>
                <w:szCs w:val="18"/>
              </w:rPr>
              <w:t>&lt;40</w:t>
            </w:r>
          </w:p>
        </w:tc>
        <w:tc>
          <w:tcPr>
            <w:tcW w:w="914" w:type="dxa"/>
            <w:gridSpan w:val="2"/>
            <w:tcBorders>
              <w:top w:val="double" w:sz="6" w:space="0" w:color="auto"/>
              <w:left w:val="nil"/>
              <w:bottom w:val="double" w:sz="4" w:space="0" w:color="auto"/>
              <w:right w:val="single" w:sz="4" w:space="0" w:color="auto"/>
            </w:tcBorders>
            <w:noWrap/>
            <w:vAlign w:val="center"/>
          </w:tcPr>
          <w:p w14:paraId="143366AD" w14:textId="049E98FE" w:rsidR="00F65A4A" w:rsidRPr="00FD516E" w:rsidRDefault="00CB4D4E" w:rsidP="00A80199">
            <w:pPr>
              <w:widowControl/>
              <w:autoSpaceDE/>
              <w:autoSpaceDN/>
              <w:adjustRightInd/>
              <w:ind w:left="0" w:firstLine="0"/>
              <w:jc w:val="center"/>
              <w:rPr>
                <w:rFonts w:cs="Arial"/>
                <w:b/>
                <w:sz w:val="18"/>
                <w:szCs w:val="18"/>
              </w:rPr>
            </w:pPr>
            <w:r>
              <w:rPr>
                <w:rFonts w:cs="Arial"/>
                <w:b/>
                <w:sz w:val="18"/>
                <w:szCs w:val="18"/>
              </w:rPr>
              <w:t>99</w:t>
            </w:r>
          </w:p>
        </w:tc>
        <w:tc>
          <w:tcPr>
            <w:tcW w:w="864" w:type="dxa"/>
            <w:tcBorders>
              <w:top w:val="double" w:sz="6" w:space="0" w:color="auto"/>
              <w:left w:val="nil"/>
              <w:bottom w:val="double" w:sz="4" w:space="0" w:color="auto"/>
              <w:right w:val="single" w:sz="4" w:space="0" w:color="auto"/>
            </w:tcBorders>
            <w:noWrap/>
            <w:vAlign w:val="center"/>
          </w:tcPr>
          <w:p w14:paraId="12F6C674" w14:textId="5660FA08" w:rsidR="00F65A4A" w:rsidRPr="00FD516E" w:rsidRDefault="00CB4D4E" w:rsidP="00A80199">
            <w:pPr>
              <w:widowControl/>
              <w:autoSpaceDE/>
              <w:autoSpaceDN/>
              <w:adjustRightInd/>
              <w:ind w:left="0" w:firstLine="0"/>
              <w:jc w:val="center"/>
              <w:rPr>
                <w:rFonts w:cs="Arial"/>
                <w:b/>
                <w:sz w:val="18"/>
                <w:szCs w:val="18"/>
              </w:rPr>
            </w:pPr>
            <w:r>
              <w:rPr>
                <w:rFonts w:cs="Arial"/>
                <w:b/>
                <w:sz w:val="18"/>
                <w:szCs w:val="18"/>
              </w:rPr>
              <w:t>507</w:t>
            </w:r>
          </w:p>
        </w:tc>
        <w:tc>
          <w:tcPr>
            <w:tcW w:w="851" w:type="dxa"/>
            <w:tcBorders>
              <w:top w:val="double" w:sz="6" w:space="0" w:color="auto"/>
              <w:left w:val="nil"/>
              <w:bottom w:val="double" w:sz="4" w:space="0" w:color="auto"/>
              <w:right w:val="single" w:sz="4" w:space="0" w:color="auto"/>
            </w:tcBorders>
            <w:noWrap/>
            <w:vAlign w:val="center"/>
          </w:tcPr>
          <w:p w14:paraId="20280E2F" w14:textId="4CFCB891" w:rsidR="00F65A4A" w:rsidRPr="00FD516E" w:rsidRDefault="00F65A4A" w:rsidP="00A80199">
            <w:pPr>
              <w:widowControl/>
              <w:autoSpaceDE/>
              <w:autoSpaceDN/>
              <w:adjustRightInd/>
              <w:ind w:left="0" w:firstLine="0"/>
              <w:jc w:val="center"/>
              <w:rPr>
                <w:rFonts w:cs="Arial"/>
                <w:b/>
                <w:sz w:val="18"/>
                <w:szCs w:val="18"/>
              </w:rPr>
            </w:pPr>
            <w:r w:rsidRPr="00FD516E">
              <w:rPr>
                <w:rFonts w:cs="Arial"/>
                <w:b/>
                <w:sz w:val="18"/>
                <w:szCs w:val="18"/>
              </w:rPr>
              <w:t>&lt;50</w:t>
            </w:r>
          </w:p>
        </w:tc>
        <w:tc>
          <w:tcPr>
            <w:tcW w:w="928" w:type="dxa"/>
            <w:tcBorders>
              <w:top w:val="double" w:sz="6" w:space="0" w:color="auto"/>
              <w:left w:val="nil"/>
              <w:bottom w:val="double" w:sz="4" w:space="0" w:color="auto"/>
              <w:right w:val="double" w:sz="6" w:space="0" w:color="auto"/>
            </w:tcBorders>
            <w:noWrap/>
            <w:vAlign w:val="center"/>
          </w:tcPr>
          <w:p w14:paraId="25955C84" w14:textId="46F60C67" w:rsidR="00F65A4A" w:rsidRPr="00FD516E" w:rsidRDefault="003108AC" w:rsidP="00A80199">
            <w:pPr>
              <w:widowControl/>
              <w:autoSpaceDE/>
              <w:autoSpaceDN/>
              <w:adjustRightInd/>
              <w:ind w:left="0" w:firstLine="0"/>
              <w:jc w:val="center"/>
              <w:rPr>
                <w:rFonts w:cs="Arial"/>
                <w:b/>
                <w:sz w:val="18"/>
                <w:szCs w:val="18"/>
              </w:rPr>
            </w:pPr>
            <w:r w:rsidRPr="003108AC">
              <w:rPr>
                <w:rFonts w:cs="Arial"/>
                <w:b/>
                <w:sz w:val="18"/>
                <w:szCs w:val="18"/>
              </w:rPr>
              <w:t>&gt;10/25</w:t>
            </w:r>
          </w:p>
        </w:tc>
      </w:tr>
    </w:tbl>
    <w:p w14:paraId="33CA73B8" w14:textId="77777777" w:rsidR="005E20C5" w:rsidRPr="00FD516E" w:rsidRDefault="005E20C5" w:rsidP="00777B9B">
      <w:pPr>
        <w:ind w:left="0" w:firstLine="0"/>
        <w:rPr>
          <w:rFonts w:cs="Arial"/>
          <w:sz w:val="16"/>
          <w:szCs w:val="16"/>
        </w:rPr>
      </w:pPr>
    </w:p>
    <w:p w14:paraId="55BA2790" w14:textId="2D119268" w:rsidR="005538BC" w:rsidRPr="00FD516E" w:rsidRDefault="00EB080C" w:rsidP="00C57A97">
      <w:pPr>
        <w:ind w:left="864" w:hanging="144"/>
        <w:rPr>
          <w:rFonts w:cs="Arial"/>
          <w:sz w:val="16"/>
          <w:szCs w:val="16"/>
        </w:rPr>
      </w:pPr>
      <w:r w:rsidRPr="00FD516E">
        <w:rPr>
          <w:rFonts w:cs="Arial"/>
          <w:sz w:val="20"/>
          <w:vertAlign w:val="superscript"/>
        </w:rPr>
        <w:t>1</w:t>
      </w:r>
      <w:r w:rsidRPr="00FD516E">
        <w:rPr>
          <w:rFonts w:cs="Arial"/>
          <w:sz w:val="20"/>
        </w:rPr>
        <w:t xml:space="preserve"> </w:t>
      </w:r>
      <w:r w:rsidR="005538BC" w:rsidRPr="00FD516E">
        <w:rPr>
          <w:rFonts w:cs="Arial"/>
          <w:sz w:val="16"/>
          <w:szCs w:val="16"/>
        </w:rPr>
        <w:t xml:space="preserve">The Agency and Permittee have proposed to limit allowable PM emissions to less than </w:t>
      </w:r>
      <w:r w:rsidR="008060F7">
        <w:rPr>
          <w:rFonts w:cs="Arial"/>
          <w:sz w:val="16"/>
          <w:szCs w:val="16"/>
        </w:rPr>
        <w:t>20.5</w:t>
      </w:r>
      <w:r w:rsidR="008060F7" w:rsidRPr="00FD516E">
        <w:rPr>
          <w:rFonts w:cs="Arial"/>
          <w:sz w:val="16"/>
          <w:szCs w:val="16"/>
        </w:rPr>
        <w:t xml:space="preserve"> </w:t>
      </w:r>
      <w:r w:rsidR="005538BC" w:rsidRPr="00FD516E">
        <w:rPr>
          <w:rFonts w:cs="Arial"/>
          <w:sz w:val="16"/>
          <w:szCs w:val="16"/>
        </w:rPr>
        <w:t xml:space="preserve">tpy.  </w:t>
      </w:r>
    </w:p>
    <w:p w14:paraId="69251FFF" w14:textId="05D52C02" w:rsidR="00D42A8D" w:rsidRPr="00FD516E" w:rsidRDefault="005538BC" w:rsidP="00C57A97">
      <w:pPr>
        <w:ind w:left="864" w:hanging="144"/>
        <w:rPr>
          <w:rFonts w:cs="Arial"/>
          <w:sz w:val="16"/>
          <w:szCs w:val="16"/>
        </w:rPr>
      </w:pPr>
      <w:r w:rsidRPr="00FD516E">
        <w:rPr>
          <w:rFonts w:cs="Arial"/>
          <w:sz w:val="20"/>
          <w:vertAlign w:val="superscript"/>
        </w:rPr>
        <w:t>2</w:t>
      </w:r>
      <w:r w:rsidR="00006B97" w:rsidRPr="00006B97">
        <w:rPr>
          <w:rFonts w:cs="Arial"/>
          <w:sz w:val="20"/>
        </w:rPr>
        <w:t xml:space="preserve"> </w:t>
      </w:r>
      <w:r w:rsidR="00C57A97" w:rsidRPr="00FD516E">
        <w:rPr>
          <w:rFonts w:cs="Arial"/>
          <w:sz w:val="16"/>
          <w:szCs w:val="16"/>
        </w:rPr>
        <w:t xml:space="preserve">Values for </w:t>
      </w:r>
      <w:r w:rsidR="00EB080C" w:rsidRPr="00FD516E">
        <w:rPr>
          <w:rFonts w:cs="Arial"/>
          <w:sz w:val="16"/>
          <w:szCs w:val="16"/>
        </w:rPr>
        <w:t>SO</w:t>
      </w:r>
      <w:r w:rsidR="00EB080C" w:rsidRPr="00FD516E">
        <w:rPr>
          <w:rFonts w:cs="Arial"/>
          <w:sz w:val="16"/>
          <w:szCs w:val="16"/>
          <w:vertAlign w:val="subscript"/>
        </w:rPr>
        <w:t>2</w:t>
      </w:r>
      <w:r w:rsidR="00EB080C" w:rsidRPr="00FD516E">
        <w:rPr>
          <w:rFonts w:cs="Arial"/>
          <w:sz w:val="16"/>
          <w:szCs w:val="16"/>
        </w:rPr>
        <w:t xml:space="preserve"> emission between Scenario A and Scenario B are not equal because of rounding errors</w:t>
      </w:r>
      <w:r w:rsidR="003D7B67" w:rsidRPr="00FD516E">
        <w:rPr>
          <w:rFonts w:cs="Arial"/>
          <w:sz w:val="16"/>
          <w:szCs w:val="16"/>
        </w:rPr>
        <w:t xml:space="preserve"> related to emission factors</w:t>
      </w:r>
      <w:r w:rsidR="00EB080C" w:rsidRPr="00FD516E">
        <w:rPr>
          <w:rFonts w:cs="Arial"/>
          <w:sz w:val="16"/>
          <w:szCs w:val="16"/>
        </w:rPr>
        <w:t xml:space="preserve">.  </w:t>
      </w:r>
      <w:r w:rsidR="00C57A97" w:rsidRPr="00FD516E">
        <w:rPr>
          <w:rFonts w:cs="Arial"/>
          <w:sz w:val="16"/>
          <w:szCs w:val="16"/>
        </w:rPr>
        <w:t>The Permittee has proposed to limit a</w:t>
      </w:r>
      <w:r w:rsidR="00EB080C" w:rsidRPr="00FD516E">
        <w:rPr>
          <w:rFonts w:cs="Arial"/>
          <w:sz w:val="16"/>
          <w:szCs w:val="16"/>
        </w:rPr>
        <w:t>llowable SO</w:t>
      </w:r>
      <w:r w:rsidR="00EB080C" w:rsidRPr="00FD516E">
        <w:rPr>
          <w:rFonts w:cs="Arial"/>
          <w:sz w:val="18"/>
          <w:szCs w:val="18"/>
          <w:vertAlign w:val="subscript"/>
        </w:rPr>
        <w:t>2</w:t>
      </w:r>
      <w:r w:rsidR="00EB080C" w:rsidRPr="00FD516E">
        <w:rPr>
          <w:rFonts w:cs="Arial"/>
          <w:sz w:val="16"/>
          <w:szCs w:val="16"/>
        </w:rPr>
        <w:t xml:space="preserve"> emissions </w:t>
      </w:r>
      <w:r w:rsidR="00C57A97" w:rsidRPr="00FD516E">
        <w:rPr>
          <w:rFonts w:cs="Arial"/>
          <w:sz w:val="16"/>
          <w:szCs w:val="16"/>
        </w:rPr>
        <w:t xml:space="preserve">&lt;40 tons per year.  </w:t>
      </w:r>
    </w:p>
    <w:p w14:paraId="613DB56D" w14:textId="71FBEC41" w:rsidR="00A12601" w:rsidRPr="00FD516E" w:rsidRDefault="005538BC" w:rsidP="00A12601">
      <w:pPr>
        <w:ind w:left="864" w:hanging="144"/>
        <w:rPr>
          <w:rFonts w:cs="Arial"/>
          <w:sz w:val="16"/>
          <w:szCs w:val="16"/>
        </w:rPr>
      </w:pPr>
      <w:bookmarkStart w:id="7" w:name="_Hlk493860130"/>
      <w:r w:rsidRPr="00FD516E">
        <w:rPr>
          <w:rFonts w:cs="Arial"/>
          <w:sz w:val="20"/>
          <w:vertAlign w:val="superscript"/>
        </w:rPr>
        <w:t>3</w:t>
      </w:r>
      <w:r w:rsidRPr="00FD516E">
        <w:rPr>
          <w:rFonts w:cs="Arial"/>
          <w:sz w:val="20"/>
        </w:rPr>
        <w:t xml:space="preserve"> </w:t>
      </w:r>
      <w:bookmarkStart w:id="8" w:name="_Hlk493860188"/>
      <w:r w:rsidR="00A12601" w:rsidRPr="00FD516E">
        <w:rPr>
          <w:rFonts w:cs="Arial"/>
          <w:sz w:val="16"/>
          <w:szCs w:val="16"/>
        </w:rPr>
        <w:t xml:space="preserve">The </w:t>
      </w:r>
      <w:r w:rsidR="00E25BA5" w:rsidRPr="00FD516E">
        <w:rPr>
          <w:rFonts w:cs="Arial"/>
          <w:sz w:val="16"/>
          <w:szCs w:val="16"/>
        </w:rPr>
        <w:t xml:space="preserve">Agency and </w:t>
      </w:r>
      <w:r w:rsidR="00A12601" w:rsidRPr="00FD516E">
        <w:rPr>
          <w:rFonts w:cs="Arial"/>
          <w:sz w:val="16"/>
          <w:szCs w:val="16"/>
        </w:rPr>
        <w:t>Permittee ha</w:t>
      </w:r>
      <w:r w:rsidR="00E25BA5" w:rsidRPr="00FD516E">
        <w:rPr>
          <w:rFonts w:cs="Arial"/>
          <w:sz w:val="16"/>
          <w:szCs w:val="16"/>
        </w:rPr>
        <w:t>ve</w:t>
      </w:r>
      <w:r w:rsidR="00A12601" w:rsidRPr="00FD516E">
        <w:rPr>
          <w:rFonts w:cs="Arial"/>
          <w:sz w:val="16"/>
          <w:szCs w:val="16"/>
        </w:rPr>
        <w:t xml:space="preserve"> proposed to limit </w:t>
      </w:r>
      <w:bookmarkEnd w:id="7"/>
      <w:bookmarkEnd w:id="8"/>
      <w:r w:rsidR="00E25BA5" w:rsidRPr="00FD516E">
        <w:rPr>
          <w:rFonts w:cs="Arial"/>
          <w:sz w:val="16"/>
          <w:szCs w:val="16"/>
        </w:rPr>
        <w:t xml:space="preserve">allowable </w:t>
      </w:r>
      <w:r w:rsidR="00A12601" w:rsidRPr="00FD516E">
        <w:rPr>
          <w:rFonts w:cs="Arial"/>
          <w:sz w:val="16"/>
          <w:szCs w:val="16"/>
        </w:rPr>
        <w:t xml:space="preserve">VOC emissions &lt;50 tons per year.  </w:t>
      </w:r>
    </w:p>
    <w:p w14:paraId="62ED616A" w14:textId="77777777" w:rsidR="00EB080C" w:rsidRPr="00FD516E" w:rsidRDefault="00EB080C" w:rsidP="00C57A97">
      <w:pPr>
        <w:ind w:left="144" w:hanging="144"/>
        <w:rPr>
          <w:rFonts w:cs="Arial"/>
          <w:sz w:val="20"/>
        </w:rPr>
      </w:pPr>
    </w:p>
    <w:p w14:paraId="78C63015" w14:textId="77777777" w:rsidR="005E20C5" w:rsidRPr="00FD516E" w:rsidRDefault="005E20C5" w:rsidP="0095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outlineLvl w:val="0"/>
        <w:rPr>
          <w:rFonts w:cs="Arial"/>
          <w:b/>
          <w:bCs/>
          <w:szCs w:val="16"/>
        </w:rPr>
      </w:pPr>
      <w:r w:rsidRPr="00FD516E">
        <w:rPr>
          <w:rFonts w:cs="Arial"/>
          <w:b/>
          <w:bCs/>
          <w:szCs w:val="16"/>
        </w:rPr>
        <w:t>4.0.</w:t>
      </w:r>
      <w:r w:rsidRPr="00FD516E">
        <w:rPr>
          <w:rFonts w:cs="Arial"/>
          <w:b/>
          <w:bCs/>
          <w:szCs w:val="16"/>
        </w:rPr>
        <w:tab/>
        <w:t>APPLICABLE REQUIREMENTS</w:t>
      </w:r>
    </w:p>
    <w:p w14:paraId="662F9874" w14:textId="77777777" w:rsidR="005E20C5" w:rsidRPr="00FD516E" w:rsidRDefault="005E20C5" w:rsidP="007F5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AF879AD" w14:textId="690B00B2" w:rsidR="005E20C5" w:rsidRPr="00FD516E" w:rsidRDefault="005E20C5" w:rsidP="007F5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Pursuant to §5-1006(e)(4) of the </w:t>
      </w:r>
      <w:r w:rsidRPr="00FD516E">
        <w:rPr>
          <w:rFonts w:cs="Arial"/>
          <w:i/>
          <w:szCs w:val="22"/>
        </w:rPr>
        <w:t>Regulations,</w:t>
      </w:r>
      <w:r w:rsidRPr="00FD516E">
        <w:rPr>
          <w:rFonts w:cs="Arial"/>
          <w:szCs w:val="22"/>
        </w:rPr>
        <w:t xml:space="preserve"> the Owner</w:t>
      </w:r>
      <w:r w:rsidR="00143EE3" w:rsidRPr="00FD516E">
        <w:rPr>
          <w:rFonts w:cs="Arial"/>
          <w:szCs w:val="22"/>
        </w:rPr>
        <w:t xml:space="preserve"> and</w:t>
      </w:r>
      <w:r w:rsidRPr="00FD516E">
        <w:rPr>
          <w:rFonts w:cs="Arial"/>
          <w:szCs w:val="22"/>
        </w:rPr>
        <w:t>/</w:t>
      </w:r>
      <w:r w:rsidR="00143EE3" w:rsidRPr="00FD516E">
        <w:rPr>
          <w:rFonts w:cs="Arial"/>
          <w:szCs w:val="22"/>
        </w:rPr>
        <w:t xml:space="preserve">or </w:t>
      </w:r>
      <w:r w:rsidRPr="00FD516E">
        <w:rPr>
          <w:rFonts w:cs="Arial"/>
          <w:szCs w:val="22"/>
        </w:rPr>
        <w:t xml:space="preserve">Operator of a stationary air contaminant source applying for a Permit to Operate is required to identify and certify compliance with all applicable state and federal air pollution control requirements before a permit may be issued.  These requirements include state and federal regulations, state statutes, the federal Clean Air Act, and the requirements of any construction permit issued under 10 </w:t>
      </w:r>
      <w:r w:rsidRPr="00FD516E">
        <w:rPr>
          <w:rFonts w:cs="Arial"/>
          <w:i/>
          <w:szCs w:val="22"/>
        </w:rPr>
        <w:t>V.S.A</w:t>
      </w:r>
      <w:r w:rsidRPr="00FD516E">
        <w:rPr>
          <w:rFonts w:cs="Arial"/>
          <w:szCs w:val="22"/>
        </w:rPr>
        <w:t xml:space="preserve">. §556 and §5-501 of the </w:t>
      </w:r>
      <w:r w:rsidRPr="00FD516E">
        <w:rPr>
          <w:rFonts w:cs="Arial"/>
          <w:i/>
          <w:szCs w:val="22"/>
        </w:rPr>
        <w:t>Regulations.</w:t>
      </w:r>
      <w:r w:rsidRPr="00FD516E">
        <w:rPr>
          <w:rFonts w:cs="Arial"/>
          <w:szCs w:val="22"/>
        </w:rPr>
        <w:t xml:space="preserve">  Applicable federal regulations may include Federal New Source Performance Standards (NSPS) or National Emission Standards for Hazardous Air Pollutants (NESHAP) found in 40 CFR, Parts 60, 61, and 63.  The applicable requirements and the Agency's findings are presented below.  Applicability of §5-261 (Control of Hazardous Air Contaminants) is discussed separately under Section 8 below.</w:t>
      </w:r>
    </w:p>
    <w:p w14:paraId="3960AC07" w14:textId="77777777" w:rsidR="005E20C5" w:rsidRPr="00FD516E" w:rsidRDefault="005E20C5" w:rsidP="009D1B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4CB45BA3" w14:textId="77777777" w:rsidR="005E20C5" w:rsidRPr="00FD516E" w:rsidRDefault="005E20C5" w:rsidP="007F5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The Agency will assess compliance with these regulations during any inspections of the Facility.  The inspections will include confirmation of the proper operation and maintenance of equipment and air pollution control devices, visual observations of emission points, and review of any records required by the Permit</w:t>
      </w:r>
    </w:p>
    <w:p w14:paraId="3E2C66EA" w14:textId="77777777" w:rsidR="005E20C5" w:rsidRPr="00FD516E" w:rsidRDefault="005E20C5" w:rsidP="007F5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8B5F5E0" w14:textId="77777777" w:rsidR="00ED2E88" w:rsidRPr="00FD516E" w:rsidRDefault="00ED2E88">
      <w:pPr>
        <w:widowControl/>
        <w:autoSpaceDE/>
        <w:autoSpaceDN/>
        <w:adjustRightInd/>
        <w:ind w:left="0" w:firstLine="0"/>
        <w:jc w:val="left"/>
        <w:rPr>
          <w:rFonts w:cs="Arial"/>
          <w:b/>
          <w:bCs/>
          <w:szCs w:val="22"/>
        </w:rPr>
      </w:pPr>
      <w:r w:rsidRPr="00FD516E">
        <w:rPr>
          <w:rFonts w:cs="Arial"/>
          <w:b/>
          <w:bCs/>
          <w:szCs w:val="22"/>
        </w:rPr>
        <w:br w:type="page"/>
      </w:r>
    </w:p>
    <w:p w14:paraId="4874EBA9" w14:textId="511FB6D5" w:rsidR="005E20C5" w:rsidRPr="00FD516E" w:rsidRDefault="005E20C5" w:rsidP="0095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outlineLvl w:val="0"/>
        <w:rPr>
          <w:rFonts w:cs="Arial"/>
          <w:szCs w:val="22"/>
        </w:rPr>
      </w:pPr>
      <w:r w:rsidRPr="00FD516E">
        <w:rPr>
          <w:rFonts w:cs="Arial"/>
          <w:b/>
          <w:bCs/>
          <w:szCs w:val="22"/>
        </w:rPr>
        <w:lastRenderedPageBreak/>
        <w:t>4.1</w:t>
      </w:r>
      <w:r w:rsidRPr="00FD516E">
        <w:rPr>
          <w:rFonts w:cs="Arial"/>
          <w:b/>
          <w:bCs/>
          <w:szCs w:val="22"/>
        </w:rPr>
        <w:tab/>
      </w:r>
      <w:r w:rsidRPr="00FD516E">
        <w:rPr>
          <w:rFonts w:cs="Arial"/>
          <w:b/>
          <w:bCs/>
          <w:szCs w:val="22"/>
          <w:u w:val="single"/>
        </w:rPr>
        <w:t>Vermont Air Pollution Control Regulations and Statutes</w:t>
      </w:r>
    </w:p>
    <w:p w14:paraId="48818544"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BE2577F"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§§5-201, 5-202, and 5-203 - Open Burning Prohibited.</w:t>
      </w:r>
      <w:r w:rsidRPr="00FD516E">
        <w:rPr>
          <w:rFonts w:cs="Arial"/>
          <w:szCs w:val="22"/>
        </w:rPr>
        <w:t xml:space="preserve">  "No person shall engage in any open burning except in conformity with the provisions of Section 5-201, 5-202, and 5-203".</w:t>
      </w:r>
    </w:p>
    <w:p w14:paraId="25437C27"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28FEB5EB" w14:textId="0C4C79BB"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Based on the application submittal</w:t>
      </w:r>
      <w:r w:rsidR="003417E0" w:rsidRPr="00FD516E">
        <w:rPr>
          <w:rFonts w:cs="Arial"/>
          <w:szCs w:val="22"/>
        </w:rPr>
        <w:t xml:space="preserve">, </w:t>
      </w:r>
      <w:r w:rsidRPr="00FD516E">
        <w:rPr>
          <w:rFonts w:cs="Arial"/>
          <w:szCs w:val="22"/>
        </w:rPr>
        <w:t>and information available to the Agency, no open burning is conducted at the Facility.</w:t>
      </w:r>
    </w:p>
    <w:p w14:paraId="4E95B25D"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5FE88A40"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§5-211(1) - Prohibition of Visible Air Contaminants - Installations constructed prior to April 30, 1970.</w:t>
      </w:r>
      <w:r w:rsidRPr="00FD516E">
        <w:rPr>
          <w:rFonts w:cs="Arial"/>
          <w:szCs w:val="22"/>
        </w:rPr>
        <w:t xml:space="preserve">  "No </w:t>
      </w:r>
      <w:r w:rsidRPr="00FD516E">
        <w:rPr>
          <w:rFonts w:cs="Arial"/>
          <w:i/>
          <w:iCs/>
          <w:szCs w:val="22"/>
        </w:rPr>
        <w:t>person</w:t>
      </w:r>
      <w:r w:rsidRPr="00FD516E">
        <w:rPr>
          <w:rFonts w:cs="Arial"/>
          <w:szCs w:val="22"/>
        </w:rPr>
        <w:t xml:space="preserve"> shall cause, suffer, allow or permit the </w:t>
      </w:r>
      <w:r w:rsidRPr="00FD516E">
        <w:rPr>
          <w:rFonts w:cs="Arial"/>
          <w:i/>
          <w:iCs/>
          <w:szCs w:val="22"/>
        </w:rPr>
        <w:t>emission</w:t>
      </w:r>
      <w:r w:rsidRPr="00FD516E">
        <w:rPr>
          <w:rFonts w:cs="Arial"/>
          <w:szCs w:val="22"/>
        </w:rPr>
        <w:t xml:space="preserve"> of any visible </w:t>
      </w:r>
      <w:r w:rsidRPr="00FD516E">
        <w:rPr>
          <w:rFonts w:cs="Arial"/>
          <w:i/>
          <w:iCs/>
          <w:szCs w:val="22"/>
        </w:rPr>
        <w:t>air contaminant</w:t>
      </w:r>
      <w:r w:rsidRPr="00FD516E">
        <w:rPr>
          <w:rFonts w:cs="Arial"/>
          <w:szCs w:val="22"/>
        </w:rPr>
        <w:t xml:space="preserve"> from installations constructed prior to April 30, 1970, for more than a period or periods aggregating six (6) minutes in any hour, which has a shade, or density, greater than 40% </w:t>
      </w:r>
      <w:r w:rsidRPr="00FD516E">
        <w:rPr>
          <w:rFonts w:cs="Arial"/>
          <w:i/>
          <w:iCs/>
          <w:szCs w:val="22"/>
        </w:rPr>
        <w:t>opacity</w:t>
      </w:r>
      <w:r w:rsidRPr="00FD516E">
        <w:rPr>
          <w:rFonts w:cs="Arial"/>
          <w:szCs w:val="22"/>
        </w:rPr>
        <w:t xml:space="preserve"> (No. 2 on the </w:t>
      </w:r>
      <w:r w:rsidRPr="00FD516E">
        <w:rPr>
          <w:rFonts w:cs="Arial"/>
          <w:i/>
          <w:iCs/>
          <w:szCs w:val="22"/>
        </w:rPr>
        <w:t>Ringelmann Chart</w:t>
      </w:r>
      <w:r w:rsidRPr="00FD516E">
        <w:rPr>
          <w:rFonts w:cs="Arial"/>
          <w:szCs w:val="22"/>
        </w:rPr>
        <w:t xml:space="preserve">).  At no time shall the visible </w:t>
      </w:r>
      <w:r w:rsidRPr="00FD516E">
        <w:rPr>
          <w:rFonts w:cs="Arial"/>
          <w:i/>
          <w:iCs/>
          <w:szCs w:val="22"/>
        </w:rPr>
        <w:t>air contaminants</w:t>
      </w:r>
      <w:r w:rsidRPr="00FD516E">
        <w:rPr>
          <w:rFonts w:cs="Arial"/>
          <w:szCs w:val="22"/>
        </w:rPr>
        <w:t xml:space="preserve"> have a shade, density, or appearance greater than 60% </w:t>
      </w:r>
      <w:r w:rsidRPr="00FD516E">
        <w:rPr>
          <w:rFonts w:cs="Arial"/>
          <w:i/>
          <w:iCs/>
          <w:szCs w:val="22"/>
        </w:rPr>
        <w:t>opacity</w:t>
      </w:r>
      <w:r w:rsidRPr="00FD516E">
        <w:rPr>
          <w:rFonts w:cs="Arial"/>
          <w:szCs w:val="22"/>
        </w:rPr>
        <w:t xml:space="preserve"> (No. 3 of the </w:t>
      </w:r>
      <w:r w:rsidRPr="00FD516E">
        <w:rPr>
          <w:rFonts w:cs="Arial"/>
          <w:i/>
          <w:iCs/>
          <w:szCs w:val="22"/>
        </w:rPr>
        <w:t>Ringelmann Chart</w:t>
      </w:r>
      <w:r w:rsidRPr="00FD516E">
        <w:rPr>
          <w:rFonts w:cs="Arial"/>
          <w:szCs w:val="22"/>
        </w:rPr>
        <w:t>).”</w:t>
      </w:r>
    </w:p>
    <w:p w14:paraId="770CABBD"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3C25607B" w14:textId="4F2BEC71"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These emission standards do not apply to the Facility</w:t>
      </w:r>
      <w:r w:rsidR="00E00696" w:rsidRPr="00FD516E">
        <w:rPr>
          <w:rFonts w:cs="Arial"/>
          <w:szCs w:val="22"/>
        </w:rPr>
        <w:t>, as</w:t>
      </w:r>
      <w:r w:rsidRPr="00FD516E">
        <w:rPr>
          <w:rFonts w:cs="Arial"/>
          <w:szCs w:val="22"/>
        </w:rPr>
        <w:t xml:space="preserve"> the entire Facility was </w:t>
      </w:r>
      <w:r w:rsidR="003417E0" w:rsidRPr="00FD516E">
        <w:rPr>
          <w:rFonts w:cs="Arial"/>
          <w:szCs w:val="22"/>
        </w:rPr>
        <w:t>constructed</w:t>
      </w:r>
      <w:r w:rsidRPr="00FD516E">
        <w:rPr>
          <w:rFonts w:cs="Arial"/>
          <w:szCs w:val="22"/>
        </w:rPr>
        <w:t xml:space="preserve"> </w:t>
      </w:r>
      <w:proofErr w:type="gramStart"/>
      <w:r w:rsidRPr="00FD516E">
        <w:rPr>
          <w:rFonts w:cs="Arial"/>
          <w:szCs w:val="22"/>
        </w:rPr>
        <w:t>subsequent to</w:t>
      </w:r>
      <w:proofErr w:type="gramEnd"/>
      <w:r w:rsidRPr="00FD516E">
        <w:rPr>
          <w:rFonts w:cs="Arial"/>
          <w:szCs w:val="22"/>
        </w:rPr>
        <w:t xml:space="preserve"> 1970.</w:t>
      </w:r>
      <w:r w:rsidR="001325AC" w:rsidRPr="00FD516E">
        <w:rPr>
          <w:rFonts w:cs="Arial"/>
          <w:szCs w:val="22"/>
        </w:rPr>
        <w:t xml:space="preserve">  </w:t>
      </w:r>
    </w:p>
    <w:p w14:paraId="00F31B0A"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096105A2"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 xml:space="preserve">§5-211(2) - Prohibition of Visible Air Contaminants - Installations constructed </w:t>
      </w:r>
      <w:proofErr w:type="gramStart"/>
      <w:r w:rsidRPr="00FD516E">
        <w:rPr>
          <w:rFonts w:cs="Arial"/>
          <w:b/>
          <w:bCs/>
          <w:szCs w:val="22"/>
        </w:rPr>
        <w:t>subsequent to</w:t>
      </w:r>
      <w:proofErr w:type="gramEnd"/>
      <w:r w:rsidRPr="00FD516E">
        <w:rPr>
          <w:rFonts w:cs="Arial"/>
          <w:b/>
          <w:bCs/>
          <w:szCs w:val="22"/>
        </w:rPr>
        <w:t xml:space="preserve"> April 30, 1970.</w:t>
      </w:r>
      <w:r w:rsidRPr="00FD516E">
        <w:rPr>
          <w:rFonts w:cs="Arial"/>
          <w:szCs w:val="22"/>
        </w:rPr>
        <w:t xml:space="preserve">  "No </w:t>
      </w:r>
      <w:r w:rsidRPr="00FD516E">
        <w:rPr>
          <w:rFonts w:cs="Arial"/>
          <w:i/>
          <w:iCs/>
          <w:szCs w:val="22"/>
        </w:rPr>
        <w:t>person</w:t>
      </w:r>
      <w:r w:rsidRPr="00FD516E">
        <w:rPr>
          <w:rFonts w:cs="Arial"/>
          <w:szCs w:val="22"/>
        </w:rPr>
        <w:t xml:space="preserve"> shall cause, suffer, allow or permit the </w:t>
      </w:r>
      <w:r w:rsidRPr="00FD516E">
        <w:rPr>
          <w:rFonts w:cs="Arial"/>
          <w:i/>
          <w:iCs/>
          <w:szCs w:val="22"/>
        </w:rPr>
        <w:t>emission</w:t>
      </w:r>
      <w:r w:rsidRPr="00FD516E">
        <w:rPr>
          <w:rFonts w:cs="Arial"/>
          <w:szCs w:val="22"/>
        </w:rPr>
        <w:t xml:space="preserve"> of any visible </w:t>
      </w:r>
      <w:r w:rsidRPr="00FD516E">
        <w:rPr>
          <w:rFonts w:cs="Arial"/>
          <w:i/>
          <w:iCs/>
          <w:szCs w:val="22"/>
        </w:rPr>
        <w:t>air contaminant</w:t>
      </w:r>
      <w:r w:rsidRPr="00FD516E">
        <w:rPr>
          <w:rFonts w:cs="Arial"/>
          <w:szCs w:val="22"/>
        </w:rPr>
        <w:t xml:space="preserve"> from installations constructed </w:t>
      </w:r>
      <w:proofErr w:type="gramStart"/>
      <w:r w:rsidRPr="00FD516E">
        <w:rPr>
          <w:rFonts w:cs="Arial"/>
          <w:szCs w:val="22"/>
        </w:rPr>
        <w:t>subsequent to</w:t>
      </w:r>
      <w:proofErr w:type="gramEnd"/>
      <w:r w:rsidRPr="00FD516E">
        <w:rPr>
          <w:rFonts w:cs="Arial"/>
          <w:szCs w:val="22"/>
        </w:rPr>
        <w:t xml:space="preserve"> April 30, 1970, for more than a period or periods aggregating six (6) minutes in any hour, which has a shade, or density, greater than 20% </w:t>
      </w:r>
      <w:r w:rsidRPr="00FD516E">
        <w:rPr>
          <w:rFonts w:cs="Arial"/>
          <w:i/>
          <w:iCs/>
          <w:szCs w:val="22"/>
        </w:rPr>
        <w:t>opacity</w:t>
      </w:r>
      <w:r w:rsidRPr="00FD516E">
        <w:rPr>
          <w:rFonts w:cs="Arial"/>
          <w:szCs w:val="22"/>
        </w:rPr>
        <w:t xml:space="preserve"> (No. 1 of the </w:t>
      </w:r>
      <w:r w:rsidRPr="00FD516E">
        <w:rPr>
          <w:rFonts w:cs="Arial"/>
          <w:i/>
          <w:iCs/>
          <w:szCs w:val="22"/>
        </w:rPr>
        <w:t>Ringelmann Chart</w:t>
      </w:r>
      <w:r w:rsidRPr="00FD516E">
        <w:rPr>
          <w:rFonts w:cs="Arial"/>
          <w:szCs w:val="22"/>
        </w:rPr>
        <w:t xml:space="preserve">).  At no time shall the visible </w:t>
      </w:r>
      <w:r w:rsidRPr="00FD516E">
        <w:rPr>
          <w:rFonts w:cs="Arial"/>
          <w:i/>
          <w:iCs/>
          <w:szCs w:val="22"/>
        </w:rPr>
        <w:t>air contaminants</w:t>
      </w:r>
      <w:r w:rsidRPr="00FD516E">
        <w:rPr>
          <w:rFonts w:cs="Arial"/>
          <w:szCs w:val="22"/>
        </w:rPr>
        <w:t xml:space="preserve"> have a shade, density, or appearance greater than 60% </w:t>
      </w:r>
      <w:r w:rsidRPr="00FD516E">
        <w:rPr>
          <w:rFonts w:cs="Arial"/>
          <w:i/>
          <w:iCs/>
          <w:szCs w:val="22"/>
        </w:rPr>
        <w:t>opacity</w:t>
      </w:r>
      <w:r w:rsidRPr="00FD516E">
        <w:rPr>
          <w:rFonts w:cs="Arial"/>
          <w:szCs w:val="22"/>
        </w:rPr>
        <w:t xml:space="preserve"> (No. 3 of the </w:t>
      </w:r>
      <w:r w:rsidRPr="00FD516E">
        <w:rPr>
          <w:rFonts w:cs="Arial"/>
          <w:i/>
          <w:iCs/>
          <w:szCs w:val="22"/>
        </w:rPr>
        <w:t>Ringelmann Chart</w:t>
      </w:r>
      <w:r w:rsidRPr="00FD516E">
        <w:rPr>
          <w:rFonts w:cs="Arial"/>
          <w:szCs w:val="22"/>
        </w:rPr>
        <w:t xml:space="preserve">)."  </w:t>
      </w:r>
    </w:p>
    <w:p w14:paraId="6A21D7C4"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2F5F5D39" w14:textId="06FAE8C6"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These emission standards apply to all installations at the Facility as the entire Facility was </w:t>
      </w:r>
      <w:r w:rsidR="003417E0" w:rsidRPr="00FD516E">
        <w:rPr>
          <w:rFonts w:cs="Arial"/>
          <w:szCs w:val="22"/>
        </w:rPr>
        <w:t>constructed</w:t>
      </w:r>
      <w:r w:rsidRPr="00FD516E">
        <w:rPr>
          <w:rFonts w:cs="Arial"/>
          <w:szCs w:val="22"/>
        </w:rPr>
        <w:t xml:space="preserve"> </w:t>
      </w:r>
      <w:proofErr w:type="gramStart"/>
      <w:r w:rsidRPr="00FD516E">
        <w:rPr>
          <w:rFonts w:cs="Arial"/>
          <w:szCs w:val="22"/>
        </w:rPr>
        <w:t>subsequent to</w:t>
      </w:r>
      <w:proofErr w:type="gramEnd"/>
      <w:r w:rsidRPr="00FD516E">
        <w:rPr>
          <w:rFonts w:cs="Arial"/>
          <w:szCs w:val="22"/>
        </w:rPr>
        <w:t xml:space="preserve"> 1970.  The applicant is </w:t>
      </w:r>
      <w:r w:rsidR="00552434" w:rsidRPr="00FD516E">
        <w:rPr>
          <w:rFonts w:cs="Arial"/>
          <w:szCs w:val="22"/>
        </w:rPr>
        <w:t xml:space="preserve">anticipated </w:t>
      </w:r>
      <w:r w:rsidRPr="00FD516E">
        <w:rPr>
          <w:rFonts w:cs="Arial"/>
          <w:szCs w:val="22"/>
        </w:rPr>
        <w:t>to comply with these emission standards based on proper equipment design, operation and maintenance.</w:t>
      </w:r>
    </w:p>
    <w:p w14:paraId="78881BC9"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89EE42F"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Any emission testing conducted to demonstrate compliance with the above emission limits shall be performed in accordance with 40 </w:t>
      </w:r>
      <w:r w:rsidRPr="00FD516E">
        <w:rPr>
          <w:rFonts w:cs="Arial"/>
          <w:i/>
          <w:szCs w:val="22"/>
        </w:rPr>
        <w:t>CFR</w:t>
      </w:r>
      <w:r w:rsidRPr="00FD516E">
        <w:rPr>
          <w:rFonts w:cs="Arial"/>
          <w:szCs w:val="22"/>
        </w:rPr>
        <w:t xml:space="preserve"> Part 51, Appendix M, Methods 203B and 203C, respectively, or equivalent methods approved in writing by the Agency</w:t>
      </w:r>
    </w:p>
    <w:p w14:paraId="22A4A3C9"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6A94A9F" w14:textId="77777777" w:rsidR="00ED2E88" w:rsidRPr="00FD516E" w:rsidRDefault="00ED2E88">
      <w:pPr>
        <w:widowControl/>
        <w:autoSpaceDE/>
        <w:autoSpaceDN/>
        <w:adjustRightInd/>
        <w:ind w:left="0" w:firstLine="0"/>
        <w:jc w:val="left"/>
        <w:rPr>
          <w:rFonts w:cs="Arial"/>
          <w:b/>
          <w:bCs/>
          <w:szCs w:val="22"/>
        </w:rPr>
      </w:pPr>
      <w:r w:rsidRPr="00FD516E">
        <w:rPr>
          <w:rFonts w:cs="Arial"/>
          <w:b/>
          <w:bCs/>
          <w:szCs w:val="22"/>
        </w:rPr>
        <w:br w:type="page"/>
      </w:r>
    </w:p>
    <w:p w14:paraId="212C1F27" w14:textId="07A66CD1"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lastRenderedPageBreak/>
        <w:t>§5-221(1)(a) - Prohibition of Potentially Polluting Materials in Fuel.</w:t>
      </w:r>
      <w:r w:rsidRPr="00FD516E">
        <w:rPr>
          <w:rFonts w:cs="Arial"/>
          <w:szCs w:val="22"/>
        </w:rPr>
        <w:t xml:space="preserve">  "No </w:t>
      </w:r>
      <w:r w:rsidRPr="00FD516E">
        <w:rPr>
          <w:rFonts w:cs="Arial"/>
          <w:i/>
          <w:iCs/>
          <w:szCs w:val="22"/>
        </w:rPr>
        <w:t>person</w:t>
      </w:r>
      <w:r w:rsidRPr="00FD516E">
        <w:rPr>
          <w:rFonts w:cs="Arial"/>
          <w:szCs w:val="22"/>
        </w:rPr>
        <w:t xml:space="preserve"> shall cause or permit the use, purchase, or sale for use in stationary combustion installations within the State of Vermont for heat or power generation of:</w:t>
      </w:r>
    </w:p>
    <w:p w14:paraId="34B3D96F"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72A94EFD" w14:textId="77777777" w:rsidR="005E20C5" w:rsidRPr="00FD516E" w:rsidRDefault="005E20C5" w:rsidP="0013297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512"/>
        <w:rPr>
          <w:rFonts w:cs="Arial"/>
          <w:szCs w:val="22"/>
        </w:rPr>
      </w:pPr>
      <w:r w:rsidRPr="00FD516E">
        <w:rPr>
          <w:rFonts w:cs="Arial"/>
          <w:szCs w:val="22"/>
        </w:rPr>
        <w:t xml:space="preserve">, </w:t>
      </w:r>
      <w:r w:rsidRPr="00FD516E">
        <w:rPr>
          <w:rFonts w:cs="Arial"/>
          <w:i/>
          <w:iCs/>
          <w:szCs w:val="22"/>
        </w:rPr>
        <w:t>fuels</w:t>
      </w:r>
      <w:r w:rsidRPr="00FD516E">
        <w:rPr>
          <w:rFonts w:cs="Arial"/>
          <w:szCs w:val="22"/>
        </w:rPr>
        <w:t xml:space="preserve"> containing more than 2.0% sulfur by weight, except as otherwise provided below;</w:t>
      </w:r>
    </w:p>
    <w:p w14:paraId="64482DAE" w14:textId="7E436227" w:rsidR="005E20C5" w:rsidRPr="00FD516E" w:rsidRDefault="00A7100E" w:rsidP="0013297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512"/>
        <w:rPr>
          <w:rFonts w:cs="Arial"/>
          <w:szCs w:val="22"/>
        </w:rPr>
      </w:pPr>
      <w:r w:rsidRPr="00FD516E">
        <w:rPr>
          <w:rFonts w:cs="Arial"/>
          <w:szCs w:val="22"/>
        </w:rPr>
        <w:t xml:space="preserve"> </w:t>
      </w:r>
      <w:r w:rsidR="005E20C5" w:rsidRPr="00FD516E">
        <w:rPr>
          <w:rFonts w:cs="Arial"/>
          <w:szCs w:val="22"/>
        </w:rPr>
        <w:t>No. 2 and lighter distillate oils and animal and vegetable fuel oils with a sulfur content greater than 0.05% by weight beginning on July 1, 2014, and ending on June 30, 2018;</w:t>
      </w:r>
    </w:p>
    <w:p w14:paraId="400D4A19" w14:textId="77777777" w:rsidR="005E20C5" w:rsidRPr="00FD516E" w:rsidRDefault="005E20C5" w:rsidP="0013297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512"/>
        <w:rPr>
          <w:rFonts w:cs="Arial"/>
          <w:szCs w:val="22"/>
        </w:rPr>
      </w:pPr>
      <w:r w:rsidRPr="00FD516E">
        <w:rPr>
          <w:rFonts w:cs="Arial"/>
          <w:szCs w:val="22"/>
        </w:rPr>
        <w:t xml:space="preserve">No. 2 and lighter distillate oils and animal and vegetable fuel oils with a sulfur content greater than 0.0015% by weight, beginning on July 1, 2018" </w:t>
      </w:r>
    </w:p>
    <w:p w14:paraId="58E06B69" w14:textId="3D457842" w:rsidR="005E20C5" w:rsidRPr="00FD516E" w:rsidRDefault="005E20C5" w:rsidP="0013297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512"/>
        <w:rPr>
          <w:rFonts w:cs="Arial"/>
          <w:szCs w:val="22"/>
        </w:rPr>
      </w:pPr>
      <w:r w:rsidRPr="00FD516E">
        <w:rPr>
          <w:rFonts w:cs="Arial"/>
          <w:szCs w:val="22"/>
        </w:rPr>
        <w:t>No. 4 residual oil with a sulfur content greater than 0.25% by weight, beginning on July 1, 2018; and</w:t>
      </w:r>
    </w:p>
    <w:p w14:paraId="34857C2D" w14:textId="03FC8B8D" w:rsidR="005E20C5" w:rsidRPr="00FD516E" w:rsidRDefault="00A7100E" w:rsidP="0013297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512"/>
        <w:rPr>
          <w:rFonts w:cs="Arial"/>
          <w:szCs w:val="22"/>
        </w:rPr>
      </w:pPr>
      <w:r w:rsidRPr="00FD516E">
        <w:rPr>
          <w:rFonts w:cs="Arial"/>
          <w:szCs w:val="22"/>
        </w:rPr>
        <w:t xml:space="preserve"> </w:t>
      </w:r>
      <w:r w:rsidR="00B7248E" w:rsidRPr="00FD516E">
        <w:rPr>
          <w:rFonts w:cs="Arial"/>
          <w:szCs w:val="22"/>
        </w:rPr>
        <w:t xml:space="preserve">No. 5 and No. 6 residual oils and heavier residual oils and </w:t>
      </w:r>
      <w:r w:rsidR="00B7248E" w:rsidRPr="00FD516E">
        <w:rPr>
          <w:rFonts w:cs="Arial"/>
          <w:i/>
          <w:iCs/>
          <w:szCs w:val="22"/>
        </w:rPr>
        <w:t xml:space="preserve">used oils </w:t>
      </w:r>
      <w:r w:rsidR="00B7248E" w:rsidRPr="00FD516E">
        <w:rPr>
          <w:rFonts w:cs="Arial"/>
          <w:szCs w:val="22"/>
        </w:rPr>
        <w:t>with a sulfur content greater than 0.5% by weight, beginning on July 1, 2018</w:t>
      </w:r>
      <w:r w:rsidR="005E20C5" w:rsidRPr="00FD516E">
        <w:rPr>
          <w:rFonts w:cs="Arial"/>
          <w:szCs w:val="22"/>
        </w:rPr>
        <w:t>.</w:t>
      </w:r>
    </w:p>
    <w:p w14:paraId="7FF9ACCD"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867283D" w14:textId="77777777" w:rsidR="005E20C5" w:rsidRPr="00FD516E" w:rsidRDefault="005E20C5" w:rsidP="00E54F7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0"/>
        <w:rPr>
          <w:rFonts w:cs="Arial"/>
          <w:szCs w:val="22"/>
        </w:rPr>
      </w:pPr>
      <w:r w:rsidRPr="00FD516E">
        <w:rPr>
          <w:rFonts w:cs="Arial"/>
          <w:szCs w:val="22"/>
        </w:rPr>
        <w:t>Compliance with this standard is based on fuel analyses following the procedures prescribed by the American Society of Testing Materials ("ASTM").</w:t>
      </w:r>
    </w:p>
    <w:p w14:paraId="187F7811"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D2DD7B9" w14:textId="3D949113" w:rsidR="003417E0"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This regulation applies to all stationary fuel burning equipment at the Facility including the </w:t>
      </w:r>
      <w:r w:rsidR="003417E0" w:rsidRPr="00FD516E">
        <w:rPr>
          <w:rFonts w:cs="Arial"/>
          <w:szCs w:val="22"/>
        </w:rPr>
        <w:t xml:space="preserve">five </w:t>
      </w:r>
      <w:r w:rsidR="003417E0" w:rsidRPr="00FD516E">
        <w:t xml:space="preserve">(5) </w:t>
      </w:r>
      <w:r w:rsidR="002D0237" w:rsidRPr="00FD516E">
        <w:t xml:space="preserve">CAT </w:t>
      </w:r>
      <w:r w:rsidR="003417E0" w:rsidRPr="00FD516E">
        <w:t xml:space="preserve">G3520C LE </w:t>
      </w:r>
      <w:r w:rsidR="00A7100E" w:rsidRPr="00FD516E">
        <w:t xml:space="preserve">engines fired with LFG, all LFG flares, the </w:t>
      </w:r>
      <w:r w:rsidR="00B7248E" w:rsidRPr="00FD516E">
        <w:t xml:space="preserve">No. 2 fuel oil and used </w:t>
      </w:r>
      <w:r w:rsidR="00A7100E" w:rsidRPr="00FD516E">
        <w:t>oil</w:t>
      </w:r>
      <w:r w:rsidR="00B7248E" w:rsidRPr="00FD516E">
        <w:t xml:space="preserve"> fired </w:t>
      </w:r>
      <w:r w:rsidR="00A7100E" w:rsidRPr="00FD516E">
        <w:t>space heating units</w:t>
      </w:r>
      <w:r w:rsidR="00792141" w:rsidRPr="00FD516E">
        <w:t>, and the backup generator at the LFGTE Operation</w:t>
      </w:r>
      <w:r w:rsidR="00A7100E" w:rsidRPr="00FD516E">
        <w:t xml:space="preserve">. </w:t>
      </w:r>
    </w:p>
    <w:p w14:paraId="12B9D337" w14:textId="77777777" w:rsidR="003417E0" w:rsidRPr="00FD516E" w:rsidRDefault="003417E0" w:rsidP="003417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9CCD073" w14:textId="4FC0D7EC" w:rsidR="005E20C5" w:rsidRPr="00FD516E" w:rsidRDefault="00A0624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Permittee is anticipated to comply with this regulation, as anticipated sulfur concentrations in LFG </w:t>
      </w:r>
      <w:r w:rsidR="00792141" w:rsidRPr="00FD516E">
        <w:rPr>
          <w:rFonts w:cs="Arial"/>
          <w:szCs w:val="22"/>
        </w:rPr>
        <w:t xml:space="preserve">will be regularly monitored to maintain SO2 emissions at less than 40 tons per year, and with this limitation, the LFG </w:t>
      </w:r>
      <w:r w:rsidRPr="00FD516E">
        <w:rPr>
          <w:rFonts w:cs="Arial"/>
          <w:szCs w:val="22"/>
        </w:rPr>
        <w:t xml:space="preserve">will be less than </w:t>
      </w:r>
      <w:r w:rsidR="001D4671" w:rsidRPr="00FD516E">
        <w:rPr>
          <w:rFonts w:cs="Arial"/>
          <w:szCs w:val="22"/>
        </w:rPr>
        <w:t>2.0</w:t>
      </w:r>
      <w:r w:rsidRPr="00FD516E">
        <w:rPr>
          <w:rFonts w:cs="Arial"/>
          <w:szCs w:val="22"/>
        </w:rPr>
        <w:t xml:space="preserve"> percent sulfur by weight</w:t>
      </w:r>
      <w:r w:rsidR="00792141" w:rsidRPr="00FD516E">
        <w:rPr>
          <w:rFonts w:cs="Arial"/>
          <w:szCs w:val="22"/>
        </w:rPr>
        <w:t>.  P</w:t>
      </w:r>
      <w:r w:rsidR="00B7248E" w:rsidRPr="00FD516E">
        <w:rPr>
          <w:rFonts w:cs="Arial"/>
          <w:szCs w:val="22"/>
        </w:rPr>
        <w:t xml:space="preserve">ermit conditions will </w:t>
      </w:r>
      <w:r w:rsidR="002927C7" w:rsidRPr="00FD516E">
        <w:rPr>
          <w:rFonts w:cs="Arial"/>
          <w:szCs w:val="22"/>
        </w:rPr>
        <w:t xml:space="preserve">restrict </w:t>
      </w:r>
      <w:r w:rsidR="00B7248E" w:rsidRPr="00FD516E">
        <w:rPr>
          <w:rFonts w:cs="Arial"/>
          <w:szCs w:val="22"/>
        </w:rPr>
        <w:t xml:space="preserve">the sulfur content of </w:t>
      </w:r>
      <w:r w:rsidRPr="00FD516E">
        <w:rPr>
          <w:rFonts w:cs="Arial"/>
          <w:szCs w:val="22"/>
        </w:rPr>
        <w:t>No. 2 distillate fuel and used oil combusted at the Facility</w:t>
      </w:r>
      <w:r w:rsidR="00B7248E" w:rsidRPr="00FD516E">
        <w:rPr>
          <w:rFonts w:cs="Arial"/>
          <w:szCs w:val="22"/>
        </w:rPr>
        <w:t xml:space="preserve"> to comply with the limits contained in this regulation.</w:t>
      </w:r>
      <w:r w:rsidR="005E20C5" w:rsidRPr="00FD516E">
        <w:rPr>
          <w:rFonts w:cs="Arial"/>
          <w:szCs w:val="22"/>
        </w:rPr>
        <w:t xml:space="preserve">  </w:t>
      </w:r>
    </w:p>
    <w:p w14:paraId="61659175" w14:textId="77777777" w:rsidR="00145088" w:rsidRPr="00FD516E" w:rsidRDefault="00145088" w:rsidP="00145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08A32DD" w14:textId="2E3A5812" w:rsidR="000C43EC" w:rsidRPr="00FD516E" w:rsidRDefault="00F237EC" w:rsidP="000C43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 xml:space="preserve">§5-221(2)(g) - Prohibition of Potentially Polluting Materials in Fuel – </w:t>
      </w:r>
      <w:r w:rsidR="007B6E6F" w:rsidRPr="00FD516E">
        <w:rPr>
          <w:rFonts w:cs="Arial"/>
          <w:b/>
          <w:bCs/>
          <w:szCs w:val="22"/>
        </w:rPr>
        <w:t xml:space="preserve">Used </w:t>
      </w:r>
      <w:r w:rsidRPr="00FD516E">
        <w:rPr>
          <w:rFonts w:cs="Arial"/>
          <w:b/>
          <w:bCs/>
          <w:szCs w:val="22"/>
        </w:rPr>
        <w:t>Oil – Small Fuel Burning Equipment.</w:t>
      </w:r>
      <w:r w:rsidRPr="00FD516E">
        <w:rPr>
          <w:rFonts w:cs="Arial"/>
          <w:szCs w:val="22"/>
        </w:rPr>
        <w:t xml:space="preserve">  "Any person operating or owning fuel burning equipment used for space heating shall be permitted to burn </w:t>
      </w:r>
      <w:r w:rsidR="007B6E6F" w:rsidRPr="00FD516E">
        <w:rPr>
          <w:rFonts w:cs="Arial"/>
          <w:szCs w:val="22"/>
        </w:rPr>
        <w:t xml:space="preserve">used </w:t>
      </w:r>
      <w:r w:rsidRPr="00FD516E">
        <w:rPr>
          <w:rFonts w:cs="Arial"/>
          <w:szCs w:val="22"/>
        </w:rPr>
        <w:t xml:space="preserve">oil and is exempted from this section and Section 5-261 of these regulations, provided that:  </w:t>
      </w:r>
    </w:p>
    <w:p w14:paraId="20CDF758" w14:textId="77777777" w:rsidR="000C43EC" w:rsidRPr="00FD516E" w:rsidRDefault="000C43EC" w:rsidP="007303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080"/>
        <w:rPr>
          <w:rFonts w:cs="Arial"/>
          <w:szCs w:val="22"/>
        </w:rPr>
      </w:pPr>
    </w:p>
    <w:p w14:paraId="1896A125" w14:textId="4E6540B0" w:rsidR="000C43EC" w:rsidRPr="00FD516E" w:rsidRDefault="00F237EC" w:rsidP="007303F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rPr>
          <w:rFonts w:cs="Arial"/>
          <w:szCs w:val="22"/>
        </w:rPr>
      </w:pPr>
      <w:r w:rsidRPr="00FD516E">
        <w:rPr>
          <w:rFonts w:cs="Arial"/>
          <w:szCs w:val="22"/>
        </w:rPr>
        <w:t xml:space="preserve">The maximum operating heat input of all fuel burning equipment designated for burning </w:t>
      </w:r>
      <w:r w:rsidR="007B6E6F" w:rsidRPr="00FD516E">
        <w:rPr>
          <w:rFonts w:cs="Arial"/>
          <w:szCs w:val="22"/>
        </w:rPr>
        <w:t xml:space="preserve">used </w:t>
      </w:r>
      <w:r w:rsidRPr="00FD516E">
        <w:rPr>
          <w:rFonts w:cs="Arial"/>
          <w:szCs w:val="22"/>
        </w:rPr>
        <w:t>oil at a single location aggregates to no more than 500,000 BTU per hour; and</w:t>
      </w:r>
    </w:p>
    <w:p w14:paraId="65B0C86E" w14:textId="36F03C47" w:rsidR="000C43EC" w:rsidRPr="00FD516E" w:rsidRDefault="00F237EC" w:rsidP="007303F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rPr>
          <w:rFonts w:cs="Arial"/>
          <w:szCs w:val="22"/>
        </w:rPr>
      </w:pPr>
      <w:r w:rsidRPr="00FD516E">
        <w:rPr>
          <w:rFonts w:cs="Arial"/>
          <w:szCs w:val="22"/>
        </w:rPr>
        <w:t xml:space="preserve">The </w:t>
      </w:r>
      <w:r w:rsidR="007B6E6F" w:rsidRPr="00FD516E">
        <w:rPr>
          <w:rFonts w:cs="Arial"/>
          <w:szCs w:val="22"/>
        </w:rPr>
        <w:t xml:space="preserve">used </w:t>
      </w:r>
      <w:r w:rsidRPr="00FD516E">
        <w:rPr>
          <w:rFonts w:cs="Arial"/>
          <w:szCs w:val="22"/>
        </w:rPr>
        <w:t>oil has properties and constituents within the allowable limits set forth in Table A prior to blending; and</w:t>
      </w:r>
    </w:p>
    <w:p w14:paraId="4A060272" w14:textId="7490EFB7" w:rsidR="000C43EC" w:rsidRPr="00FD516E" w:rsidRDefault="00F237EC" w:rsidP="007303F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rPr>
          <w:rFonts w:cs="Arial"/>
          <w:szCs w:val="22"/>
        </w:rPr>
      </w:pPr>
      <w:r w:rsidRPr="00FD516E">
        <w:rPr>
          <w:rFonts w:cs="Arial"/>
          <w:szCs w:val="22"/>
        </w:rPr>
        <w:t>Emissions of visible air contaminants from the equipment comply with Section 5-211(2) of these regulations; and</w:t>
      </w:r>
    </w:p>
    <w:p w14:paraId="77492468" w14:textId="4C9D8D87" w:rsidR="007303F6" w:rsidRPr="00FD516E" w:rsidRDefault="007303F6" w:rsidP="007303F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rPr>
          <w:rFonts w:cs="Arial"/>
          <w:szCs w:val="22"/>
        </w:rPr>
      </w:pPr>
      <w:r w:rsidRPr="00FD516E">
        <w:rPr>
          <w:rFonts w:cs="Arial"/>
          <w:szCs w:val="22"/>
        </w:rPr>
        <w:t>The user complies with the requirements of Subchapter 8 of the Vermont Hazardous Waste Management Regulations; and</w:t>
      </w:r>
    </w:p>
    <w:p w14:paraId="534B4ACF" w14:textId="17A6FDCB" w:rsidR="007303F6" w:rsidRPr="00FD516E" w:rsidRDefault="007303F6" w:rsidP="007303F6">
      <w:pPr>
        <w:pStyle w:val="ListParagraph"/>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rPr>
          <w:rFonts w:cs="Arial"/>
          <w:szCs w:val="22"/>
        </w:rPr>
      </w:pPr>
      <w:r w:rsidRPr="00FD516E">
        <w:rPr>
          <w:rFonts w:cs="Arial"/>
          <w:szCs w:val="22"/>
        </w:rPr>
        <w:t xml:space="preserve">All fuel burning equipment must vent to the outside atmosphere in a manner as not to impede the upward dispersion of the exhaust.  </w:t>
      </w:r>
    </w:p>
    <w:p w14:paraId="0F05C52E" w14:textId="77777777" w:rsidR="0055238F" w:rsidRPr="00FD516E" w:rsidRDefault="0055238F" w:rsidP="0055238F">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0AFD24B" w14:textId="77777777" w:rsidR="00ED2E88" w:rsidRPr="00FD516E" w:rsidRDefault="00ED2E88">
      <w:pPr>
        <w:widowControl/>
        <w:autoSpaceDE/>
        <w:autoSpaceDN/>
        <w:adjustRightInd/>
        <w:ind w:left="0" w:firstLine="0"/>
        <w:jc w:val="left"/>
        <w:rPr>
          <w:rFonts w:cs="Arial"/>
          <w:b/>
          <w:bCs/>
          <w:position w:val="2"/>
          <w:szCs w:val="22"/>
        </w:rPr>
      </w:pPr>
      <w:r w:rsidRPr="00FD516E">
        <w:rPr>
          <w:rFonts w:cs="Arial"/>
          <w:b/>
          <w:bCs/>
          <w:position w:val="2"/>
          <w:szCs w:val="22"/>
        </w:rPr>
        <w:br w:type="page"/>
      </w:r>
    </w:p>
    <w:p w14:paraId="6B6A2716" w14:textId="77A06E2E" w:rsidR="00145088" w:rsidRPr="00FD516E" w:rsidRDefault="00F237EC" w:rsidP="00145088">
      <w:pPr>
        <w:widowControl/>
        <w:ind w:left="2160" w:right="1056" w:firstLine="0"/>
        <w:jc w:val="center"/>
        <w:rPr>
          <w:rFonts w:cs="Arial"/>
          <w:szCs w:val="22"/>
        </w:rPr>
      </w:pPr>
      <w:r w:rsidRPr="00FD516E">
        <w:rPr>
          <w:rFonts w:cs="Arial"/>
          <w:b/>
          <w:bCs/>
          <w:position w:val="2"/>
          <w:szCs w:val="22"/>
        </w:rPr>
        <w:lastRenderedPageBreak/>
        <w:t>TABLE</w:t>
      </w:r>
      <w:r w:rsidRPr="00FD516E">
        <w:rPr>
          <w:rFonts w:cs="Arial"/>
          <w:b/>
          <w:bCs/>
          <w:spacing w:val="-6"/>
          <w:position w:val="2"/>
          <w:szCs w:val="22"/>
        </w:rPr>
        <w:t xml:space="preserve"> </w:t>
      </w:r>
      <w:r w:rsidRPr="00FD516E">
        <w:rPr>
          <w:rFonts w:cs="Arial"/>
          <w:b/>
          <w:bCs/>
          <w:position w:val="2"/>
          <w:szCs w:val="22"/>
        </w:rPr>
        <w:t>A:</w:t>
      </w:r>
      <w:r w:rsidRPr="00FD516E">
        <w:rPr>
          <w:rFonts w:cs="Arial"/>
          <w:b/>
          <w:bCs/>
          <w:spacing w:val="-2"/>
          <w:position w:val="2"/>
          <w:szCs w:val="22"/>
        </w:rPr>
        <w:t xml:space="preserve"> </w:t>
      </w:r>
      <w:r w:rsidR="007B6E6F" w:rsidRPr="00FD516E">
        <w:rPr>
          <w:rFonts w:cs="Arial"/>
          <w:b/>
          <w:bCs/>
          <w:position w:val="2"/>
          <w:szCs w:val="22"/>
        </w:rPr>
        <w:t>USED</w:t>
      </w:r>
      <w:r w:rsidR="007B6E6F" w:rsidRPr="00FD516E">
        <w:rPr>
          <w:rFonts w:cs="Arial"/>
          <w:b/>
          <w:bCs/>
          <w:spacing w:val="-6"/>
          <w:position w:val="2"/>
          <w:szCs w:val="22"/>
        </w:rPr>
        <w:t xml:space="preserve"> </w:t>
      </w:r>
      <w:r w:rsidRPr="00FD516E">
        <w:rPr>
          <w:rFonts w:cs="Arial"/>
          <w:b/>
          <w:bCs/>
          <w:position w:val="2"/>
          <w:szCs w:val="22"/>
        </w:rPr>
        <w:t>OIL</w:t>
      </w:r>
      <w:r w:rsidRPr="00FD516E">
        <w:rPr>
          <w:rFonts w:cs="Arial"/>
          <w:b/>
          <w:bCs/>
          <w:spacing w:val="-4"/>
          <w:position w:val="2"/>
          <w:szCs w:val="22"/>
        </w:rPr>
        <w:t xml:space="preserve"> </w:t>
      </w:r>
      <w:r w:rsidRPr="00FD516E">
        <w:rPr>
          <w:rFonts w:cs="Arial"/>
          <w:b/>
          <w:bCs/>
          <w:position w:val="2"/>
          <w:szCs w:val="22"/>
        </w:rPr>
        <w:t>CONSTITUENTS</w:t>
      </w:r>
      <w:r w:rsidRPr="00FD516E">
        <w:rPr>
          <w:rFonts w:cs="Arial"/>
          <w:b/>
          <w:bCs/>
          <w:spacing w:val="-14"/>
          <w:position w:val="2"/>
          <w:szCs w:val="22"/>
        </w:rPr>
        <w:t xml:space="preserve"> </w:t>
      </w:r>
      <w:r w:rsidRPr="00FD516E">
        <w:rPr>
          <w:rFonts w:cs="Arial"/>
          <w:b/>
          <w:bCs/>
          <w:position w:val="2"/>
          <w:szCs w:val="22"/>
        </w:rPr>
        <w:t>AND</w:t>
      </w:r>
      <w:r w:rsidRPr="00FD516E">
        <w:rPr>
          <w:rFonts w:cs="Arial"/>
          <w:b/>
          <w:bCs/>
          <w:spacing w:val="-4"/>
          <w:position w:val="2"/>
          <w:szCs w:val="22"/>
        </w:rPr>
        <w:t xml:space="preserve"> </w:t>
      </w:r>
      <w:r w:rsidRPr="00FD516E">
        <w:rPr>
          <w:rFonts w:cs="Arial"/>
          <w:b/>
          <w:bCs/>
          <w:position w:val="2"/>
          <w:szCs w:val="22"/>
        </w:rPr>
        <w:t xml:space="preserve">PROPERTIES </w:t>
      </w:r>
      <w:r w:rsidRPr="00FD516E">
        <w:rPr>
          <w:rFonts w:cs="Arial"/>
          <w:szCs w:val="22"/>
        </w:rPr>
        <w:t>(Prior</w:t>
      </w:r>
      <w:r w:rsidRPr="00FD516E">
        <w:rPr>
          <w:rFonts w:cs="Arial"/>
          <w:spacing w:val="-7"/>
          <w:szCs w:val="22"/>
        </w:rPr>
        <w:t xml:space="preserve"> </w:t>
      </w:r>
      <w:r w:rsidRPr="00FD516E">
        <w:rPr>
          <w:rFonts w:cs="Arial"/>
          <w:szCs w:val="22"/>
        </w:rPr>
        <w:t>to</w:t>
      </w:r>
      <w:r w:rsidRPr="00FD516E">
        <w:rPr>
          <w:rFonts w:cs="Arial"/>
          <w:spacing w:val="-2"/>
          <w:szCs w:val="22"/>
        </w:rPr>
        <w:t xml:space="preserve"> </w:t>
      </w:r>
      <w:r w:rsidRPr="00FD516E">
        <w:rPr>
          <w:rFonts w:cs="Arial"/>
          <w:szCs w:val="22"/>
        </w:rPr>
        <w:t>Blending)</w:t>
      </w:r>
    </w:p>
    <w:p w14:paraId="626A6BBB" w14:textId="77777777" w:rsidR="00145088" w:rsidRPr="00FD516E" w:rsidRDefault="00145088" w:rsidP="00145088">
      <w:pPr>
        <w:widowControl/>
        <w:spacing w:before="4"/>
        <w:ind w:left="4320" w:right="2676" w:firstLine="0"/>
        <w:jc w:val="center"/>
        <w:rPr>
          <w:rFonts w:cs="Arial"/>
          <w:szCs w:val="22"/>
        </w:rPr>
      </w:pPr>
    </w:p>
    <w:tbl>
      <w:tblPr>
        <w:tblW w:w="0" w:type="auto"/>
        <w:tblInd w:w="1545" w:type="dxa"/>
        <w:tblLayout w:type="fixed"/>
        <w:tblCellMar>
          <w:left w:w="0" w:type="dxa"/>
          <w:right w:w="0" w:type="dxa"/>
        </w:tblCellMar>
        <w:tblLook w:val="0000" w:firstRow="0" w:lastRow="0" w:firstColumn="0" w:lastColumn="0" w:noHBand="0" w:noVBand="0"/>
      </w:tblPr>
      <w:tblGrid>
        <w:gridCol w:w="4474"/>
        <w:gridCol w:w="3356"/>
      </w:tblGrid>
      <w:tr w:rsidR="00145088" w:rsidRPr="009F5E32" w14:paraId="69878455" w14:textId="77777777" w:rsidTr="003529CF">
        <w:trPr>
          <w:trHeight w:hRule="exact" w:val="343"/>
        </w:trPr>
        <w:tc>
          <w:tcPr>
            <w:tcW w:w="4474" w:type="dxa"/>
            <w:tcBorders>
              <w:top w:val="double" w:sz="4" w:space="0" w:color="auto"/>
              <w:left w:val="double" w:sz="4" w:space="0" w:color="auto"/>
              <w:bottom w:val="double" w:sz="4" w:space="0" w:color="auto"/>
              <w:right w:val="single" w:sz="4" w:space="0" w:color="000000"/>
            </w:tcBorders>
            <w:shd w:val="clear" w:color="auto" w:fill="F2F2F2" w:themeFill="background1" w:themeFillShade="F2"/>
          </w:tcPr>
          <w:p w14:paraId="27B3BEC6" w14:textId="77777777" w:rsidR="00145088" w:rsidRPr="00FD516E" w:rsidRDefault="00F237EC" w:rsidP="00145088">
            <w:pPr>
              <w:widowControl/>
              <w:spacing w:before="38"/>
              <w:ind w:left="100" w:right="-20" w:firstLine="0"/>
              <w:jc w:val="left"/>
              <w:rPr>
                <w:rFonts w:cs="Arial"/>
                <w:sz w:val="18"/>
                <w:szCs w:val="18"/>
              </w:rPr>
            </w:pPr>
            <w:r w:rsidRPr="00FD516E">
              <w:rPr>
                <w:rFonts w:cs="Arial"/>
                <w:b/>
                <w:bCs/>
                <w:sz w:val="18"/>
                <w:szCs w:val="18"/>
              </w:rPr>
              <w:t>Constituent/Property</w:t>
            </w:r>
          </w:p>
        </w:tc>
        <w:tc>
          <w:tcPr>
            <w:tcW w:w="3356" w:type="dxa"/>
            <w:tcBorders>
              <w:top w:val="double" w:sz="4" w:space="0" w:color="auto"/>
              <w:left w:val="single" w:sz="4" w:space="0" w:color="000000"/>
              <w:bottom w:val="double" w:sz="4" w:space="0" w:color="auto"/>
              <w:right w:val="double" w:sz="4" w:space="0" w:color="auto"/>
            </w:tcBorders>
            <w:shd w:val="clear" w:color="auto" w:fill="F2F2F2" w:themeFill="background1" w:themeFillShade="F2"/>
          </w:tcPr>
          <w:p w14:paraId="35AA839A" w14:textId="77777777" w:rsidR="00145088" w:rsidRPr="00FD516E" w:rsidRDefault="00F237EC" w:rsidP="00145088">
            <w:pPr>
              <w:widowControl/>
              <w:spacing w:before="38"/>
              <w:ind w:left="1012" w:right="-20" w:firstLine="0"/>
              <w:jc w:val="left"/>
              <w:rPr>
                <w:rFonts w:cs="Arial"/>
                <w:sz w:val="18"/>
                <w:szCs w:val="18"/>
              </w:rPr>
            </w:pPr>
            <w:r w:rsidRPr="00FD516E">
              <w:rPr>
                <w:rFonts w:cs="Arial"/>
                <w:b/>
                <w:bCs/>
                <w:sz w:val="18"/>
                <w:szCs w:val="18"/>
              </w:rPr>
              <w:t>Allowable</w:t>
            </w:r>
          </w:p>
        </w:tc>
      </w:tr>
      <w:tr w:rsidR="00145088" w:rsidRPr="00FD516E" w14:paraId="0F70FA50" w14:textId="77777777" w:rsidTr="00614D45">
        <w:trPr>
          <w:trHeight w:hRule="exact" w:val="331"/>
        </w:trPr>
        <w:tc>
          <w:tcPr>
            <w:tcW w:w="4474" w:type="dxa"/>
            <w:tcBorders>
              <w:top w:val="double" w:sz="4" w:space="0" w:color="auto"/>
              <w:left w:val="double" w:sz="4" w:space="0" w:color="auto"/>
              <w:bottom w:val="single" w:sz="4" w:space="0" w:color="000000"/>
              <w:right w:val="single" w:sz="4" w:space="0" w:color="000000"/>
            </w:tcBorders>
            <w:vAlign w:val="center"/>
          </w:tcPr>
          <w:p w14:paraId="0EECA578"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Polychlorinated</w:t>
            </w:r>
            <w:r w:rsidRPr="00FD516E">
              <w:rPr>
                <w:rFonts w:cs="Arial"/>
                <w:spacing w:val="-18"/>
                <w:sz w:val="18"/>
                <w:szCs w:val="18"/>
              </w:rPr>
              <w:t xml:space="preserve"> </w:t>
            </w:r>
            <w:r w:rsidRPr="00FD516E">
              <w:rPr>
                <w:rFonts w:cs="Arial"/>
                <w:sz w:val="18"/>
                <w:szCs w:val="18"/>
              </w:rPr>
              <w:t>Biphenyls</w:t>
            </w:r>
            <w:r w:rsidRPr="00FD516E">
              <w:rPr>
                <w:rFonts w:cs="Arial"/>
                <w:spacing w:val="-11"/>
                <w:sz w:val="18"/>
                <w:szCs w:val="18"/>
              </w:rPr>
              <w:t xml:space="preserve"> </w:t>
            </w:r>
            <w:r w:rsidRPr="00FD516E">
              <w:rPr>
                <w:rFonts w:cs="Arial"/>
                <w:sz w:val="18"/>
                <w:szCs w:val="18"/>
              </w:rPr>
              <w:t>(PCBs)</w:t>
            </w:r>
          </w:p>
        </w:tc>
        <w:tc>
          <w:tcPr>
            <w:tcW w:w="3356" w:type="dxa"/>
            <w:tcBorders>
              <w:top w:val="double" w:sz="4" w:space="0" w:color="auto"/>
              <w:left w:val="single" w:sz="4" w:space="0" w:color="000000"/>
              <w:bottom w:val="single" w:sz="4" w:space="0" w:color="000000"/>
              <w:right w:val="double" w:sz="4" w:space="0" w:color="auto"/>
            </w:tcBorders>
            <w:vAlign w:val="center"/>
          </w:tcPr>
          <w:p w14:paraId="2794B859" w14:textId="77777777" w:rsidR="00145088" w:rsidRPr="00FD516E" w:rsidRDefault="00145088" w:rsidP="00614D45">
            <w:pPr>
              <w:widowControl/>
              <w:spacing w:before="11"/>
              <w:ind w:left="720" w:right="-20" w:firstLine="0"/>
              <w:jc w:val="left"/>
              <w:rPr>
                <w:rFonts w:cs="Arial"/>
                <w:sz w:val="18"/>
                <w:szCs w:val="18"/>
              </w:rPr>
            </w:pPr>
            <w:r w:rsidRPr="00FD516E">
              <w:rPr>
                <w:rFonts w:cs="Arial"/>
                <w:sz w:val="18"/>
                <w:szCs w:val="18"/>
              </w:rPr>
              <w:t>&lt;</w:t>
            </w:r>
            <w:r w:rsidRPr="00FD516E">
              <w:rPr>
                <w:rFonts w:cs="Arial"/>
                <w:spacing w:val="-1"/>
                <w:sz w:val="18"/>
                <w:szCs w:val="18"/>
              </w:rPr>
              <w:t xml:space="preserve"> </w:t>
            </w:r>
            <w:r w:rsidRPr="00FD516E">
              <w:rPr>
                <w:rFonts w:cs="Arial"/>
                <w:sz w:val="18"/>
                <w:szCs w:val="18"/>
              </w:rPr>
              <w:t>2</w:t>
            </w:r>
            <w:r w:rsidRPr="00FD516E">
              <w:rPr>
                <w:rFonts w:cs="Arial"/>
                <w:spacing w:val="-1"/>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w:t>
            </w:r>
            <w:r w:rsidRPr="00FD516E">
              <w:rPr>
                <w:rFonts w:cs="Arial"/>
                <w:spacing w:val="1"/>
                <w:sz w:val="18"/>
                <w:szCs w:val="18"/>
              </w:rPr>
              <w:t>m</w:t>
            </w:r>
            <w:r w:rsidRPr="00FD516E">
              <w:rPr>
                <w:rFonts w:cs="Arial"/>
                <w:position w:val="8"/>
                <w:sz w:val="16"/>
                <w:szCs w:val="16"/>
              </w:rPr>
              <w:t>1</w:t>
            </w:r>
          </w:p>
        </w:tc>
      </w:tr>
      <w:tr w:rsidR="00145088" w:rsidRPr="00FD516E" w14:paraId="5BE2CEF2" w14:textId="77777777" w:rsidTr="00614D45">
        <w:trPr>
          <w:trHeight w:hRule="exact" w:val="324"/>
        </w:trPr>
        <w:tc>
          <w:tcPr>
            <w:tcW w:w="4474" w:type="dxa"/>
            <w:tcBorders>
              <w:top w:val="single" w:sz="4" w:space="0" w:color="000000"/>
              <w:left w:val="double" w:sz="4" w:space="0" w:color="auto"/>
              <w:bottom w:val="single" w:sz="4" w:space="0" w:color="000000"/>
              <w:right w:val="single" w:sz="4" w:space="0" w:color="000000"/>
            </w:tcBorders>
            <w:vAlign w:val="center"/>
          </w:tcPr>
          <w:p w14:paraId="7C3F8994"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Total</w:t>
            </w:r>
            <w:r w:rsidRPr="00FD516E">
              <w:rPr>
                <w:rFonts w:cs="Arial"/>
                <w:spacing w:val="-6"/>
                <w:sz w:val="18"/>
                <w:szCs w:val="18"/>
              </w:rPr>
              <w:t xml:space="preserve"> </w:t>
            </w:r>
            <w:r w:rsidRPr="00FD516E">
              <w:rPr>
                <w:rFonts w:cs="Arial"/>
                <w:sz w:val="18"/>
                <w:szCs w:val="18"/>
              </w:rPr>
              <w:t>Halogens</w:t>
            </w:r>
          </w:p>
        </w:tc>
        <w:tc>
          <w:tcPr>
            <w:tcW w:w="3356" w:type="dxa"/>
            <w:tcBorders>
              <w:top w:val="single" w:sz="4" w:space="0" w:color="000000"/>
              <w:left w:val="single" w:sz="4" w:space="0" w:color="000000"/>
              <w:bottom w:val="single" w:sz="4" w:space="0" w:color="000000"/>
              <w:right w:val="double" w:sz="4" w:space="0" w:color="auto"/>
            </w:tcBorders>
            <w:vAlign w:val="center"/>
          </w:tcPr>
          <w:p w14:paraId="2C8DEDA6"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1000</w:t>
            </w:r>
            <w:r w:rsidRPr="00FD516E">
              <w:rPr>
                <w:rFonts w:cs="Arial"/>
                <w:spacing w:val="-5"/>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615DB7F7" w14:textId="77777777" w:rsidTr="00614D45">
        <w:trPr>
          <w:trHeight w:hRule="exact" w:val="322"/>
        </w:trPr>
        <w:tc>
          <w:tcPr>
            <w:tcW w:w="4474" w:type="dxa"/>
            <w:tcBorders>
              <w:top w:val="single" w:sz="4" w:space="0" w:color="000000"/>
              <w:left w:val="double" w:sz="4" w:space="0" w:color="auto"/>
              <w:bottom w:val="single" w:sz="4" w:space="0" w:color="000000"/>
              <w:right w:val="single" w:sz="4" w:space="0" w:color="000000"/>
            </w:tcBorders>
            <w:vAlign w:val="center"/>
          </w:tcPr>
          <w:p w14:paraId="272A0B5B"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Arsenic</w:t>
            </w:r>
          </w:p>
        </w:tc>
        <w:tc>
          <w:tcPr>
            <w:tcW w:w="3356" w:type="dxa"/>
            <w:tcBorders>
              <w:top w:val="single" w:sz="4" w:space="0" w:color="000000"/>
              <w:left w:val="single" w:sz="4" w:space="0" w:color="000000"/>
              <w:bottom w:val="single" w:sz="4" w:space="0" w:color="000000"/>
              <w:right w:val="double" w:sz="4" w:space="0" w:color="auto"/>
            </w:tcBorders>
            <w:vAlign w:val="center"/>
          </w:tcPr>
          <w:p w14:paraId="13027C0D"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5</w:t>
            </w:r>
            <w:r w:rsidRPr="00FD516E">
              <w:rPr>
                <w:rFonts w:cs="Arial"/>
                <w:spacing w:val="-1"/>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3236AE36" w14:textId="77777777" w:rsidTr="00614D45">
        <w:trPr>
          <w:trHeight w:hRule="exact" w:val="322"/>
        </w:trPr>
        <w:tc>
          <w:tcPr>
            <w:tcW w:w="4474" w:type="dxa"/>
            <w:tcBorders>
              <w:top w:val="single" w:sz="4" w:space="0" w:color="000000"/>
              <w:left w:val="double" w:sz="4" w:space="0" w:color="auto"/>
              <w:bottom w:val="single" w:sz="4" w:space="0" w:color="000000"/>
              <w:right w:val="single" w:sz="4" w:space="0" w:color="000000"/>
            </w:tcBorders>
            <w:vAlign w:val="center"/>
          </w:tcPr>
          <w:p w14:paraId="6367763D"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Cadmium</w:t>
            </w:r>
          </w:p>
        </w:tc>
        <w:tc>
          <w:tcPr>
            <w:tcW w:w="3356" w:type="dxa"/>
            <w:tcBorders>
              <w:top w:val="single" w:sz="4" w:space="0" w:color="000000"/>
              <w:left w:val="single" w:sz="4" w:space="0" w:color="000000"/>
              <w:bottom w:val="single" w:sz="4" w:space="0" w:color="000000"/>
              <w:right w:val="double" w:sz="4" w:space="0" w:color="auto"/>
            </w:tcBorders>
            <w:vAlign w:val="center"/>
          </w:tcPr>
          <w:p w14:paraId="132FF780"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2</w:t>
            </w:r>
            <w:r w:rsidRPr="00FD516E">
              <w:rPr>
                <w:rFonts w:cs="Arial"/>
                <w:spacing w:val="-1"/>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0C7FAB33" w14:textId="77777777" w:rsidTr="00614D45">
        <w:trPr>
          <w:trHeight w:hRule="exact" w:val="324"/>
        </w:trPr>
        <w:tc>
          <w:tcPr>
            <w:tcW w:w="4474" w:type="dxa"/>
            <w:tcBorders>
              <w:top w:val="single" w:sz="4" w:space="0" w:color="000000"/>
              <w:left w:val="double" w:sz="4" w:space="0" w:color="auto"/>
              <w:bottom w:val="single" w:sz="4" w:space="0" w:color="000000"/>
              <w:right w:val="single" w:sz="4" w:space="0" w:color="000000"/>
            </w:tcBorders>
            <w:vAlign w:val="center"/>
          </w:tcPr>
          <w:p w14:paraId="76C616BF" w14:textId="77777777" w:rsidR="00145088" w:rsidRPr="00FD516E" w:rsidRDefault="00145088" w:rsidP="001D4671">
            <w:pPr>
              <w:widowControl/>
              <w:spacing w:before="35"/>
              <w:ind w:left="109" w:right="-20" w:firstLine="0"/>
              <w:jc w:val="left"/>
              <w:rPr>
                <w:rFonts w:cs="Arial"/>
                <w:sz w:val="18"/>
                <w:szCs w:val="18"/>
              </w:rPr>
            </w:pPr>
            <w:r w:rsidRPr="00FD516E">
              <w:rPr>
                <w:rFonts w:cs="Arial"/>
                <w:sz w:val="18"/>
                <w:szCs w:val="18"/>
              </w:rPr>
              <w:t>Chromium</w:t>
            </w:r>
          </w:p>
        </w:tc>
        <w:tc>
          <w:tcPr>
            <w:tcW w:w="3356" w:type="dxa"/>
            <w:tcBorders>
              <w:top w:val="single" w:sz="4" w:space="0" w:color="000000"/>
              <w:left w:val="single" w:sz="4" w:space="0" w:color="000000"/>
              <w:bottom w:val="single" w:sz="4" w:space="0" w:color="000000"/>
              <w:right w:val="double" w:sz="4" w:space="0" w:color="auto"/>
            </w:tcBorders>
            <w:vAlign w:val="center"/>
          </w:tcPr>
          <w:p w14:paraId="28638204" w14:textId="77777777" w:rsidR="00145088" w:rsidRPr="00FD516E" w:rsidRDefault="00145088" w:rsidP="00614D45">
            <w:pPr>
              <w:widowControl/>
              <w:spacing w:before="35"/>
              <w:ind w:left="720" w:right="-20" w:firstLine="0"/>
              <w:jc w:val="left"/>
              <w:rPr>
                <w:rFonts w:cs="Arial"/>
                <w:sz w:val="18"/>
                <w:szCs w:val="18"/>
              </w:rPr>
            </w:pPr>
            <w:r w:rsidRPr="00FD516E">
              <w:rPr>
                <w:rFonts w:cs="Arial"/>
                <w:sz w:val="18"/>
                <w:szCs w:val="18"/>
              </w:rPr>
              <w:t>10</w:t>
            </w:r>
            <w:r w:rsidRPr="00FD516E">
              <w:rPr>
                <w:rFonts w:cs="Arial"/>
                <w:spacing w:val="-2"/>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50867063" w14:textId="77777777" w:rsidTr="00614D45">
        <w:trPr>
          <w:trHeight w:hRule="exact" w:val="322"/>
        </w:trPr>
        <w:tc>
          <w:tcPr>
            <w:tcW w:w="4474" w:type="dxa"/>
            <w:tcBorders>
              <w:top w:val="single" w:sz="4" w:space="0" w:color="000000"/>
              <w:left w:val="double" w:sz="4" w:space="0" w:color="auto"/>
              <w:bottom w:val="single" w:sz="4" w:space="0" w:color="000000"/>
              <w:right w:val="single" w:sz="4" w:space="0" w:color="000000"/>
            </w:tcBorders>
            <w:vAlign w:val="center"/>
          </w:tcPr>
          <w:p w14:paraId="18D76B8B"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Chlorine</w:t>
            </w:r>
          </w:p>
        </w:tc>
        <w:tc>
          <w:tcPr>
            <w:tcW w:w="3356" w:type="dxa"/>
            <w:tcBorders>
              <w:top w:val="single" w:sz="4" w:space="0" w:color="000000"/>
              <w:left w:val="single" w:sz="4" w:space="0" w:color="000000"/>
              <w:bottom w:val="single" w:sz="4" w:space="0" w:color="000000"/>
              <w:right w:val="double" w:sz="4" w:space="0" w:color="auto"/>
            </w:tcBorders>
            <w:vAlign w:val="center"/>
          </w:tcPr>
          <w:p w14:paraId="1B4566D3"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500</w:t>
            </w:r>
            <w:r w:rsidRPr="00FD516E">
              <w:rPr>
                <w:rFonts w:cs="Arial"/>
                <w:spacing w:val="-4"/>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76C9E03E" w14:textId="77777777" w:rsidTr="00614D45">
        <w:trPr>
          <w:trHeight w:hRule="exact" w:val="324"/>
        </w:trPr>
        <w:tc>
          <w:tcPr>
            <w:tcW w:w="4474" w:type="dxa"/>
            <w:tcBorders>
              <w:top w:val="single" w:sz="4" w:space="0" w:color="000000"/>
              <w:left w:val="double" w:sz="4" w:space="0" w:color="auto"/>
              <w:bottom w:val="single" w:sz="4" w:space="0" w:color="000000"/>
              <w:right w:val="single" w:sz="4" w:space="0" w:color="000000"/>
            </w:tcBorders>
            <w:vAlign w:val="center"/>
          </w:tcPr>
          <w:p w14:paraId="50926799"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Lead</w:t>
            </w:r>
          </w:p>
        </w:tc>
        <w:tc>
          <w:tcPr>
            <w:tcW w:w="3356" w:type="dxa"/>
            <w:tcBorders>
              <w:top w:val="single" w:sz="4" w:space="0" w:color="000000"/>
              <w:left w:val="single" w:sz="4" w:space="0" w:color="000000"/>
              <w:bottom w:val="single" w:sz="4" w:space="0" w:color="000000"/>
              <w:right w:val="double" w:sz="4" w:space="0" w:color="auto"/>
            </w:tcBorders>
            <w:vAlign w:val="center"/>
          </w:tcPr>
          <w:p w14:paraId="1B9D260F"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100</w:t>
            </w:r>
            <w:r w:rsidRPr="00FD516E">
              <w:rPr>
                <w:rFonts w:cs="Arial"/>
                <w:spacing w:val="-4"/>
                <w:sz w:val="18"/>
                <w:szCs w:val="18"/>
              </w:rPr>
              <w:t xml:space="preserve"> </w:t>
            </w:r>
            <w:r w:rsidRPr="00FD516E">
              <w:rPr>
                <w:rFonts w:cs="Arial"/>
                <w:sz w:val="18"/>
                <w:szCs w:val="18"/>
              </w:rPr>
              <w:t>ppm</w:t>
            </w:r>
            <w:r w:rsidRPr="00FD516E">
              <w:rPr>
                <w:rFonts w:cs="Arial"/>
                <w:spacing w:val="-4"/>
                <w:sz w:val="18"/>
                <w:szCs w:val="18"/>
              </w:rPr>
              <w:t xml:space="preserve"> </w:t>
            </w:r>
            <w:r w:rsidRPr="00FD516E">
              <w:rPr>
                <w:rFonts w:cs="Arial"/>
                <w:sz w:val="18"/>
                <w:szCs w:val="18"/>
              </w:rPr>
              <w:t>maximum</w:t>
            </w:r>
          </w:p>
        </w:tc>
      </w:tr>
      <w:tr w:rsidR="00145088" w:rsidRPr="00FD516E" w14:paraId="48C91CFC" w14:textId="77777777" w:rsidTr="00614D45">
        <w:trPr>
          <w:trHeight w:hRule="exact" w:val="322"/>
        </w:trPr>
        <w:tc>
          <w:tcPr>
            <w:tcW w:w="4474" w:type="dxa"/>
            <w:tcBorders>
              <w:top w:val="single" w:sz="4" w:space="0" w:color="000000"/>
              <w:left w:val="double" w:sz="4" w:space="0" w:color="auto"/>
              <w:bottom w:val="single" w:sz="4" w:space="0" w:color="000000"/>
              <w:right w:val="single" w:sz="4" w:space="0" w:color="000000"/>
            </w:tcBorders>
            <w:vAlign w:val="center"/>
          </w:tcPr>
          <w:p w14:paraId="39AC9FB6"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Net</w:t>
            </w:r>
            <w:r w:rsidRPr="00FD516E">
              <w:rPr>
                <w:rFonts w:cs="Arial"/>
                <w:spacing w:val="-4"/>
                <w:sz w:val="18"/>
                <w:szCs w:val="18"/>
              </w:rPr>
              <w:t xml:space="preserve"> </w:t>
            </w:r>
            <w:r w:rsidRPr="00FD516E">
              <w:rPr>
                <w:rFonts w:cs="Arial"/>
                <w:sz w:val="18"/>
                <w:szCs w:val="18"/>
              </w:rPr>
              <w:t>Heat</w:t>
            </w:r>
            <w:r w:rsidRPr="00FD516E">
              <w:rPr>
                <w:rFonts w:cs="Arial"/>
                <w:spacing w:val="-5"/>
                <w:sz w:val="18"/>
                <w:szCs w:val="18"/>
              </w:rPr>
              <w:t xml:space="preserve"> </w:t>
            </w:r>
            <w:r w:rsidRPr="00FD516E">
              <w:rPr>
                <w:rFonts w:cs="Arial"/>
                <w:sz w:val="18"/>
                <w:szCs w:val="18"/>
              </w:rPr>
              <w:t>of</w:t>
            </w:r>
            <w:r w:rsidRPr="00FD516E">
              <w:rPr>
                <w:rFonts w:cs="Arial"/>
                <w:spacing w:val="-2"/>
                <w:sz w:val="18"/>
                <w:szCs w:val="18"/>
              </w:rPr>
              <w:t xml:space="preserve"> </w:t>
            </w:r>
            <w:r w:rsidRPr="00FD516E">
              <w:rPr>
                <w:rFonts w:cs="Arial"/>
                <w:sz w:val="18"/>
                <w:szCs w:val="18"/>
              </w:rPr>
              <w:t>Combustion</w:t>
            </w:r>
          </w:p>
        </w:tc>
        <w:tc>
          <w:tcPr>
            <w:tcW w:w="3356" w:type="dxa"/>
            <w:tcBorders>
              <w:top w:val="single" w:sz="4" w:space="0" w:color="000000"/>
              <w:left w:val="single" w:sz="4" w:space="0" w:color="000000"/>
              <w:bottom w:val="single" w:sz="4" w:space="0" w:color="000000"/>
              <w:right w:val="double" w:sz="4" w:space="0" w:color="auto"/>
            </w:tcBorders>
            <w:vAlign w:val="center"/>
          </w:tcPr>
          <w:p w14:paraId="2E77E641" w14:textId="77777777" w:rsidR="00145088" w:rsidRPr="00FD516E" w:rsidRDefault="00145088" w:rsidP="00614D45">
            <w:pPr>
              <w:widowControl/>
              <w:spacing w:before="33"/>
              <w:ind w:left="717" w:right="-20" w:firstLine="0"/>
              <w:jc w:val="left"/>
              <w:rPr>
                <w:rFonts w:cs="Arial"/>
                <w:sz w:val="18"/>
                <w:szCs w:val="18"/>
              </w:rPr>
            </w:pPr>
            <w:r w:rsidRPr="00FD516E">
              <w:rPr>
                <w:rFonts w:cs="Arial"/>
                <w:sz w:val="18"/>
                <w:szCs w:val="18"/>
              </w:rPr>
              <w:t>8000</w:t>
            </w:r>
            <w:r w:rsidRPr="00FD516E">
              <w:rPr>
                <w:rFonts w:cs="Arial"/>
                <w:spacing w:val="-5"/>
                <w:sz w:val="18"/>
                <w:szCs w:val="18"/>
              </w:rPr>
              <w:t xml:space="preserve"> </w:t>
            </w:r>
            <w:r w:rsidRPr="00FD516E">
              <w:rPr>
                <w:rFonts w:cs="Arial"/>
                <w:sz w:val="18"/>
                <w:szCs w:val="18"/>
              </w:rPr>
              <w:t>BTU/lb</w:t>
            </w:r>
            <w:r w:rsidRPr="00FD516E">
              <w:rPr>
                <w:rFonts w:cs="Arial"/>
                <w:spacing w:val="-7"/>
                <w:sz w:val="18"/>
                <w:szCs w:val="18"/>
              </w:rPr>
              <w:t xml:space="preserve"> </w:t>
            </w:r>
            <w:r w:rsidRPr="00FD516E">
              <w:rPr>
                <w:rFonts w:cs="Arial"/>
                <w:sz w:val="18"/>
                <w:szCs w:val="18"/>
              </w:rPr>
              <w:t>minimum</w:t>
            </w:r>
          </w:p>
        </w:tc>
      </w:tr>
      <w:tr w:rsidR="00145088" w:rsidRPr="00FD516E" w14:paraId="414A2FF4" w14:textId="77777777" w:rsidTr="00614D45">
        <w:trPr>
          <w:trHeight w:hRule="exact" w:val="332"/>
        </w:trPr>
        <w:tc>
          <w:tcPr>
            <w:tcW w:w="4474" w:type="dxa"/>
            <w:tcBorders>
              <w:top w:val="single" w:sz="4" w:space="0" w:color="000000"/>
              <w:left w:val="double" w:sz="4" w:space="0" w:color="auto"/>
              <w:bottom w:val="single" w:sz="12" w:space="0" w:color="000000"/>
              <w:right w:val="single" w:sz="4" w:space="0" w:color="000000"/>
            </w:tcBorders>
            <w:vAlign w:val="center"/>
          </w:tcPr>
          <w:p w14:paraId="6669D36D" w14:textId="77777777" w:rsidR="00145088" w:rsidRPr="00FD516E" w:rsidRDefault="00145088" w:rsidP="001D4671">
            <w:pPr>
              <w:widowControl/>
              <w:spacing w:before="33"/>
              <w:ind w:left="109" w:right="-20" w:firstLine="0"/>
              <w:jc w:val="left"/>
              <w:rPr>
                <w:rFonts w:cs="Arial"/>
                <w:sz w:val="18"/>
                <w:szCs w:val="18"/>
              </w:rPr>
            </w:pPr>
            <w:r w:rsidRPr="00FD516E">
              <w:rPr>
                <w:rFonts w:cs="Arial"/>
                <w:sz w:val="18"/>
                <w:szCs w:val="18"/>
              </w:rPr>
              <w:t>Flash</w:t>
            </w:r>
            <w:r w:rsidRPr="00FD516E">
              <w:rPr>
                <w:rFonts w:cs="Arial"/>
                <w:spacing w:val="-6"/>
                <w:sz w:val="18"/>
                <w:szCs w:val="18"/>
              </w:rPr>
              <w:t xml:space="preserve"> </w:t>
            </w:r>
            <w:r w:rsidRPr="00FD516E">
              <w:rPr>
                <w:rFonts w:cs="Arial"/>
                <w:sz w:val="18"/>
                <w:szCs w:val="18"/>
              </w:rPr>
              <w:t>Point</w:t>
            </w:r>
          </w:p>
        </w:tc>
        <w:tc>
          <w:tcPr>
            <w:tcW w:w="3356" w:type="dxa"/>
            <w:tcBorders>
              <w:top w:val="single" w:sz="4" w:space="0" w:color="000000"/>
              <w:left w:val="single" w:sz="4" w:space="0" w:color="000000"/>
              <w:bottom w:val="single" w:sz="12" w:space="0" w:color="000000"/>
              <w:right w:val="double" w:sz="4" w:space="0" w:color="auto"/>
            </w:tcBorders>
            <w:vAlign w:val="center"/>
          </w:tcPr>
          <w:p w14:paraId="04E0DB50" w14:textId="77777777" w:rsidR="00145088" w:rsidRPr="00FD516E" w:rsidRDefault="00145088" w:rsidP="00614D45">
            <w:pPr>
              <w:widowControl/>
              <w:spacing w:before="33"/>
              <w:ind w:left="720" w:right="-20" w:firstLine="0"/>
              <w:jc w:val="left"/>
              <w:rPr>
                <w:rFonts w:cs="Arial"/>
                <w:sz w:val="18"/>
                <w:szCs w:val="18"/>
              </w:rPr>
            </w:pPr>
            <w:r w:rsidRPr="00FD516E">
              <w:rPr>
                <w:rFonts w:cs="Arial"/>
                <w:sz w:val="18"/>
                <w:szCs w:val="18"/>
              </w:rPr>
              <w:t>140</w:t>
            </w:r>
            <w:r w:rsidRPr="00FD516E">
              <w:rPr>
                <w:rFonts w:cs="Arial"/>
                <w:spacing w:val="-4"/>
                <w:sz w:val="18"/>
                <w:szCs w:val="18"/>
              </w:rPr>
              <w:t xml:space="preserve"> </w:t>
            </w:r>
            <w:r w:rsidRPr="00FD516E">
              <w:rPr>
                <w:rFonts w:cs="Arial"/>
                <w:sz w:val="18"/>
                <w:szCs w:val="18"/>
              </w:rPr>
              <w:t>degrees</w:t>
            </w:r>
            <w:r w:rsidRPr="00FD516E">
              <w:rPr>
                <w:rFonts w:cs="Arial"/>
                <w:spacing w:val="-8"/>
                <w:sz w:val="18"/>
                <w:szCs w:val="18"/>
              </w:rPr>
              <w:t xml:space="preserve"> </w:t>
            </w:r>
            <w:r w:rsidRPr="00FD516E">
              <w:rPr>
                <w:rFonts w:cs="Arial"/>
                <w:sz w:val="18"/>
                <w:szCs w:val="18"/>
              </w:rPr>
              <w:t>F</w:t>
            </w:r>
            <w:r w:rsidRPr="00FD516E">
              <w:rPr>
                <w:rFonts w:cs="Arial"/>
                <w:spacing w:val="-1"/>
                <w:sz w:val="18"/>
                <w:szCs w:val="18"/>
              </w:rPr>
              <w:t xml:space="preserve"> </w:t>
            </w:r>
            <w:r w:rsidRPr="00FD516E">
              <w:rPr>
                <w:rFonts w:cs="Arial"/>
                <w:sz w:val="18"/>
                <w:szCs w:val="18"/>
              </w:rPr>
              <w:t>minimum</w:t>
            </w:r>
          </w:p>
        </w:tc>
      </w:tr>
      <w:tr w:rsidR="00145088" w:rsidRPr="00FD516E" w14:paraId="6AC948F7" w14:textId="77777777" w:rsidTr="00A80199">
        <w:trPr>
          <w:trHeight w:hRule="exact" w:val="504"/>
        </w:trPr>
        <w:tc>
          <w:tcPr>
            <w:tcW w:w="7830" w:type="dxa"/>
            <w:gridSpan w:val="2"/>
            <w:tcBorders>
              <w:top w:val="single" w:sz="12" w:space="0" w:color="000000"/>
              <w:left w:val="double" w:sz="4" w:space="0" w:color="auto"/>
              <w:bottom w:val="double" w:sz="4" w:space="0" w:color="auto"/>
              <w:right w:val="double" w:sz="4" w:space="0" w:color="auto"/>
            </w:tcBorders>
            <w:vAlign w:val="center"/>
          </w:tcPr>
          <w:p w14:paraId="561E7DB4" w14:textId="77777777" w:rsidR="00145088" w:rsidRPr="00FD516E" w:rsidRDefault="00145088" w:rsidP="001D4671">
            <w:pPr>
              <w:widowControl/>
              <w:spacing w:before="21" w:line="226" w:lineRule="exact"/>
              <w:ind w:left="100" w:right="62" w:firstLine="0"/>
              <w:jc w:val="left"/>
              <w:rPr>
                <w:rFonts w:cs="Arial"/>
                <w:sz w:val="18"/>
                <w:szCs w:val="18"/>
              </w:rPr>
            </w:pPr>
            <w:r w:rsidRPr="00FD516E">
              <w:rPr>
                <w:rFonts w:cs="Arial"/>
                <w:spacing w:val="-1"/>
                <w:w w:val="99"/>
                <w:position w:val="8"/>
                <w:sz w:val="18"/>
                <w:szCs w:val="18"/>
              </w:rPr>
              <w:t>1</w:t>
            </w:r>
            <w:r w:rsidRPr="00FD516E">
              <w:rPr>
                <w:rFonts w:cs="Arial"/>
                <w:w w:val="99"/>
                <w:sz w:val="18"/>
                <w:szCs w:val="18"/>
              </w:rPr>
              <w:t>Note:</w:t>
            </w:r>
            <w:r w:rsidRPr="00FD516E">
              <w:rPr>
                <w:rFonts w:cs="Arial"/>
                <w:spacing w:val="-76"/>
                <w:sz w:val="18"/>
                <w:szCs w:val="18"/>
              </w:rPr>
              <w:t xml:space="preserve"> </w:t>
            </w:r>
            <w:r w:rsidRPr="00FD516E">
              <w:rPr>
                <w:rFonts w:cs="Arial"/>
                <w:sz w:val="18"/>
                <w:szCs w:val="18"/>
              </w:rPr>
              <w:t>u</w:t>
            </w:r>
            <w:r w:rsidRPr="00FD516E">
              <w:rPr>
                <w:rFonts w:cs="Arial"/>
                <w:spacing w:val="1"/>
                <w:sz w:val="18"/>
                <w:szCs w:val="18"/>
              </w:rPr>
              <w:t>n</w:t>
            </w:r>
            <w:r w:rsidRPr="00FD516E">
              <w:rPr>
                <w:rFonts w:cs="Arial"/>
                <w:sz w:val="18"/>
                <w:szCs w:val="18"/>
              </w:rPr>
              <w:t>i</w:t>
            </w:r>
            <w:r w:rsidRPr="00FD516E">
              <w:rPr>
                <w:rFonts w:cs="Arial"/>
                <w:spacing w:val="1"/>
                <w:sz w:val="18"/>
                <w:szCs w:val="18"/>
              </w:rPr>
              <w:t>t</w:t>
            </w:r>
            <w:r w:rsidRPr="00FD516E">
              <w:rPr>
                <w:rFonts w:cs="Arial"/>
                <w:sz w:val="18"/>
                <w:szCs w:val="18"/>
              </w:rPr>
              <w:t>s</w:t>
            </w:r>
            <w:r w:rsidRPr="00FD516E">
              <w:rPr>
                <w:rFonts w:cs="Arial"/>
                <w:spacing w:val="25"/>
                <w:sz w:val="18"/>
                <w:szCs w:val="18"/>
              </w:rPr>
              <w:t xml:space="preserve"> </w:t>
            </w:r>
            <w:r w:rsidRPr="00FD516E">
              <w:rPr>
                <w:rFonts w:cs="Arial"/>
                <w:sz w:val="18"/>
                <w:szCs w:val="18"/>
              </w:rPr>
              <w:t>of</w:t>
            </w:r>
            <w:r w:rsidRPr="00FD516E">
              <w:rPr>
                <w:rFonts w:cs="Arial"/>
                <w:spacing w:val="30"/>
                <w:sz w:val="18"/>
                <w:szCs w:val="18"/>
              </w:rPr>
              <w:t xml:space="preserve"> </w:t>
            </w:r>
            <w:r w:rsidRPr="00FD516E">
              <w:rPr>
                <w:rFonts w:cs="Arial"/>
                <w:sz w:val="18"/>
                <w:szCs w:val="18"/>
              </w:rPr>
              <w:t>p</w:t>
            </w:r>
            <w:r w:rsidRPr="00FD516E">
              <w:rPr>
                <w:rFonts w:cs="Arial"/>
                <w:spacing w:val="1"/>
                <w:sz w:val="18"/>
                <w:szCs w:val="18"/>
              </w:rPr>
              <w:t>a</w:t>
            </w:r>
            <w:r w:rsidRPr="00FD516E">
              <w:rPr>
                <w:rFonts w:cs="Arial"/>
                <w:sz w:val="18"/>
                <w:szCs w:val="18"/>
              </w:rPr>
              <w:t>r</w:t>
            </w:r>
            <w:r w:rsidRPr="00FD516E">
              <w:rPr>
                <w:rFonts w:cs="Arial"/>
                <w:spacing w:val="1"/>
                <w:sz w:val="18"/>
                <w:szCs w:val="18"/>
              </w:rPr>
              <w:t>t</w:t>
            </w:r>
            <w:r w:rsidRPr="00FD516E">
              <w:rPr>
                <w:rFonts w:cs="Arial"/>
                <w:sz w:val="18"/>
                <w:szCs w:val="18"/>
              </w:rPr>
              <w:t>s</w:t>
            </w:r>
            <w:r w:rsidRPr="00FD516E">
              <w:rPr>
                <w:rFonts w:cs="Arial"/>
                <w:spacing w:val="25"/>
                <w:sz w:val="18"/>
                <w:szCs w:val="18"/>
              </w:rPr>
              <w:t xml:space="preserve"> </w:t>
            </w:r>
            <w:r w:rsidRPr="00FD516E">
              <w:rPr>
                <w:rFonts w:cs="Arial"/>
                <w:sz w:val="18"/>
                <w:szCs w:val="18"/>
              </w:rPr>
              <w:t>p</w:t>
            </w:r>
            <w:r w:rsidRPr="00FD516E">
              <w:rPr>
                <w:rFonts w:cs="Arial"/>
                <w:spacing w:val="1"/>
                <w:sz w:val="18"/>
                <w:szCs w:val="18"/>
              </w:rPr>
              <w:t>e</w:t>
            </w:r>
            <w:r w:rsidRPr="00FD516E">
              <w:rPr>
                <w:rFonts w:cs="Arial"/>
                <w:sz w:val="18"/>
                <w:szCs w:val="18"/>
              </w:rPr>
              <w:t>r</w:t>
            </w:r>
            <w:r w:rsidRPr="00FD516E">
              <w:rPr>
                <w:rFonts w:cs="Arial"/>
                <w:spacing w:val="27"/>
                <w:sz w:val="18"/>
                <w:szCs w:val="18"/>
              </w:rPr>
              <w:t xml:space="preserve"> </w:t>
            </w:r>
            <w:r w:rsidRPr="00FD516E">
              <w:rPr>
                <w:rFonts w:cs="Arial"/>
                <w:sz w:val="18"/>
                <w:szCs w:val="18"/>
              </w:rPr>
              <w:t>m</w:t>
            </w:r>
            <w:r w:rsidRPr="00FD516E">
              <w:rPr>
                <w:rFonts w:cs="Arial"/>
                <w:spacing w:val="1"/>
                <w:sz w:val="18"/>
                <w:szCs w:val="18"/>
              </w:rPr>
              <w:t>i</w:t>
            </w:r>
            <w:r w:rsidRPr="00FD516E">
              <w:rPr>
                <w:rFonts w:cs="Arial"/>
                <w:sz w:val="18"/>
                <w:szCs w:val="18"/>
              </w:rPr>
              <w:t>l</w:t>
            </w:r>
            <w:r w:rsidRPr="00FD516E">
              <w:rPr>
                <w:rFonts w:cs="Arial"/>
                <w:spacing w:val="1"/>
                <w:sz w:val="18"/>
                <w:szCs w:val="18"/>
              </w:rPr>
              <w:t>l</w:t>
            </w:r>
            <w:r w:rsidRPr="00FD516E">
              <w:rPr>
                <w:rFonts w:cs="Arial"/>
                <w:sz w:val="18"/>
                <w:szCs w:val="18"/>
              </w:rPr>
              <w:t>i</w:t>
            </w:r>
            <w:r w:rsidRPr="00FD516E">
              <w:rPr>
                <w:rFonts w:cs="Arial"/>
                <w:spacing w:val="1"/>
                <w:sz w:val="18"/>
                <w:szCs w:val="18"/>
              </w:rPr>
              <w:t>o</w:t>
            </w:r>
            <w:r w:rsidRPr="00FD516E">
              <w:rPr>
                <w:rFonts w:cs="Arial"/>
                <w:sz w:val="18"/>
                <w:szCs w:val="18"/>
              </w:rPr>
              <w:t>n</w:t>
            </w:r>
            <w:r w:rsidRPr="00FD516E">
              <w:rPr>
                <w:rFonts w:cs="Arial"/>
                <w:spacing w:val="23"/>
                <w:sz w:val="18"/>
                <w:szCs w:val="18"/>
              </w:rPr>
              <w:t xml:space="preserve"> </w:t>
            </w:r>
            <w:r w:rsidRPr="00FD516E">
              <w:rPr>
                <w:rFonts w:cs="Arial"/>
                <w:sz w:val="18"/>
                <w:szCs w:val="18"/>
              </w:rPr>
              <w:t>(</w:t>
            </w:r>
            <w:r w:rsidRPr="00FD516E">
              <w:rPr>
                <w:rFonts w:cs="Arial"/>
                <w:spacing w:val="1"/>
                <w:sz w:val="18"/>
                <w:szCs w:val="18"/>
              </w:rPr>
              <w:t>p</w:t>
            </w:r>
            <w:r w:rsidRPr="00FD516E">
              <w:rPr>
                <w:rFonts w:cs="Arial"/>
                <w:sz w:val="18"/>
                <w:szCs w:val="18"/>
              </w:rPr>
              <w:t>p</w:t>
            </w:r>
            <w:r w:rsidRPr="00FD516E">
              <w:rPr>
                <w:rFonts w:cs="Arial"/>
                <w:spacing w:val="1"/>
                <w:sz w:val="18"/>
                <w:szCs w:val="18"/>
              </w:rPr>
              <w:t>m</w:t>
            </w:r>
            <w:r w:rsidRPr="00FD516E">
              <w:rPr>
                <w:rFonts w:cs="Arial"/>
                <w:sz w:val="18"/>
                <w:szCs w:val="18"/>
              </w:rPr>
              <w:t>)</w:t>
            </w:r>
            <w:r w:rsidRPr="00FD516E">
              <w:rPr>
                <w:rFonts w:cs="Arial"/>
                <w:spacing w:val="25"/>
                <w:sz w:val="18"/>
                <w:szCs w:val="18"/>
              </w:rPr>
              <w:t xml:space="preserve"> </w:t>
            </w:r>
            <w:r w:rsidRPr="00FD516E">
              <w:rPr>
                <w:rFonts w:cs="Arial"/>
                <w:sz w:val="18"/>
                <w:szCs w:val="18"/>
              </w:rPr>
              <w:t>a</w:t>
            </w:r>
            <w:r w:rsidRPr="00FD516E">
              <w:rPr>
                <w:rFonts w:cs="Arial"/>
                <w:spacing w:val="1"/>
                <w:sz w:val="18"/>
                <w:szCs w:val="18"/>
              </w:rPr>
              <w:t>r</w:t>
            </w:r>
            <w:r w:rsidRPr="00FD516E">
              <w:rPr>
                <w:rFonts w:cs="Arial"/>
                <w:sz w:val="18"/>
                <w:szCs w:val="18"/>
              </w:rPr>
              <w:t>e</w:t>
            </w:r>
            <w:r w:rsidRPr="00FD516E">
              <w:rPr>
                <w:rFonts w:cs="Arial"/>
                <w:spacing w:val="27"/>
                <w:sz w:val="18"/>
                <w:szCs w:val="18"/>
              </w:rPr>
              <w:t xml:space="preserve"> </w:t>
            </w:r>
            <w:r w:rsidRPr="00FD516E">
              <w:rPr>
                <w:rFonts w:cs="Arial"/>
                <w:sz w:val="18"/>
                <w:szCs w:val="18"/>
              </w:rPr>
              <w:t>by</w:t>
            </w:r>
            <w:r w:rsidRPr="00FD516E">
              <w:rPr>
                <w:rFonts w:cs="Arial"/>
                <w:spacing w:val="30"/>
                <w:sz w:val="18"/>
                <w:szCs w:val="18"/>
              </w:rPr>
              <w:t xml:space="preserve"> </w:t>
            </w:r>
            <w:r w:rsidRPr="00FD516E">
              <w:rPr>
                <w:rFonts w:cs="Arial"/>
                <w:sz w:val="18"/>
                <w:szCs w:val="18"/>
              </w:rPr>
              <w:t>w</w:t>
            </w:r>
            <w:r w:rsidRPr="00FD516E">
              <w:rPr>
                <w:rFonts w:cs="Arial"/>
                <w:spacing w:val="1"/>
                <w:sz w:val="18"/>
                <w:szCs w:val="18"/>
              </w:rPr>
              <w:t>e</w:t>
            </w:r>
            <w:r w:rsidRPr="00FD516E">
              <w:rPr>
                <w:rFonts w:cs="Arial"/>
                <w:sz w:val="18"/>
                <w:szCs w:val="18"/>
              </w:rPr>
              <w:t>i</w:t>
            </w:r>
            <w:r w:rsidRPr="00FD516E">
              <w:rPr>
                <w:rFonts w:cs="Arial"/>
                <w:spacing w:val="1"/>
                <w:sz w:val="18"/>
                <w:szCs w:val="18"/>
              </w:rPr>
              <w:t>g</w:t>
            </w:r>
            <w:r w:rsidRPr="00FD516E">
              <w:rPr>
                <w:rFonts w:cs="Arial"/>
                <w:sz w:val="18"/>
                <w:szCs w:val="18"/>
              </w:rPr>
              <w:t>ht</w:t>
            </w:r>
            <w:r w:rsidRPr="00FD516E">
              <w:rPr>
                <w:rFonts w:cs="Arial"/>
                <w:spacing w:val="25"/>
                <w:sz w:val="18"/>
                <w:szCs w:val="18"/>
              </w:rPr>
              <w:t xml:space="preserve"> </w:t>
            </w:r>
            <w:r w:rsidRPr="00FD516E">
              <w:rPr>
                <w:rFonts w:cs="Arial"/>
                <w:sz w:val="18"/>
                <w:szCs w:val="18"/>
              </w:rPr>
              <w:t>on</w:t>
            </w:r>
            <w:r w:rsidRPr="00FD516E">
              <w:rPr>
                <w:rFonts w:cs="Arial"/>
                <w:spacing w:val="30"/>
                <w:sz w:val="18"/>
                <w:szCs w:val="18"/>
              </w:rPr>
              <w:t xml:space="preserve"> </w:t>
            </w:r>
            <w:r w:rsidRPr="00FD516E">
              <w:rPr>
                <w:rFonts w:cs="Arial"/>
                <w:sz w:val="18"/>
                <w:szCs w:val="18"/>
              </w:rPr>
              <w:t>a</w:t>
            </w:r>
            <w:r w:rsidRPr="00FD516E">
              <w:rPr>
                <w:rFonts w:cs="Arial"/>
                <w:spacing w:val="-2"/>
                <w:sz w:val="18"/>
                <w:szCs w:val="18"/>
              </w:rPr>
              <w:t xml:space="preserve"> </w:t>
            </w:r>
            <w:r w:rsidRPr="00FD516E">
              <w:rPr>
                <w:rFonts w:cs="Arial"/>
                <w:sz w:val="18"/>
                <w:szCs w:val="18"/>
              </w:rPr>
              <w:t>water</w:t>
            </w:r>
            <w:r w:rsidRPr="00FD516E">
              <w:rPr>
                <w:rFonts w:cs="Arial"/>
                <w:spacing w:val="-6"/>
                <w:sz w:val="18"/>
                <w:szCs w:val="18"/>
              </w:rPr>
              <w:t xml:space="preserve"> </w:t>
            </w:r>
            <w:r w:rsidRPr="00FD516E">
              <w:rPr>
                <w:rFonts w:cs="Arial"/>
                <w:sz w:val="18"/>
                <w:szCs w:val="18"/>
              </w:rPr>
              <w:t>free</w:t>
            </w:r>
            <w:r w:rsidRPr="00FD516E">
              <w:rPr>
                <w:rFonts w:cs="Arial"/>
                <w:spacing w:val="-5"/>
                <w:sz w:val="18"/>
                <w:szCs w:val="18"/>
              </w:rPr>
              <w:t xml:space="preserve"> </w:t>
            </w:r>
            <w:r w:rsidRPr="00FD516E">
              <w:rPr>
                <w:rFonts w:cs="Arial"/>
                <w:sz w:val="18"/>
                <w:szCs w:val="18"/>
              </w:rPr>
              <w:t>basis.</w:t>
            </w:r>
          </w:p>
        </w:tc>
      </w:tr>
    </w:tbl>
    <w:p w14:paraId="47011F1F" w14:textId="77777777" w:rsidR="00145088" w:rsidRPr="00FD516E" w:rsidRDefault="00145088" w:rsidP="00145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809B50C" w14:textId="60869A5C" w:rsidR="00B94D67" w:rsidRPr="00FD516E" w:rsidRDefault="000C43EC" w:rsidP="000C43EC">
      <w:pPr>
        <w:ind w:left="720" w:firstLine="0"/>
        <w:rPr>
          <w:rFonts w:cs="Arial"/>
          <w:szCs w:val="22"/>
        </w:rPr>
      </w:pPr>
      <w:r w:rsidRPr="00FD516E">
        <w:rPr>
          <w:rFonts w:cs="Arial"/>
          <w:szCs w:val="22"/>
        </w:rPr>
        <w:t xml:space="preserve">The </w:t>
      </w:r>
      <w:r w:rsidR="007B6E6F" w:rsidRPr="00FD516E">
        <w:rPr>
          <w:rFonts w:cs="Arial"/>
          <w:szCs w:val="22"/>
        </w:rPr>
        <w:t xml:space="preserve">used </w:t>
      </w:r>
      <w:r w:rsidRPr="00FD516E">
        <w:rPr>
          <w:rFonts w:cs="Arial"/>
          <w:szCs w:val="22"/>
        </w:rPr>
        <w:t>oil furnace</w:t>
      </w:r>
      <w:r w:rsidR="007B6E6F" w:rsidRPr="00FD516E">
        <w:rPr>
          <w:rFonts w:cs="Arial"/>
          <w:szCs w:val="22"/>
        </w:rPr>
        <w:t>s</w:t>
      </w:r>
      <w:r w:rsidRPr="00FD516E">
        <w:rPr>
          <w:rFonts w:cs="Arial"/>
          <w:szCs w:val="22"/>
        </w:rPr>
        <w:t xml:space="preserve"> at the </w:t>
      </w:r>
      <w:r w:rsidR="007B671A" w:rsidRPr="00FD516E">
        <w:rPr>
          <w:rFonts w:cs="Arial"/>
          <w:szCs w:val="22"/>
        </w:rPr>
        <w:t xml:space="preserve">Landfill Operation </w:t>
      </w:r>
      <w:r w:rsidR="007B6E6F" w:rsidRPr="00FD516E">
        <w:rPr>
          <w:rFonts w:cs="Arial"/>
          <w:szCs w:val="22"/>
        </w:rPr>
        <w:t xml:space="preserve">are </w:t>
      </w:r>
      <w:r w:rsidRPr="00FD516E">
        <w:rPr>
          <w:rFonts w:cs="Arial"/>
          <w:szCs w:val="22"/>
        </w:rPr>
        <w:t xml:space="preserve">subject to these standards for burning </w:t>
      </w:r>
      <w:r w:rsidR="007B6E6F" w:rsidRPr="00FD516E">
        <w:rPr>
          <w:rFonts w:cs="Arial"/>
          <w:szCs w:val="22"/>
        </w:rPr>
        <w:t xml:space="preserve">used </w:t>
      </w:r>
      <w:r w:rsidRPr="00FD516E">
        <w:rPr>
          <w:rFonts w:cs="Arial"/>
          <w:szCs w:val="22"/>
        </w:rPr>
        <w:t xml:space="preserve">oil. </w:t>
      </w:r>
      <w:r w:rsidR="00B94D67" w:rsidRPr="00FD516E">
        <w:rPr>
          <w:rFonts w:cs="Arial"/>
          <w:szCs w:val="22"/>
        </w:rPr>
        <w:t>The heat input rating of the furnace</w:t>
      </w:r>
      <w:r w:rsidR="007B6E6F" w:rsidRPr="00FD516E">
        <w:rPr>
          <w:rFonts w:cs="Arial"/>
          <w:szCs w:val="22"/>
        </w:rPr>
        <w:t>s</w:t>
      </w:r>
      <w:r w:rsidR="00B94D67" w:rsidRPr="00FD516E">
        <w:rPr>
          <w:rFonts w:cs="Arial"/>
          <w:szCs w:val="22"/>
        </w:rPr>
        <w:t xml:space="preserve"> is less than the maximum 500,000 MMBtu heat input rating for this type of equipment and a permit condition will require that </w:t>
      </w:r>
      <w:r w:rsidR="007B6E6F" w:rsidRPr="00FD516E">
        <w:rPr>
          <w:rFonts w:cs="Arial"/>
          <w:szCs w:val="22"/>
        </w:rPr>
        <w:t xml:space="preserve">used </w:t>
      </w:r>
      <w:r w:rsidR="00B94D67" w:rsidRPr="00FD516E">
        <w:rPr>
          <w:rFonts w:cs="Arial"/>
          <w:szCs w:val="22"/>
        </w:rPr>
        <w:t>oil burned in the furnace</w:t>
      </w:r>
      <w:r w:rsidR="007B6E6F" w:rsidRPr="00FD516E">
        <w:rPr>
          <w:rFonts w:cs="Arial"/>
          <w:szCs w:val="22"/>
        </w:rPr>
        <w:t>s</w:t>
      </w:r>
      <w:r w:rsidR="00B94D67" w:rsidRPr="00FD516E">
        <w:rPr>
          <w:rFonts w:cs="Arial"/>
          <w:szCs w:val="22"/>
        </w:rPr>
        <w:t xml:space="preserve"> will comply with the limitations for </w:t>
      </w:r>
      <w:r w:rsidR="007B6E6F" w:rsidRPr="00FD516E">
        <w:rPr>
          <w:rFonts w:cs="Arial"/>
          <w:szCs w:val="22"/>
        </w:rPr>
        <w:t xml:space="preserve">used </w:t>
      </w:r>
      <w:r w:rsidR="00B94D67" w:rsidRPr="00FD516E">
        <w:rPr>
          <w:rFonts w:cs="Arial"/>
          <w:szCs w:val="22"/>
        </w:rPr>
        <w:t xml:space="preserve">oil presented in Table A.  </w:t>
      </w:r>
    </w:p>
    <w:p w14:paraId="3FACF3D3" w14:textId="77777777" w:rsidR="00B94D67" w:rsidRPr="00FD516E" w:rsidRDefault="00B94D67" w:rsidP="00B94D67">
      <w:pPr>
        <w:ind w:left="0" w:firstLine="0"/>
        <w:rPr>
          <w:rFonts w:cs="Arial"/>
          <w:szCs w:val="22"/>
        </w:rPr>
      </w:pPr>
    </w:p>
    <w:p w14:paraId="1113B79D" w14:textId="17735C69" w:rsidR="000C43EC" w:rsidRPr="00FD516E" w:rsidRDefault="000C43EC" w:rsidP="000C43EC">
      <w:pPr>
        <w:ind w:left="720" w:firstLine="0"/>
        <w:rPr>
          <w:rFonts w:cs="Arial"/>
          <w:szCs w:val="22"/>
        </w:rPr>
      </w:pPr>
      <w:r w:rsidRPr="00FD516E">
        <w:rPr>
          <w:rFonts w:cs="Arial"/>
          <w:szCs w:val="22"/>
        </w:rPr>
        <w:t>Based on the information available to the Agency, the Facility is currently in compliance with this regulation</w:t>
      </w:r>
      <w:r w:rsidR="002D4A4A" w:rsidRPr="00FD516E">
        <w:rPr>
          <w:rFonts w:cs="Arial"/>
          <w:szCs w:val="22"/>
        </w:rPr>
        <w:t xml:space="preserve">.  </w:t>
      </w:r>
    </w:p>
    <w:p w14:paraId="00E679BA" w14:textId="77777777" w:rsidR="003E19E1" w:rsidRPr="00FD516E" w:rsidRDefault="003E19E1" w:rsidP="000219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E416198" w14:textId="136EB335" w:rsidR="0050560E" w:rsidRPr="00FD516E" w:rsidRDefault="00963D63"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iCs/>
          <w:szCs w:val="22"/>
        </w:rPr>
      </w:pPr>
      <w:r w:rsidRPr="00FD516E">
        <w:rPr>
          <w:rFonts w:cs="Arial"/>
          <w:b/>
          <w:bCs/>
          <w:szCs w:val="22"/>
        </w:rPr>
        <w:t>§5-231(2) - Prohibition of Particulate Matter; Incinerator Emissions</w:t>
      </w:r>
      <w:r w:rsidRPr="00FD516E">
        <w:rPr>
          <w:rFonts w:cs="Arial"/>
          <w:bCs/>
          <w:szCs w:val="22"/>
        </w:rPr>
        <w:t xml:space="preserve">.  </w:t>
      </w:r>
      <w:r w:rsidRPr="00FD516E">
        <w:rPr>
          <w:rFonts w:cs="Arial"/>
          <w:szCs w:val="22"/>
        </w:rPr>
        <w:t xml:space="preserve">An </w:t>
      </w:r>
      <w:r w:rsidRPr="00FD516E">
        <w:rPr>
          <w:rFonts w:cs="Arial"/>
          <w:i/>
          <w:iCs/>
          <w:szCs w:val="22"/>
        </w:rPr>
        <w:t>"Incinerator</w:t>
      </w:r>
      <w:r w:rsidRPr="00FD516E">
        <w:rPr>
          <w:rFonts w:cs="Arial"/>
          <w:iCs/>
          <w:szCs w:val="22"/>
        </w:rPr>
        <w:t xml:space="preserve">" is defined in </w:t>
      </w:r>
      <w:r w:rsidRPr="00FD516E">
        <w:rPr>
          <w:rFonts w:cs="Arial"/>
          <w:bCs/>
          <w:iCs/>
          <w:szCs w:val="22"/>
        </w:rPr>
        <w:t>§</w:t>
      </w:r>
      <w:r w:rsidRPr="00FD516E">
        <w:rPr>
          <w:rFonts w:cs="Arial"/>
          <w:iCs/>
          <w:szCs w:val="22"/>
        </w:rPr>
        <w:t xml:space="preserve">5-101 of the Regulations as “any structure or furnace in which combustion takes place, the primary purpose of which is the reduction in volume and weight of an unwanted material.”  </w:t>
      </w:r>
      <w:r w:rsidR="0050560E" w:rsidRPr="00FD516E">
        <w:rPr>
          <w:rFonts w:cs="Arial"/>
          <w:iCs/>
          <w:szCs w:val="22"/>
        </w:rPr>
        <w:t xml:space="preserve">The landfill utility flares may be considered such a device.  </w:t>
      </w:r>
      <w:r w:rsidR="006A7B74" w:rsidRPr="00FD516E">
        <w:rPr>
          <w:rFonts w:cs="Arial"/>
          <w:iCs/>
          <w:szCs w:val="22"/>
        </w:rPr>
        <w:t xml:space="preserve">The </w:t>
      </w:r>
      <w:r w:rsidR="002D0237" w:rsidRPr="00FD516E">
        <w:rPr>
          <w:rFonts w:cs="Arial"/>
          <w:iCs/>
          <w:szCs w:val="22"/>
        </w:rPr>
        <w:t xml:space="preserve">CAT </w:t>
      </w:r>
      <w:r w:rsidR="006A7B74" w:rsidRPr="00FD516E">
        <w:rPr>
          <w:rFonts w:cs="Arial"/>
          <w:iCs/>
          <w:szCs w:val="22"/>
        </w:rPr>
        <w:t xml:space="preserve">3520C LE engines at the </w:t>
      </w:r>
      <w:r w:rsidR="007B671A" w:rsidRPr="00FD516E">
        <w:rPr>
          <w:rFonts w:cs="Arial"/>
          <w:iCs/>
          <w:szCs w:val="22"/>
        </w:rPr>
        <w:t xml:space="preserve">LFGTE Operation </w:t>
      </w:r>
      <w:r w:rsidR="006A7B74" w:rsidRPr="00FD516E">
        <w:rPr>
          <w:rFonts w:cs="Arial"/>
          <w:iCs/>
          <w:szCs w:val="22"/>
        </w:rPr>
        <w:t xml:space="preserve">are used to produce power, and accordingly are not regulated as incinerators in accordance with </w:t>
      </w:r>
      <w:r w:rsidR="006A7B74" w:rsidRPr="00FD516E">
        <w:rPr>
          <w:rFonts w:cs="Arial"/>
          <w:bCs/>
          <w:iCs/>
          <w:szCs w:val="22"/>
        </w:rPr>
        <w:t xml:space="preserve">§5-231(2)(d).  </w:t>
      </w:r>
    </w:p>
    <w:p w14:paraId="6A32BB3D" w14:textId="77777777" w:rsidR="00014263" w:rsidRPr="00FD516E" w:rsidRDefault="00014263" w:rsidP="006B72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iCs/>
          <w:szCs w:val="22"/>
        </w:rPr>
      </w:pPr>
    </w:p>
    <w:p w14:paraId="37461324" w14:textId="74B70142" w:rsidR="00014263" w:rsidRPr="00FD516E" w:rsidRDefault="006B725E"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iCs/>
          <w:szCs w:val="22"/>
        </w:rPr>
      </w:pPr>
      <w:r w:rsidRPr="00FD516E">
        <w:rPr>
          <w:rFonts w:cs="Arial"/>
          <w:iCs/>
          <w:szCs w:val="22"/>
        </w:rPr>
        <w:t xml:space="preserve">PM emission limits for incinerators with a charging rate of less than 50 tons per </w:t>
      </w:r>
      <w:r w:rsidR="001969EC" w:rsidRPr="00FD516E">
        <w:rPr>
          <w:rFonts w:cs="Arial"/>
          <w:iCs/>
          <w:szCs w:val="22"/>
        </w:rPr>
        <w:t xml:space="preserve">day </w:t>
      </w:r>
      <w:r w:rsidRPr="00FD516E">
        <w:rPr>
          <w:rFonts w:cs="Arial"/>
          <w:iCs/>
          <w:szCs w:val="22"/>
        </w:rPr>
        <w:t xml:space="preserve">are defined </w:t>
      </w:r>
      <w:r w:rsidRPr="00FD516E">
        <w:rPr>
          <w:rFonts w:cs="Arial"/>
          <w:bCs/>
          <w:iCs/>
          <w:szCs w:val="22"/>
        </w:rPr>
        <w:t>§5-231(2)(a), and this limit is 0.1 pounds of PM per 100 pounds of refuse burnt</w:t>
      </w:r>
      <w:r w:rsidR="006A7B74" w:rsidRPr="00FD516E">
        <w:rPr>
          <w:rFonts w:cs="Arial"/>
          <w:bCs/>
          <w:iCs/>
          <w:szCs w:val="22"/>
        </w:rPr>
        <w:t xml:space="preserve"> (0.001 lb PM/pound refuse combusted)</w:t>
      </w:r>
      <w:r w:rsidRPr="00FD516E">
        <w:rPr>
          <w:rFonts w:cs="Arial"/>
          <w:bCs/>
          <w:iCs/>
          <w:szCs w:val="22"/>
        </w:rPr>
        <w:t xml:space="preserve">.  Incinerators with a charging rate of greater than 50 tons per </w:t>
      </w:r>
      <w:r w:rsidR="001969EC" w:rsidRPr="00FD516E">
        <w:rPr>
          <w:rFonts w:cs="Arial"/>
          <w:bCs/>
          <w:iCs/>
          <w:szCs w:val="22"/>
        </w:rPr>
        <w:t xml:space="preserve">day </w:t>
      </w:r>
      <w:r w:rsidRPr="00FD516E">
        <w:rPr>
          <w:rFonts w:cs="Arial"/>
          <w:bCs/>
          <w:iCs/>
          <w:szCs w:val="22"/>
        </w:rPr>
        <w:t xml:space="preserve">are limited to </w:t>
      </w:r>
      <w:r w:rsidRPr="00FD516E">
        <w:rPr>
          <w:rFonts w:cs="Arial"/>
          <w:bCs/>
          <w:i/>
          <w:iCs/>
          <w:szCs w:val="22"/>
        </w:rPr>
        <w:t xml:space="preserve">emissions </w:t>
      </w:r>
      <w:r w:rsidRPr="00FD516E">
        <w:rPr>
          <w:rFonts w:cs="Arial"/>
          <w:bCs/>
          <w:iCs/>
          <w:szCs w:val="22"/>
        </w:rPr>
        <w:t xml:space="preserve">of </w:t>
      </w:r>
      <w:r w:rsidRPr="00FD516E">
        <w:rPr>
          <w:rFonts w:cs="Arial"/>
          <w:bCs/>
          <w:i/>
          <w:iCs/>
          <w:szCs w:val="22"/>
        </w:rPr>
        <w:t xml:space="preserve">particulate matter </w:t>
      </w:r>
      <w:r w:rsidRPr="00FD516E">
        <w:rPr>
          <w:rFonts w:cs="Arial"/>
          <w:bCs/>
          <w:iCs/>
          <w:szCs w:val="22"/>
        </w:rPr>
        <w:t xml:space="preserve">not exceeding 0.08 grains per dry standard cubic foot corrected to 12 percent carbon dioxide.   </w:t>
      </w:r>
    </w:p>
    <w:p w14:paraId="0EAA8F29" w14:textId="77777777" w:rsidR="00ED2E88" w:rsidRPr="00FD516E" w:rsidRDefault="00ED2E88">
      <w:pPr>
        <w:widowControl/>
        <w:autoSpaceDE/>
        <w:autoSpaceDN/>
        <w:adjustRightInd/>
        <w:ind w:left="0" w:firstLine="0"/>
        <w:jc w:val="left"/>
        <w:rPr>
          <w:rFonts w:cs="Arial"/>
          <w:iCs/>
          <w:szCs w:val="22"/>
        </w:rPr>
      </w:pPr>
    </w:p>
    <w:p w14:paraId="7B64B74E" w14:textId="4ABB33BF" w:rsidR="00ED2E88" w:rsidRPr="00FD516E" w:rsidRDefault="00ED2E88">
      <w:pPr>
        <w:widowControl/>
        <w:autoSpaceDE/>
        <w:autoSpaceDN/>
        <w:adjustRightInd/>
        <w:ind w:left="0" w:firstLine="0"/>
        <w:jc w:val="left"/>
        <w:rPr>
          <w:rFonts w:cs="Arial"/>
          <w:iCs/>
          <w:szCs w:val="22"/>
        </w:rPr>
      </w:pPr>
      <w:r w:rsidRPr="00FD516E">
        <w:rPr>
          <w:rFonts w:cs="Arial"/>
          <w:iCs/>
          <w:szCs w:val="22"/>
        </w:rPr>
        <w:br w:type="page"/>
      </w:r>
    </w:p>
    <w:p w14:paraId="5AF93DAB" w14:textId="3C24AA2B" w:rsidR="006A7B74" w:rsidRPr="00FD516E" w:rsidRDefault="0050560E"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iCs/>
          <w:szCs w:val="22"/>
        </w:rPr>
      </w:pPr>
      <w:r w:rsidRPr="00FD516E">
        <w:rPr>
          <w:rFonts w:cs="Arial"/>
          <w:iCs/>
          <w:szCs w:val="22"/>
        </w:rPr>
        <w:lastRenderedPageBreak/>
        <w:t xml:space="preserve">The estimated </w:t>
      </w:r>
      <w:r w:rsidR="00014263" w:rsidRPr="00FD516E">
        <w:rPr>
          <w:rFonts w:cs="Arial"/>
          <w:iCs/>
          <w:szCs w:val="22"/>
        </w:rPr>
        <w:t xml:space="preserve">LFG </w:t>
      </w:r>
      <w:r w:rsidRPr="00FD516E">
        <w:rPr>
          <w:rFonts w:cs="Arial"/>
          <w:iCs/>
          <w:szCs w:val="22"/>
        </w:rPr>
        <w:t>mass flowrate</w:t>
      </w:r>
      <w:r w:rsidR="00014263" w:rsidRPr="00FD516E">
        <w:rPr>
          <w:rFonts w:cs="Arial"/>
          <w:iCs/>
          <w:szCs w:val="22"/>
        </w:rPr>
        <w:t xml:space="preserve"> (assuming 50 percent CH</w:t>
      </w:r>
      <w:r w:rsidR="00014263" w:rsidRPr="00FD516E">
        <w:rPr>
          <w:rFonts w:cs="Arial"/>
          <w:iCs/>
          <w:szCs w:val="22"/>
          <w:vertAlign w:val="subscript"/>
        </w:rPr>
        <w:t>4</w:t>
      </w:r>
      <w:r w:rsidR="00014263" w:rsidRPr="00FD516E">
        <w:rPr>
          <w:rFonts w:cs="Arial"/>
          <w:iCs/>
          <w:szCs w:val="22"/>
        </w:rPr>
        <w:t>, 38 percent CO</w:t>
      </w:r>
      <w:r w:rsidR="00014263" w:rsidRPr="00FD516E">
        <w:rPr>
          <w:rFonts w:cs="Arial"/>
          <w:iCs/>
          <w:szCs w:val="22"/>
          <w:vertAlign w:val="subscript"/>
        </w:rPr>
        <w:t>2</w:t>
      </w:r>
      <w:r w:rsidR="00014263" w:rsidRPr="00FD516E">
        <w:rPr>
          <w:rFonts w:cs="Arial"/>
          <w:iCs/>
          <w:szCs w:val="22"/>
        </w:rPr>
        <w:t>, and 12 percent N)</w:t>
      </w:r>
      <w:r w:rsidRPr="00FD516E">
        <w:rPr>
          <w:rFonts w:cs="Arial"/>
          <w:iCs/>
          <w:szCs w:val="22"/>
        </w:rPr>
        <w:t xml:space="preserve"> to the two flares</w:t>
      </w:r>
      <w:r w:rsidR="006A7B74" w:rsidRPr="00FD516E">
        <w:rPr>
          <w:rFonts w:cs="Arial"/>
          <w:iCs/>
          <w:szCs w:val="22"/>
        </w:rPr>
        <w:t xml:space="preserve"> for a flowrate of </w:t>
      </w:r>
      <w:r w:rsidR="00014263" w:rsidRPr="00FD516E">
        <w:rPr>
          <w:rFonts w:cs="Arial"/>
          <w:iCs/>
          <w:szCs w:val="22"/>
        </w:rPr>
        <w:t xml:space="preserve">5,000 scfm of </w:t>
      </w:r>
      <w:r w:rsidR="006A7B74" w:rsidRPr="00FD516E">
        <w:rPr>
          <w:rFonts w:cs="Arial"/>
          <w:iCs/>
          <w:szCs w:val="22"/>
        </w:rPr>
        <w:t>LFG is</w:t>
      </w:r>
      <w:r w:rsidR="00014263" w:rsidRPr="00FD516E">
        <w:rPr>
          <w:rFonts w:cs="Arial"/>
          <w:iCs/>
          <w:szCs w:val="22"/>
        </w:rPr>
        <w:t xml:space="preserve"> approximately 21,000 pounds per hour, or approximately 10.5 tons per hour</w:t>
      </w:r>
      <w:r w:rsidRPr="00FD516E">
        <w:rPr>
          <w:rFonts w:cs="Arial"/>
          <w:iCs/>
          <w:szCs w:val="22"/>
        </w:rPr>
        <w:t xml:space="preserve"> </w:t>
      </w:r>
      <w:r w:rsidR="00014263" w:rsidRPr="00FD516E">
        <w:rPr>
          <w:rFonts w:cs="Arial"/>
          <w:iCs/>
          <w:szCs w:val="22"/>
        </w:rPr>
        <w:t xml:space="preserve">total for the two flares.  </w:t>
      </w:r>
      <w:r w:rsidR="006B725E" w:rsidRPr="00FD516E">
        <w:rPr>
          <w:rFonts w:cs="Arial"/>
          <w:iCs/>
          <w:szCs w:val="22"/>
        </w:rPr>
        <w:t>Accordingly, t</w:t>
      </w:r>
      <w:r w:rsidR="00014263" w:rsidRPr="00FD516E">
        <w:rPr>
          <w:rFonts w:cs="Arial"/>
          <w:iCs/>
          <w:szCs w:val="22"/>
        </w:rPr>
        <w:t>he LFG flowrate through each flare would be approximately 5.8 tons per hour</w:t>
      </w:r>
      <w:r w:rsidR="006A7B74" w:rsidRPr="00FD516E">
        <w:rPr>
          <w:rFonts w:cs="Arial"/>
          <w:iCs/>
          <w:szCs w:val="22"/>
        </w:rPr>
        <w:t xml:space="preserve">, which is </w:t>
      </w:r>
      <w:r w:rsidR="00BB433F" w:rsidRPr="00FD516E">
        <w:rPr>
          <w:rFonts w:cs="Arial"/>
          <w:iCs/>
          <w:szCs w:val="22"/>
        </w:rPr>
        <w:t>greater</w:t>
      </w:r>
      <w:r w:rsidR="006A7B74" w:rsidRPr="00FD516E">
        <w:rPr>
          <w:rFonts w:cs="Arial"/>
          <w:iCs/>
          <w:szCs w:val="22"/>
        </w:rPr>
        <w:t xml:space="preserve"> than 50 tons per </w:t>
      </w:r>
      <w:r w:rsidR="00BB433F" w:rsidRPr="00FD516E">
        <w:rPr>
          <w:rFonts w:cs="Arial"/>
          <w:iCs/>
          <w:szCs w:val="22"/>
        </w:rPr>
        <w:t>day</w:t>
      </w:r>
      <w:r w:rsidR="00014263" w:rsidRPr="00FD516E">
        <w:rPr>
          <w:rFonts w:cs="Arial"/>
          <w:iCs/>
          <w:szCs w:val="22"/>
        </w:rPr>
        <w:t xml:space="preserve">.  </w:t>
      </w:r>
      <w:r w:rsidR="006B725E" w:rsidRPr="00FD516E">
        <w:rPr>
          <w:rFonts w:cs="Arial"/>
          <w:iCs/>
          <w:szCs w:val="22"/>
        </w:rPr>
        <w:t>PM emissions from both flares at the emission limit of 17 lb/MMcf of CH</w:t>
      </w:r>
      <w:r w:rsidR="006B725E" w:rsidRPr="00FD516E">
        <w:rPr>
          <w:rFonts w:cs="Arial"/>
          <w:iCs/>
          <w:szCs w:val="22"/>
          <w:vertAlign w:val="subscript"/>
        </w:rPr>
        <w:t>4</w:t>
      </w:r>
      <w:r w:rsidR="006B725E" w:rsidRPr="00FD516E">
        <w:rPr>
          <w:rFonts w:cs="Arial"/>
          <w:iCs/>
          <w:szCs w:val="22"/>
        </w:rPr>
        <w:t xml:space="preserve"> at a flowrate of 5,000 scfm are </w:t>
      </w:r>
      <w:r w:rsidR="00C20C04" w:rsidRPr="00FD516E">
        <w:rPr>
          <w:rFonts w:cs="Arial"/>
          <w:iCs/>
          <w:szCs w:val="22"/>
        </w:rPr>
        <w:t xml:space="preserve">estimated to be </w:t>
      </w:r>
      <w:r w:rsidR="006A7B74" w:rsidRPr="00FD516E">
        <w:rPr>
          <w:rFonts w:cs="Arial"/>
          <w:iCs/>
          <w:szCs w:val="22"/>
        </w:rPr>
        <w:t xml:space="preserve">2.55 pounds per hour, </w:t>
      </w:r>
      <w:r w:rsidR="00AD708C" w:rsidRPr="00FD516E">
        <w:rPr>
          <w:rFonts w:cs="Arial"/>
          <w:iCs/>
          <w:szCs w:val="22"/>
        </w:rPr>
        <w:t xml:space="preserve">and flare emissions have been estimated to be approximately 55,000 scfm.  This would result in </w:t>
      </w:r>
      <w:r w:rsidR="006A7B74" w:rsidRPr="00FD516E">
        <w:rPr>
          <w:rFonts w:cs="Arial"/>
          <w:iCs/>
          <w:szCs w:val="22"/>
        </w:rPr>
        <w:t>an emission rate of</w:t>
      </w:r>
      <w:r w:rsidR="00AD708C" w:rsidRPr="00FD516E">
        <w:rPr>
          <w:rFonts w:cs="Arial"/>
          <w:iCs/>
          <w:szCs w:val="22"/>
        </w:rPr>
        <w:t xml:space="preserve"> </w:t>
      </w:r>
      <w:r w:rsidR="00BB433F" w:rsidRPr="00FD516E">
        <w:rPr>
          <w:rFonts w:cs="Arial"/>
          <w:iCs/>
          <w:szCs w:val="22"/>
        </w:rPr>
        <w:t xml:space="preserve">approximately </w:t>
      </w:r>
      <w:r w:rsidR="00AD708C" w:rsidRPr="00FD516E">
        <w:rPr>
          <w:rFonts w:cs="Arial"/>
          <w:iCs/>
          <w:szCs w:val="22"/>
        </w:rPr>
        <w:t xml:space="preserve">0.05 </w:t>
      </w:r>
      <w:r w:rsidR="00BB433F" w:rsidRPr="00FD516E">
        <w:rPr>
          <w:rFonts w:cs="Arial"/>
          <w:iCs/>
          <w:szCs w:val="22"/>
        </w:rPr>
        <w:t>gr/dscf of exhaust gas</w:t>
      </w:r>
      <w:r w:rsidR="006A7B74" w:rsidRPr="00FD516E">
        <w:rPr>
          <w:rFonts w:cs="Arial"/>
          <w:iCs/>
          <w:szCs w:val="22"/>
        </w:rPr>
        <w:t xml:space="preserve">.  Accordingly, the emissions from the flares are anticipated to comply with this regulation. </w:t>
      </w:r>
    </w:p>
    <w:p w14:paraId="2218E2D3" w14:textId="77777777" w:rsidR="00963D63" w:rsidRPr="00FD516E" w:rsidRDefault="00963D63" w:rsidP="00963D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bCs/>
          <w:szCs w:val="22"/>
        </w:rPr>
      </w:pPr>
    </w:p>
    <w:p w14:paraId="24D87444" w14:textId="77777777" w:rsidR="005E20C5" w:rsidRPr="00FD516E" w:rsidRDefault="005E20C5" w:rsidP="007867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 xml:space="preserve">§5-231(3)(a) - Prohibition of Particulate Matter; Combustion Contaminants.  </w:t>
      </w:r>
      <w:r w:rsidRPr="00FD516E">
        <w:rPr>
          <w:rFonts w:cs="Arial"/>
          <w:szCs w:val="22"/>
        </w:rPr>
        <w:t xml:space="preserve">"A </w:t>
      </w:r>
      <w:r w:rsidRPr="00FD516E">
        <w:rPr>
          <w:rFonts w:cs="Arial"/>
          <w:i/>
          <w:iCs/>
          <w:szCs w:val="22"/>
        </w:rPr>
        <w:t>person</w:t>
      </w:r>
      <w:r w:rsidRPr="00FD516E">
        <w:rPr>
          <w:rFonts w:cs="Arial"/>
          <w:szCs w:val="22"/>
        </w:rPr>
        <w:t xml:space="preserve"> shall not discharge, cause, suffer, allow or permit the </w:t>
      </w:r>
      <w:r w:rsidRPr="00FD516E">
        <w:rPr>
          <w:rFonts w:cs="Arial"/>
          <w:i/>
          <w:iCs/>
          <w:szCs w:val="22"/>
        </w:rPr>
        <w:t>emission</w:t>
      </w:r>
      <w:r w:rsidRPr="00FD516E">
        <w:rPr>
          <w:rFonts w:cs="Arial"/>
          <w:szCs w:val="22"/>
        </w:rPr>
        <w:t xml:space="preserve"> of </w:t>
      </w:r>
      <w:r w:rsidRPr="00FD516E">
        <w:rPr>
          <w:rFonts w:cs="Arial"/>
          <w:i/>
          <w:iCs/>
          <w:szCs w:val="22"/>
        </w:rPr>
        <w:t>particulate matter</w:t>
      </w:r>
      <w:r w:rsidRPr="00FD516E">
        <w:rPr>
          <w:rFonts w:cs="Arial"/>
          <w:szCs w:val="22"/>
        </w:rPr>
        <w:t xml:space="preserve"> caused by the combustion of </w:t>
      </w:r>
      <w:r w:rsidRPr="00FD516E">
        <w:rPr>
          <w:rFonts w:cs="Arial"/>
          <w:i/>
          <w:iCs/>
          <w:szCs w:val="22"/>
        </w:rPr>
        <w:t>fossil fuel</w:t>
      </w:r>
      <w:r w:rsidRPr="00FD516E">
        <w:rPr>
          <w:rFonts w:cs="Arial"/>
          <w:szCs w:val="22"/>
        </w:rPr>
        <w:t xml:space="preserve"> in </w:t>
      </w:r>
      <w:r w:rsidRPr="00FD516E">
        <w:rPr>
          <w:rFonts w:cs="Arial"/>
          <w:i/>
          <w:iCs/>
          <w:szCs w:val="22"/>
        </w:rPr>
        <w:t>fuel burning equipment</w:t>
      </w:r>
      <w:r w:rsidRPr="00FD516E">
        <w:rPr>
          <w:rFonts w:cs="Arial"/>
          <w:szCs w:val="22"/>
        </w:rPr>
        <w:t xml:space="preserve"> from any </w:t>
      </w:r>
      <w:r w:rsidRPr="00FD516E">
        <w:rPr>
          <w:rFonts w:cs="Arial"/>
          <w:i/>
          <w:iCs/>
          <w:szCs w:val="22"/>
        </w:rPr>
        <w:t>stack</w:t>
      </w:r>
      <w:r w:rsidRPr="00FD516E">
        <w:rPr>
          <w:rFonts w:cs="Arial"/>
          <w:szCs w:val="22"/>
        </w:rPr>
        <w:t xml:space="preserve"> or chimney </w:t>
      </w:r>
      <w:proofErr w:type="gramStart"/>
      <w:r w:rsidRPr="00FD516E">
        <w:rPr>
          <w:rFonts w:cs="Arial"/>
          <w:szCs w:val="22"/>
        </w:rPr>
        <w:t>in excess of</w:t>
      </w:r>
      <w:proofErr w:type="gramEnd"/>
      <w:r w:rsidRPr="00FD516E">
        <w:rPr>
          <w:rFonts w:cs="Arial"/>
          <w:szCs w:val="22"/>
        </w:rPr>
        <w:t xml:space="preserve"> the following </w:t>
      </w:r>
      <w:r w:rsidRPr="00FD516E">
        <w:rPr>
          <w:rFonts w:cs="Arial"/>
          <w:i/>
          <w:iCs/>
          <w:szCs w:val="22"/>
        </w:rPr>
        <w:t>emission</w:t>
      </w:r>
      <w:r w:rsidRPr="00FD516E">
        <w:rPr>
          <w:rFonts w:cs="Arial"/>
          <w:szCs w:val="22"/>
        </w:rPr>
        <w:t xml:space="preserve"> limits:</w:t>
      </w:r>
    </w:p>
    <w:p w14:paraId="1EF1282D"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49F12AA"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2160" w:hanging="720"/>
        <w:rPr>
          <w:rFonts w:cs="Arial"/>
          <w:szCs w:val="22"/>
        </w:rPr>
      </w:pPr>
      <w:r w:rsidRPr="00FD516E">
        <w:rPr>
          <w:rFonts w:cs="Arial"/>
          <w:szCs w:val="22"/>
        </w:rPr>
        <w:t>(</w:t>
      </w:r>
      <w:proofErr w:type="spellStart"/>
      <w:r w:rsidRPr="00FD516E">
        <w:rPr>
          <w:rFonts w:cs="Arial"/>
          <w:szCs w:val="22"/>
        </w:rPr>
        <w:t>i</w:t>
      </w:r>
      <w:proofErr w:type="spellEnd"/>
      <w:r w:rsidRPr="00FD516E">
        <w:rPr>
          <w:rFonts w:cs="Arial"/>
          <w:szCs w:val="22"/>
        </w:rPr>
        <w:t>)</w:t>
      </w:r>
      <w:r w:rsidRPr="00FD516E">
        <w:rPr>
          <w:rFonts w:cs="Arial"/>
          <w:szCs w:val="22"/>
        </w:rPr>
        <w:tab/>
        <w:t xml:space="preserve">0.5 pounds per hour per million BTUs of </w:t>
      </w:r>
      <w:r w:rsidRPr="00FD516E">
        <w:rPr>
          <w:rFonts w:cs="Arial"/>
          <w:i/>
          <w:iCs/>
          <w:szCs w:val="22"/>
        </w:rPr>
        <w:t>heat input</w:t>
      </w:r>
      <w:r w:rsidRPr="00FD516E">
        <w:rPr>
          <w:rFonts w:cs="Arial"/>
          <w:szCs w:val="22"/>
        </w:rPr>
        <w:t xml:space="preserve"> in combustion installations where the </w:t>
      </w:r>
      <w:r w:rsidRPr="00FD516E">
        <w:rPr>
          <w:rFonts w:cs="Arial"/>
          <w:i/>
          <w:iCs/>
          <w:szCs w:val="22"/>
        </w:rPr>
        <w:t>heat input</w:t>
      </w:r>
      <w:r w:rsidRPr="00FD516E">
        <w:rPr>
          <w:rFonts w:cs="Arial"/>
          <w:szCs w:val="22"/>
        </w:rPr>
        <w:t xml:space="preserve"> is 10 million BTUs or less per hour.</w:t>
      </w:r>
    </w:p>
    <w:p w14:paraId="059BCA75"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4B2994C"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2160" w:hanging="720"/>
        <w:rPr>
          <w:rFonts w:cs="Arial"/>
          <w:szCs w:val="22"/>
        </w:rPr>
      </w:pPr>
      <w:r w:rsidRPr="00FD516E">
        <w:rPr>
          <w:rFonts w:cs="Arial"/>
          <w:szCs w:val="22"/>
        </w:rPr>
        <w:t>(ii)</w:t>
      </w:r>
      <w:r w:rsidRPr="00FD516E">
        <w:rPr>
          <w:rFonts w:cs="Arial"/>
          <w:szCs w:val="22"/>
        </w:rPr>
        <w:tab/>
        <w:t xml:space="preserve">For combustion installations where the </w:t>
      </w:r>
      <w:r w:rsidRPr="00FD516E">
        <w:rPr>
          <w:rFonts w:cs="Arial"/>
          <w:i/>
          <w:iCs/>
          <w:szCs w:val="22"/>
        </w:rPr>
        <w:t>heat input</w:t>
      </w:r>
      <w:r w:rsidRPr="00FD516E">
        <w:rPr>
          <w:rFonts w:cs="Arial"/>
          <w:szCs w:val="22"/>
        </w:rPr>
        <w:t xml:space="preserve"> is greater than 10 million BTUs per hour, but where the </w:t>
      </w:r>
      <w:r w:rsidRPr="00FD516E">
        <w:rPr>
          <w:rFonts w:cs="Arial"/>
          <w:i/>
          <w:iCs/>
          <w:szCs w:val="22"/>
        </w:rPr>
        <w:t>heat input</w:t>
      </w:r>
      <w:r w:rsidRPr="00FD516E">
        <w:rPr>
          <w:rFonts w:cs="Arial"/>
          <w:szCs w:val="22"/>
        </w:rPr>
        <w:t xml:space="preserve"> is equal to or less than 250 million BTUs per hour, the applicable limit is determined by using the following formula:</w:t>
      </w:r>
    </w:p>
    <w:p w14:paraId="12AFCFF1"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7DC90BBE" w14:textId="707F4723" w:rsidR="005E20C5" w:rsidRPr="00FD516E" w:rsidRDefault="000C4308" w:rsidP="00BF5A8D">
      <w:pPr>
        <w:framePr w:w="9124" w:hSpace="240" w:vSpace="240" w:wrap="auto" w:vAnchor="text" w:hAnchor="margin" w:x="119" w:y="7"/>
        <w:pBdr>
          <w:top w:val="single" w:sz="6" w:space="0" w:color="FFFFFF"/>
          <w:left w:val="single" w:sz="6" w:space="0" w:color="FFFFFF"/>
          <w:bottom w:val="single" w:sz="6" w:space="0" w:color="FFFFFF"/>
          <w:right w:val="single" w:sz="6" w:space="0" w:color="FFFFFF"/>
        </w:pBdr>
        <w:jc w:val="center"/>
        <w:rPr>
          <w:rFonts w:cs="Arial"/>
          <w:szCs w:val="22"/>
        </w:rPr>
      </w:pPr>
      <w:r w:rsidRPr="00FD516E">
        <w:rPr>
          <w:rFonts w:cs="Arial"/>
          <w:position w:val="-10"/>
          <w:szCs w:val="22"/>
        </w:rPr>
        <w:object w:dxaOrig="2680" w:dyaOrig="360" w14:anchorId="53EC4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1.75pt" o:ole="">
            <v:imagedata r:id="rId12" o:title=""/>
          </v:shape>
          <o:OLEObject Type="Embed" ProgID="Equation.3" ShapeID="_x0000_i1025" DrawAspect="Content" ObjectID="_1593930440" r:id="rId13"/>
        </w:object>
      </w:r>
    </w:p>
    <w:p w14:paraId="24D464E5"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2160"/>
        <w:rPr>
          <w:rFonts w:cs="Arial"/>
          <w:szCs w:val="22"/>
        </w:rPr>
      </w:pPr>
      <w:r w:rsidRPr="00FD516E">
        <w:rPr>
          <w:rFonts w:cs="Arial"/>
          <w:szCs w:val="22"/>
        </w:rPr>
        <w:t>where:</w:t>
      </w:r>
    </w:p>
    <w:p w14:paraId="032F7C30"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FBBEC7E"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2880" w:hanging="720"/>
        <w:rPr>
          <w:rFonts w:cs="Arial"/>
          <w:szCs w:val="22"/>
        </w:rPr>
      </w:pPr>
      <w:r w:rsidRPr="00FD516E">
        <w:rPr>
          <w:rFonts w:cs="Arial"/>
          <w:szCs w:val="22"/>
        </w:rPr>
        <w:t>E</w:t>
      </w:r>
      <w:r w:rsidRPr="00FD516E">
        <w:rPr>
          <w:rFonts w:cs="Arial"/>
          <w:szCs w:val="22"/>
          <w:vertAlign w:val="subscript"/>
        </w:rPr>
        <w:t>PM</w:t>
      </w:r>
      <w:r w:rsidRPr="00FD516E">
        <w:rPr>
          <w:rFonts w:cs="Arial"/>
          <w:szCs w:val="22"/>
        </w:rPr>
        <w:t xml:space="preserve"> -</w:t>
      </w:r>
      <w:r w:rsidRPr="00FD516E">
        <w:rPr>
          <w:rFonts w:cs="Arial"/>
          <w:szCs w:val="22"/>
        </w:rPr>
        <w:tab/>
        <w:t xml:space="preserve">is the </w:t>
      </w:r>
      <w:r w:rsidRPr="00FD516E">
        <w:rPr>
          <w:rFonts w:cs="Arial"/>
          <w:i/>
          <w:iCs/>
          <w:szCs w:val="22"/>
        </w:rPr>
        <w:t>particulate matter</w:t>
      </w:r>
      <w:r w:rsidRPr="00FD516E">
        <w:rPr>
          <w:rFonts w:cs="Arial"/>
          <w:szCs w:val="22"/>
        </w:rPr>
        <w:t xml:space="preserve"> </w:t>
      </w:r>
      <w:r w:rsidRPr="00FD516E">
        <w:rPr>
          <w:rFonts w:cs="Arial"/>
          <w:i/>
          <w:iCs/>
          <w:szCs w:val="22"/>
        </w:rPr>
        <w:t>emission</w:t>
      </w:r>
      <w:r w:rsidRPr="00FD516E">
        <w:rPr>
          <w:rFonts w:cs="Arial"/>
          <w:szCs w:val="22"/>
        </w:rPr>
        <w:t xml:space="preserve"> limit, expressed to the nearest hundredth pound per hour per million BTUs; and</w:t>
      </w:r>
    </w:p>
    <w:p w14:paraId="776C7A4F"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179D260F"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2880" w:hanging="720"/>
        <w:rPr>
          <w:rFonts w:cs="Arial"/>
          <w:szCs w:val="22"/>
        </w:rPr>
      </w:pPr>
      <w:r w:rsidRPr="00FD516E">
        <w:rPr>
          <w:rFonts w:cs="Arial"/>
          <w:szCs w:val="22"/>
        </w:rPr>
        <w:t>HI -</w:t>
      </w:r>
      <w:r w:rsidRPr="00FD516E">
        <w:rPr>
          <w:rFonts w:cs="Arial"/>
          <w:szCs w:val="22"/>
        </w:rPr>
        <w:tab/>
        <w:t xml:space="preserve">is the </w:t>
      </w:r>
      <w:r w:rsidRPr="00FD516E">
        <w:rPr>
          <w:rFonts w:cs="Arial"/>
          <w:i/>
          <w:iCs/>
          <w:szCs w:val="22"/>
        </w:rPr>
        <w:t>heat input</w:t>
      </w:r>
      <w:r w:rsidRPr="00FD516E">
        <w:rPr>
          <w:rFonts w:cs="Arial"/>
          <w:szCs w:val="22"/>
        </w:rPr>
        <w:t xml:space="preserve"> in millions of BTUs per hour."</w:t>
      </w:r>
    </w:p>
    <w:p w14:paraId="02C9BC95"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cs="Arial"/>
          <w:szCs w:val="22"/>
        </w:rPr>
      </w:pPr>
    </w:p>
    <w:p w14:paraId="10545D46" w14:textId="77777777" w:rsidR="005E20C5" w:rsidRPr="00FD516E" w:rsidRDefault="005E20C5" w:rsidP="00836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Compliance with this emission standard shall be determined in accordance with 40 CFR, Part 60, Appendix A, Reference Method 5 or an alternative method approved in writing by the Agency.</w:t>
      </w:r>
    </w:p>
    <w:p w14:paraId="0F8B024E"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82E57E8" w14:textId="34284B75" w:rsidR="00F24C97" w:rsidRPr="00FD516E" w:rsidRDefault="005E20C5" w:rsidP="00AC2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This emission standard applies to the</w:t>
      </w:r>
      <w:r w:rsidR="00440801" w:rsidRPr="00FD516E">
        <w:rPr>
          <w:rFonts w:cs="Arial"/>
          <w:szCs w:val="22"/>
        </w:rPr>
        <w:t xml:space="preserve"> No. 2 fuel oil and </w:t>
      </w:r>
      <w:r w:rsidR="007B6E6F" w:rsidRPr="00FD516E">
        <w:rPr>
          <w:rFonts w:cs="Arial"/>
          <w:szCs w:val="22"/>
        </w:rPr>
        <w:t xml:space="preserve">used </w:t>
      </w:r>
      <w:r w:rsidR="00440801" w:rsidRPr="00FD516E">
        <w:rPr>
          <w:rFonts w:cs="Arial"/>
          <w:szCs w:val="22"/>
        </w:rPr>
        <w:t>oil fired heating units</w:t>
      </w:r>
      <w:r w:rsidR="002927C7" w:rsidRPr="00FD516E">
        <w:rPr>
          <w:rFonts w:cs="Arial"/>
          <w:szCs w:val="22"/>
        </w:rPr>
        <w:t>, and the emergency generator</w:t>
      </w:r>
      <w:r w:rsidR="00440801" w:rsidRPr="00FD516E">
        <w:rPr>
          <w:rFonts w:cs="Arial"/>
          <w:szCs w:val="22"/>
        </w:rPr>
        <w:t xml:space="preserve"> at the Facility, which have a heat input of less than 10 MMBtu/hr, and consequently an emission limitation of 0.5 pounds per hour per MMBtu of heat input</w:t>
      </w:r>
      <w:r w:rsidR="0092254A" w:rsidRPr="00FD516E">
        <w:rPr>
          <w:rFonts w:cs="Arial"/>
          <w:szCs w:val="22"/>
        </w:rPr>
        <w:t xml:space="preserve"> will apply to these heating units.</w:t>
      </w:r>
      <w:r w:rsidR="00440801" w:rsidRPr="00FD516E">
        <w:rPr>
          <w:rFonts w:cs="Arial"/>
          <w:szCs w:val="22"/>
        </w:rPr>
        <w:t xml:space="preserve">   </w:t>
      </w:r>
    </w:p>
    <w:p w14:paraId="5B82C87F" w14:textId="77777777" w:rsidR="00F24C97" w:rsidRPr="00FD516E" w:rsidRDefault="00F24C97" w:rsidP="00F24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2E41378" w14:textId="08E38F5D" w:rsidR="005E20C5" w:rsidRPr="00FD516E" w:rsidRDefault="00440801" w:rsidP="00AC2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Agency has previously determined that the utility flares and </w:t>
      </w:r>
      <w:r w:rsidR="002927C7" w:rsidRPr="00FD516E">
        <w:rPr>
          <w:rFonts w:cs="Arial"/>
          <w:szCs w:val="22"/>
        </w:rPr>
        <w:t xml:space="preserve">CAT </w:t>
      </w:r>
      <w:r w:rsidRPr="00FD516E">
        <w:rPr>
          <w:rFonts w:cs="Arial"/>
          <w:szCs w:val="22"/>
        </w:rPr>
        <w:t xml:space="preserve">G3520C engines at the Facility are not subject to this requirement, as LFG is not a </w:t>
      </w:r>
      <w:r w:rsidRPr="00FD516E">
        <w:rPr>
          <w:rFonts w:cs="Arial"/>
          <w:i/>
          <w:szCs w:val="22"/>
        </w:rPr>
        <w:t>fossil fuel</w:t>
      </w:r>
      <w:r w:rsidRPr="00FD516E">
        <w:rPr>
          <w:rFonts w:cs="Arial"/>
          <w:szCs w:val="22"/>
        </w:rPr>
        <w:t xml:space="preserve">, and the Facility is shielded from this requirement.  </w:t>
      </w:r>
    </w:p>
    <w:p w14:paraId="5592ABAE" w14:textId="77777777" w:rsidR="00ED2E88" w:rsidRPr="00FD516E" w:rsidRDefault="00ED2E88">
      <w:pPr>
        <w:widowControl/>
        <w:autoSpaceDE/>
        <w:autoSpaceDN/>
        <w:adjustRightInd/>
        <w:ind w:left="0" w:firstLine="0"/>
        <w:jc w:val="left"/>
        <w:rPr>
          <w:rFonts w:cs="Arial"/>
          <w:szCs w:val="22"/>
        </w:rPr>
      </w:pPr>
    </w:p>
    <w:p w14:paraId="2CC1F4F0" w14:textId="5F3B7944" w:rsidR="00ED2E88" w:rsidRPr="00FD516E" w:rsidRDefault="00ED2E88">
      <w:pPr>
        <w:widowControl/>
        <w:autoSpaceDE/>
        <w:autoSpaceDN/>
        <w:adjustRightInd/>
        <w:ind w:left="0" w:firstLine="0"/>
        <w:jc w:val="left"/>
        <w:rPr>
          <w:rFonts w:cs="Arial"/>
          <w:szCs w:val="22"/>
        </w:rPr>
      </w:pPr>
      <w:r w:rsidRPr="00FD516E">
        <w:rPr>
          <w:rFonts w:cs="Arial"/>
          <w:szCs w:val="22"/>
        </w:rPr>
        <w:br w:type="page"/>
      </w:r>
    </w:p>
    <w:p w14:paraId="27DE58DB" w14:textId="77777777" w:rsidR="005E20C5" w:rsidRPr="00FD516E" w:rsidRDefault="005E20C5" w:rsidP="001329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lastRenderedPageBreak/>
        <w:t xml:space="preserve">§5-231(4) - Prohibition of Particulate Matter; Fugitive Particulate Matter.  </w:t>
      </w:r>
      <w:r w:rsidRPr="00FD516E">
        <w:rPr>
          <w:rFonts w:cs="Arial"/>
          <w:szCs w:val="22"/>
        </w:rPr>
        <w:t xml:space="preserve">."A </w:t>
      </w:r>
      <w:r w:rsidRPr="00FD516E">
        <w:rPr>
          <w:rFonts w:cs="Arial"/>
          <w:i/>
          <w:iCs/>
          <w:szCs w:val="22"/>
        </w:rPr>
        <w:t>person</w:t>
      </w:r>
      <w:r w:rsidRPr="00FD516E">
        <w:rPr>
          <w:rFonts w:cs="Arial"/>
          <w:szCs w:val="22"/>
        </w:rPr>
        <w:t xml:space="preserve"> shall not cause, suffer, allow, or permit any process operation to operate that is not equipped with a </w:t>
      </w:r>
      <w:r w:rsidRPr="00FD516E">
        <w:rPr>
          <w:rFonts w:cs="Arial"/>
          <w:i/>
          <w:iCs/>
          <w:szCs w:val="22"/>
        </w:rPr>
        <w:t>fugitive particulate matter</w:t>
      </w:r>
      <w:r w:rsidRPr="00FD516E">
        <w:rPr>
          <w:rFonts w:cs="Arial"/>
          <w:szCs w:val="22"/>
        </w:rPr>
        <w:t xml:space="preserve"> control system.  A </w:t>
      </w:r>
      <w:r w:rsidRPr="00FD516E">
        <w:rPr>
          <w:rFonts w:cs="Arial"/>
          <w:i/>
          <w:iCs/>
          <w:szCs w:val="22"/>
        </w:rPr>
        <w:t>person</w:t>
      </w:r>
      <w:r w:rsidRPr="00FD516E">
        <w:rPr>
          <w:rFonts w:cs="Arial"/>
          <w:szCs w:val="22"/>
        </w:rPr>
        <w:t xml:space="preserve"> shall not cause, suffer, allow, or permit any materials to be handled, transported, or stored; or a building, its appurtenances, or a road to be used, constructed, altered, repaired or demolished without taking reasonable precautions to prevent </w:t>
      </w:r>
      <w:r w:rsidRPr="00FD516E">
        <w:rPr>
          <w:rFonts w:cs="Arial"/>
          <w:i/>
          <w:iCs/>
          <w:szCs w:val="22"/>
        </w:rPr>
        <w:t>particulate matter</w:t>
      </w:r>
      <w:r w:rsidRPr="00FD516E">
        <w:rPr>
          <w:rFonts w:cs="Arial"/>
          <w:szCs w:val="22"/>
        </w:rPr>
        <w:t xml:space="preserve"> from becoming airborne.  Public roads will not be subject to this section unless a public nuisance is created."</w:t>
      </w:r>
    </w:p>
    <w:p w14:paraId="18038FD8" w14:textId="77777777" w:rsidR="005E20C5" w:rsidRPr="00FD516E" w:rsidRDefault="005E20C5" w:rsidP="001329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BB2137B" w14:textId="40BA9FDD" w:rsidR="005E20C5" w:rsidRPr="00FD516E" w:rsidRDefault="005E20C5" w:rsidP="001329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t xml:space="preserve">This requirement applies to the entire Facility, and the Facility is therefore </w:t>
      </w:r>
      <w:r w:rsidR="00552434" w:rsidRPr="00FD516E">
        <w:t xml:space="preserve">anticipated </w:t>
      </w:r>
      <w:r w:rsidRPr="00FD516E">
        <w:t>to comply with the fugitive emission limitations of this section</w:t>
      </w:r>
      <w:r w:rsidRPr="00FD516E">
        <w:rPr>
          <w:rFonts w:cs="Arial"/>
          <w:szCs w:val="22"/>
        </w:rPr>
        <w:t>.</w:t>
      </w:r>
    </w:p>
    <w:p w14:paraId="59A2307F" w14:textId="77777777" w:rsidR="005E20C5" w:rsidRPr="00FD516E" w:rsidRDefault="005E20C5" w:rsidP="001329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3E2B57AC"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§5-241(1) and (2) - Prohibition of Nuisance and Odor.</w:t>
      </w:r>
      <w:r w:rsidRPr="00FD516E">
        <w:rPr>
          <w:rFonts w:cs="Arial"/>
          <w:szCs w:val="22"/>
        </w:rPr>
        <w:t xml:space="preserve">  "A </w:t>
      </w:r>
      <w:r w:rsidRPr="00FD516E">
        <w:rPr>
          <w:rFonts w:cs="Arial"/>
          <w:i/>
          <w:iCs/>
          <w:szCs w:val="22"/>
        </w:rPr>
        <w:t>person</w:t>
      </w:r>
      <w:r w:rsidRPr="00FD516E">
        <w:rPr>
          <w:rFonts w:cs="Arial"/>
          <w:szCs w:val="22"/>
        </w:rPr>
        <w:t xml:space="preserve"> shall not discharge, cause, suffer, allow, or permit from any source whatsoever such quantities of </w:t>
      </w:r>
      <w:r w:rsidRPr="00FD516E">
        <w:rPr>
          <w:rFonts w:cs="Arial"/>
          <w:i/>
          <w:iCs/>
          <w:szCs w:val="22"/>
        </w:rPr>
        <w:t>air contaminants</w:t>
      </w:r>
      <w:r w:rsidRPr="00FD516E">
        <w:rPr>
          <w:rFonts w:cs="Arial"/>
          <w:szCs w:val="22"/>
        </w:rPr>
        <w:t xml:space="preserve"> or other material which will cause injury, detriment, nuisance or annoyance to any considerable number of people or to the public or which endangers the comfort, repose, health or safety of any such </w:t>
      </w:r>
      <w:r w:rsidRPr="00FD516E">
        <w:rPr>
          <w:rFonts w:cs="Arial"/>
          <w:i/>
          <w:iCs/>
          <w:szCs w:val="22"/>
        </w:rPr>
        <w:t>persons</w:t>
      </w:r>
      <w:r w:rsidRPr="00FD516E">
        <w:rPr>
          <w:rFonts w:cs="Arial"/>
          <w:szCs w:val="22"/>
        </w:rPr>
        <w:t xml:space="preserve"> or the public or which causes or has a natural tendency to cause injury or damage to business or property.  A </w:t>
      </w:r>
      <w:r w:rsidRPr="00FD516E">
        <w:rPr>
          <w:rFonts w:cs="Arial"/>
          <w:i/>
          <w:iCs/>
          <w:szCs w:val="22"/>
        </w:rPr>
        <w:t>person</w:t>
      </w:r>
      <w:r w:rsidRPr="00FD516E">
        <w:rPr>
          <w:rFonts w:cs="Arial"/>
          <w:szCs w:val="22"/>
        </w:rPr>
        <w:t xml:space="preserve"> shall not discharge, cause, suffer, allow, or permit any </w:t>
      </w:r>
      <w:r w:rsidRPr="00FD516E">
        <w:rPr>
          <w:rFonts w:cs="Arial"/>
          <w:i/>
          <w:iCs/>
          <w:szCs w:val="22"/>
        </w:rPr>
        <w:t>emissions</w:t>
      </w:r>
      <w:r w:rsidRPr="00FD516E">
        <w:rPr>
          <w:rFonts w:cs="Arial"/>
          <w:szCs w:val="22"/>
        </w:rPr>
        <w:t xml:space="preserve"> of objectionable </w:t>
      </w:r>
      <w:r w:rsidRPr="00FD516E">
        <w:rPr>
          <w:rFonts w:cs="Arial"/>
          <w:i/>
          <w:iCs/>
          <w:szCs w:val="22"/>
        </w:rPr>
        <w:t>odors</w:t>
      </w:r>
      <w:r w:rsidRPr="00FD516E">
        <w:rPr>
          <w:rFonts w:cs="Arial"/>
          <w:szCs w:val="22"/>
        </w:rPr>
        <w:t xml:space="preserve"> beyond the property line of a premises."</w:t>
      </w:r>
    </w:p>
    <w:p w14:paraId="1FCF2BAA" w14:textId="77777777" w:rsidR="005E20C5" w:rsidRPr="00FD516E" w:rsidRDefault="005E20C5" w:rsidP="008364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69CAEBDA"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Based on the application submittal and information available to the Agency, the Facility is currently in compliance with this regulation.  </w:t>
      </w:r>
    </w:p>
    <w:p w14:paraId="28C6F4E5" w14:textId="77777777" w:rsidR="005E20C5" w:rsidRPr="00FD516E" w:rsidRDefault="005E20C5" w:rsidP="00CB3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73ADC1D7" w14:textId="77777777" w:rsidR="005E20C5" w:rsidRPr="00FD516E" w:rsidRDefault="005E20C5" w:rsidP="00CB39CB">
      <w:pPr>
        <w:ind w:left="720" w:firstLine="0"/>
        <w:rPr>
          <w:rFonts w:cs="Arial"/>
          <w:szCs w:val="22"/>
        </w:rPr>
      </w:pPr>
      <w:r w:rsidRPr="00FD516E">
        <w:rPr>
          <w:rFonts w:cs="Arial"/>
          <w:b/>
          <w:bCs/>
          <w:szCs w:val="22"/>
        </w:rPr>
        <w:t>§5-253.14- Solvent Metal Cleaning.</w:t>
      </w:r>
      <w:r w:rsidRPr="00FD516E">
        <w:rPr>
          <w:rFonts w:cs="Arial"/>
          <w:szCs w:val="22"/>
        </w:rPr>
        <w:t xml:space="preserve">  This subsection shall apply to any solvent metal cleaning equipment, and contains several requirements designed to minimize the generation of VOCs from such equipment.  Specifications are listed within this section for air pollution control devices and work practice standards.  </w:t>
      </w:r>
    </w:p>
    <w:p w14:paraId="6BF24E56" w14:textId="77777777" w:rsidR="005E20C5" w:rsidRPr="00FD516E" w:rsidRDefault="005E20C5" w:rsidP="00B74851">
      <w:pPr>
        <w:ind w:left="0" w:firstLine="0"/>
        <w:rPr>
          <w:rFonts w:cs="Arial"/>
          <w:szCs w:val="22"/>
        </w:rPr>
      </w:pPr>
    </w:p>
    <w:p w14:paraId="49B4358C" w14:textId="302E9D45" w:rsidR="005E20C5" w:rsidRPr="00FD516E" w:rsidRDefault="002927C7" w:rsidP="00CB39CB">
      <w:pPr>
        <w:ind w:left="720" w:firstLine="0"/>
        <w:rPr>
          <w:rFonts w:cs="Arial"/>
          <w:szCs w:val="22"/>
        </w:rPr>
      </w:pPr>
      <w:r w:rsidRPr="00FD516E">
        <w:rPr>
          <w:rFonts w:cs="Arial"/>
          <w:szCs w:val="22"/>
        </w:rPr>
        <w:t xml:space="preserve">Any </w:t>
      </w:r>
      <w:r w:rsidR="005E20C5" w:rsidRPr="00FD516E">
        <w:rPr>
          <w:rFonts w:cs="Arial"/>
          <w:szCs w:val="22"/>
        </w:rPr>
        <w:t xml:space="preserve">solvent metal cleaning equipment operated </w:t>
      </w:r>
      <w:r w:rsidRPr="00FD516E">
        <w:rPr>
          <w:rFonts w:cs="Arial"/>
          <w:szCs w:val="22"/>
        </w:rPr>
        <w:t>at the Facility</w:t>
      </w:r>
      <w:r w:rsidR="00B74851" w:rsidRPr="00FD516E">
        <w:rPr>
          <w:rFonts w:cs="Arial"/>
          <w:szCs w:val="22"/>
        </w:rPr>
        <w:t xml:space="preserve"> </w:t>
      </w:r>
      <w:r w:rsidR="005E20C5" w:rsidRPr="00FD516E">
        <w:rPr>
          <w:rFonts w:cs="Arial"/>
          <w:szCs w:val="22"/>
        </w:rPr>
        <w:t>for equipment cleaning is subject to the standards for cold cleaning operations.  Based on the information available to the Agency, the Facility is currently in compliance with this regulation</w:t>
      </w:r>
    </w:p>
    <w:p w14:paraId="217722E3" w14:textId="77777777" w:rsidR="005E20C5" w:rsidRPr="00FD516E" w:rsidRDefault="005E20C5" w:rsidP="0053432A">
      <w:pPr>
        <w:ind w:left="0" w:firstLine="0"/>
        <w:rPr>
          <w:rFonts w:cs="Arial"/>
          <w:szCs w:val="22"/>
        </w:rPr>
      </w:pPr>
    </w:p>
    <w:p w14:paraId="72822EEF"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§5-403 - Circumvention.</w:t>
      </w:r>
      <w:r w:rsidRPr="00FD516E">
        <w:rPr>
          <w:rFonts w:cs="Arial"/>
          <w:szCs w:val="22"/>
        </w:rPr>
        <w:t xml:space="preserve">  "No Person shall build, erect, install or use any article, machine, equipment or other contrivances, the use of which, without resulting in a reduction in the total release of air contaminants to the atmosphere, reduces or conceals an emission which otherwise would constitute a violation of these regulations."</w:t>
      </w:r>
    </w:p>
    <w:p w14:paraId="074F8A2D"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174A3DC"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Based on the application submittal and information available to the Agency, the Facility is currently in compliance with this regulation.</w:t>
      </w:r>
    </w:p>
    <w:p w14:paraId="42BEFBA6"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33C8E925"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
          <w:bCs/>
          <w:szCs w:val="22"/>
        </w:rPr>
        <w:t>Subchapter VIII - Registration of Air Contaminant Source.</w:t>
      </w:r>
      <w:r w:rsidRPr="00FD516E">
        <w:rPr>
          <w:rFonts w:cs="Arial"/>
          <w:szCs w:val="22"/>
        </w:rPr>
        <w:t xml:space="preserve">  "Each </w:t>
      </w:r>
      <w:r w:rsidRPr="00FD516E">
        <w:rPr>
          <w:rFonts w:cs="Arial"/>
          <w:i/>
          <w:iCs/>
          <w:szCs w:val="22"/>
        </w:rPr>
        <w:t>operator</w:t>
      </w:r>
      <w:r w:rsidRPr="00FD516E">
        <w:rPr>
          <w:rFonts w:cs="Arial"/>
          <w:szCs w:val="22"/>
        </w:rPr>
        <w:t xml:space="preserve"> of a </w:t>
      </w:r>
      <w:r w:rsidRPr="00FD516E">
        <w:rPr>
          <w:rFonts w:cs="Arial"/>
          <w:i/>
          <w:iCs/>
          <w:szCs w:val="22"/>
        </w:rPr>
        <w:t>source</w:t>
      </w:r>
      <w:r w:rsidRPr="00FD516E">
        <w:rPr>
          <w:rFonts w:cs="Arial"/>
          <w:szCs w:val="22"/>
        </w:rPr>
        <w:t xml:space="preserve"> which emits more than five </w:t>
      </w:r>
      <w:r w:rsidRPr="00FD516E">
        <w:rPr>
          <w:rFonts w:cs="Arial"/>
          <w:i/>
          <w:iCs/>
          <w:szCs w:val="22"/>
        </w:rPr>
        <w:t>tons</w:t>
      </w:r>
      <w:r w:rsidRPr="00FD516E">
        <w:rPr>
          <w:rFonts w:cs="Arial"/>
          <w:szCs w:val="22"/>
        </w:rPr>
        <w:t xml:space="preserve"> of any and all</w:t>
      </w:r>
      <w:r w:rsidRPr="00FD516E">
        <w:rPr>
          <w:rFonts w:cs="Arial"/>
          <w:i/>
          <w:iCs/>
          <w:szCs w:val="22"/>
        </w:rPr>
        <w:t xml:space="preserve"> air contaminants</w:t>
      </w:r>
      <w:r w:rsidRPr="00FD516E">
        <w:rPr>
          <w:rFonts w:cs="Arial"/>
          <w:szCs w:val="22"/>
        </w:rPr>
        <w:t xml:space="preserve"> per year shall register the </w:t>
      </w:r>
      <w:r w:rsidRPr="00FD516E">
        <w:rPr>
          <w:rFonts w:cs="Arial"/>
          <w:i/>
          <w:iCs/>
          <w:szCs w:val="22"/>
        </w:rPr>
        <w:t>source</w:t>
      </w:r>
      <w:r w:rsidRPr="00FD516E">
        <w:rPr>
          <w:rFonts w:cs="Arial"/>
          <w:szCs w:val="22"/>
        </w:rPr>
        <w:t xml:space="preserve"> with the </w:t>
      </w:r>
      <w:proofErr w:type="gramStart"/>
      <w:r w:rsidRPr="00FD516E">
        <w:rPr>
          <w:rFonts w:cs="Arial"/>
          <w:i/>
          <w:iCs/>
          <w:szCs w:val="22"/>
        </w:rPr>
        <w:t>Secretary</w:t>
      </w:r>
      <w:r w:rsidRPr="00FD516E">
        <w:rPr>
          <w:rFonts w:cs="Arial"/>
          <w:szCs w:val="22"/>
        </w:rPr>
        <w:t>, and</w:t>
      </w:r>
      <w:proofErr w:type="gramEnd"/>
      <w:r w:rsidRPr="00FD516E">
        <w:rPr>
          <w:rFonts w:cs="Arial"/>
          <w:szCs w:val="22"/>
        </w:rPr>
        <w:t xml:space="preserve"> shall renew such registration annually."</w:t>
      </w:r>
    </w:p>
    <w:p w14:paraId="3DA5021D" w14:textId="77777777" w:rsidR="005E20C5" w:rsidRPr="00FD516E" w:rsidRDefault="005E20C5"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7E4EEBEC" w14:textId="69993887" w:rsidR="005E20C5" w:rsidRPr="00FD516E" w:rsidRDefault="00083333" w:rsidP="00F2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Each Permittee will be responsible for registering their emissions from the Facility that are described in their individual Permits.  </w:t>
      </w:r>
      <w:r w:rsidR="002927C7" w:rsidRPr="00FD516E">
        <w:rPr>
          <w:rFonts w:cs="Arial"/>
          <w:szCs w:val="22"/>
        </w:rPr>
        <w:t xml:space="preserve">NEWSVT </w:t>
      </w:r>
      <w:r w:rsidRPr="00FD516E">
        <w:rPr>
          <w:rFonts w:cs="Arial"/>
          <w:szCs w:val="22"/>
        </w:rPr>
        <w:t xml:space="preserve">and CCEC have each </w:t>
      </w:r>
      <w:r w:rsidR="002927C7" w:rsidRPr="00FD516E">
        <w:rPr>
          <w:rFonts w:cs="Arial"/>
          <w:szCs w:val="22"/>
        </w:rPr>
        <w:t>been</w:t>
      </w:r>
      <w:r w:rsidR="005E20C5" w:rsidRPr="00FD516E">
        <w:rPr>
          <w:rFonts w:cs="Arial"/>
          <w:szCs w:val="22"/>
        </w:rPr>
        <w:t xml:space="preserve"> registering </w:t>
      </w:r>
      <w:r w:rsidR="002927C7" w:rsidRPr="00FD516E">
        <w:rPr>
          <w:rFonts w:cs="Arial"/>
          <w:szCs w:val="22"/>
        </w:rPr>
        <w:t>the</w:t>
      </w:r>
      <w:r w:rsidR="0032493A">
        <w:rPr>
          <w:rFonts w:cs="Arial"/>
          <w:szCs w:val="22"/>
        </w:rPr>
        <w:t>ir portion of</w:t>
      </w:r>
      <w:r w:rsidR="005E20C5" w:rsidRPr="00FD516E">
        <w:rPr>
          <w:rFonts w:cs="Arial"/>
          <w:szCs w:val="22"/>
        </w:rPr>
        <w:t xml:space="preserve"> </w:t>
      </w:r>
      <w:r w:rsidR="002927C7" w:rsidRPr="00FD516E">
        <w:rPr>
          <w:rFonts w:cs="Arial"/>
          <w:szCs w:val="22"/>
        </w:rPr>
        <w:t xml:space="preserve">Facility </w:t>
      </w:r>
      <w:r w:rsidR="005E20C5" w:rsidRPr="00FD516E">
        <w:rPr>
          <w:rFonts w:cs="Arial"/>
          <w:szCs w:val="22"/>
        </w:rPr>
        <w:t>emissions with the Agency annually</w:t>
      </w:r>
      <w:r w:rsidRPr="00FD516E">
        <w:rPr>
          <w:rFonts w:cs="Arial"/>
          <w:szCs w:val="22"/>
        </w:rPr>
        <w:t xml:space="preserve">.  </w:t>
      </w:r>
    </w:p>
    <w:p w14:paraId="34BDB153"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b/>
          <w:bCs/>
          <w:szCs w:val="22"/>
        </w:rPr>
      </w:pPr>
    </w:p>
    <w:p w14:paraId="6C4888E7"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Pr>
          <w:rFonts w:cs="Arial"/>
          <w:szCs w:val="22"/>
        </w:rPr>
      </w:pPr>
      <w:r w:rsidRPr="00FD516E">
        <w:rPr>
          <w:rFonts w:cs="Arial"/>
          <w:b/>
          <w:bCs/>
          <w:szCs w:val="22"/>
        </w:rPr>
        <w:lastRenderedPageBreak/>
        <w:t>4.2.</w:t>
      </w:r>
      <w:r w:rsidRPr="00FD516E">
        <w:rPr>
          <w:rFonts w:cs="Arial"/>
          <w:b/>
          <w:bCs/>
          <w:szCs w:val="22"/>
        </w:rPr>
        <w:tab/>
      </w:r>
      <w:r w:rsidRPr="00FD516E">
        <w:rPr>
          <w:rFonts w:cs="Arial"/>
          <w:b/>
          <w:bCs/>
          <w:szCs w:val="22"/>
          <w:u w:val="single"/>
        </w:rPr>
        <w:t>Federal Air Pollution Control Regulations and the CAA</w:t>
      </w:r>
    </w:p>
    <w:p w14:paraId="35B8F842"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1418DD03" w14:textId="5377CAB2"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bCs/>
          <w:szCs w:val="22"/>
        </w:rPr>
        <w:t>Section 111 of the Clean Air Act establishes New Source Performance Standards (NSPS).</w:t>
      </w:r>
      <w:r w:rsidRPr="00FD516E">
        <w:rPr>
          <w:rFonts w:cs="Arial"/>
          <w:b/>
          <w:bCs/>
          <w:szCs w:val="22"/>
        </w:rPr>
        <w:t xml:space="preserve">  </w:t>
      </w:r>
      <w:r w:rsidRPr="00FD516E">
        <w:rPr>
          <w:rFonts w:cs="Arial"/>
          <w:szCs w:val="22"/>
        </w:rPr>
        <w:t xml:space="preserve">NSPSs apply to new sources, and are promulgated under 40 CFR, Part 60.  </w:t>
      </w:r>
      <w:r w:rsidRPr="00FD516E">
        <w:rPr>
          <w:rFonts w:cs="Arial"/>
          <w:bCs/>
          <w:szCs w:val="22"/>
        </w:rPr>
        <w:t>Section 112 of the Clean Air Act establishes National Emission Standards for Hazardous Air Pollutants (NESHAPs).</w:t>
      </w:r>
      <w:r w:rsidRPr="00FD516E">
        <w:rPr>
          <w:rFonts w:cs="Arial"/>
          <w:b/>
          <w:bCs/>
          <w:szCs w:val="22"/>
        </w:rPr>
        <w:t xml:space="preserve">  </w:t>
      </w:r>
      <w:r w:rsidRPr="00FD516E">
        <w:rPr>
          <w:rFonts w:cs="Arial"/>
          <w:szCs w:val="22"/>
        </w:rPr>
        <w:t>NESHAPs are promulgated under 40 C.F.R. Part 61 and Part 63, and may apply to new or existing sources.  Potentially applicable NSPSs</w:t>
      </w:r>
      <w:r w:rsidR="00984FFF" w:rsidRPr="00FD516E">
        <w:rPr>
          <w:rFonts w:cs="Arial"/>
          <w:szCs w:val="22"/>
        </w:rPr>
        <w:t xml:space="preserve">, </w:t>
      </w:r>
      <w:r w:rsidRPr="00FD516E">
        <w:rPr>
          <w:rFonts w:cs="Arial"/>
          <w:szCs w:val="22"/>
        </w:rPr>
        <w:t>NESHAPs</w:t>
      </w:r>
      <w:r w:rsidR="00984FFF" w:rsidRPr="00FD516E">
        <w:rPr>
          <w:rFonts w:cs="Arial"/>
          <w:szCs w:val="22"/>
        </w:rPr>
        <w:t>, and other Federal air quality regulations</w:t>
      </w:r>
      <w:r w:rsidRPr="00FD516E">
        <w:rPr>
          <w:rFonts w:cs="Arial"/>
          <w:szCs w:val="22"/>
        </w:rPr>
        <w:t xml:space="preserve"> are summarized in Table 4-2.</w:t>
      </w:r>
    </w:p>
    <w:p w14:paraId="18E3782F"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 w:val="20"/>
        </w:rPr>
      </w:pPr>
    </w:p>
    <w:tbl>
      <w:tblPr>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10"/>
      </w:tblGrid>
      <w:tr w:rsidR="005E20C5" w:rsidRPr="009F5E32" w14:paraId="3D92B8C0" w14:textId="77777777" w:rsidTr="003529CF">
        <w:trPr>
          <w:cantSplit/>
          <w:tblHeader/>
        </w:trPr>
        <w:tc>
          <w:tcPr>
            <w:tcW w:w="8610" w:type="dxa"/>
            <w:tcBorders>
              <w:top w:val="double" w:sz="4" w:space="0" w:color="auto"/>
              <w:bottom w:val="double" w:sz="4" w:space="0" w:color="auto"/>
            </w:tcBorders>
            <w:shd w:val="clear" w:color="auto" w:fill="F2F2F2" w:themeFill="background1" w:themeFillShade="F2"/>
            <w:tcMar>
              <w:top w:w="115" w:type="dxa"/>
              <w:left w:w="115" w:type="dxa"/>
              <w:bottom w:w="115" w:type="dxa"/>
              <w:right w:w="115" w:type="dxa"/>
            </w:tcMar>
            <w:vAlign w:val="center"/>
          </w:tcPr>
          <w:p w14:paraId="69867079" w14:textId="684703BF" w:rsidR="005E20C5" w:rsidRPr="00FD516E" w:rsidRDefault="005E20C5" w:rsidP="00BF5A8D">
            <w:pPr>
              <w:tabs>
                <w:tab w:val="left" w:pos="-1440"/>
              </w:tabs>
              <w:jc w:val="center"/>
              <w:rPr>
                <w:b/>
                <w:bCs/>
                <w:iCs/>
              </w:rPr>
            </w:pPr>
            <w:r w:rsidRPr="00FD516E">
              <w:rPr>
                <w:b/>
                <w:bCs/>
                <w:iCs/>
              </w:rPr>
              <w:t>Table 4-2 Review of Requirements from</w:t>
            </w:r>
          </w:p>
          <w:p w14:paraId="6595C425" w14:textId="77777777" w:rsidR="005E20C5" w:rsidRPr="00FD516E" w:rsidRDefault="005E20C5" w:rsidP="00BF5A8D">
            <w:pPr>
              <w:tabs>
                <w:tab w:val="left" w:pos="-1440"/>
              </w:tabs>
              <w:jc w:val="center"/>
              <w:rPr>
                <w:b/>
                <w:bCs/>
              </w:rPr>
            </w:pPr>
            <w:r w:rsidRPr="00FD516E">
              <w:rPr>
                <w:b/>
                <w:bCs/>
                <w:iCs/>
              </w:rPr>
              <w:t>Federal Regulations and the Clean Air Act</w:t>
            </w:r>
          </w:p>
        </w:tc>
      </w:tr>
      <w:tr w:rsidR="00D87198" w:rsidRPr="009F5E32" w14:paraId="4D90C175" w14:textId="77777777" w:rsidTr="003441E4">
        <w:trPr>
          <w:cantSplit/>
          <w:trHeight w:val="1472"/>
        </w:trPr>
        <w:tc>
          <w:tcPr>
            <w:tcW w:w="8610" w:type="dxa"/>
            <w:tcMar>
              <w:top w:w="115" w:type="dxa"/>
              <w:left w:w="115" w:type="dxa"/>
              <w:bottom w:w="115" w:type="dxa"/>
              <w:right w:w="115" w:type="dxa"/>
            </w:tcMar>
            <w:vAlign w:val="center"/>
          </w:tcPr>
          <w:p w14:paraId="6D3BA6E3" w14:textId="6FAD9BF9" w:rsidR="008607A1" w:rsidRPr="008607A1" w:rsidRDefault="008607A1" w:rsidP="008607A1">
            <w:pPr>
              <w:tabs>
                <w:tab w:val="left" w:pos="-1440"/>
              </w:tabs>
              <w:ind w:left="0" w:firstLine="0"/>
              <w:rPr>
                <w:iCs/>
                <w:sz w:val="18"/>
              </w:rPr>
            </w:pPr>
            <w:r w:rsidRPr="008607A1">
              <w:rPr>
                <w:iCs/>
                <w:sz w:val="18"/>
              </w:rPr>
              <w:t xml:space="preserve">40 </w:t>
            </w:r>
            <w:r w:rsidRPr="008607A1">
              <w:rPr>
                <w:i/>
                <w:iCs/>
                <w:sz w:val="18"/>
              </w:rPr>
              <w:t>CFR</w:t>
            </w:r>
            <w:r w:rsidRPr="008607A1">
              <w:rPr>
                <w:iCs/>
                <w:sz w:val="18"/>
              </w:rPr>
              <w:t xml:space="preserve"> Part 60 Subpart Cc – Emission Guidelines for Municipal Solid Waste Landfills.  Applies to existing landfills having a design capacity greater than or equal to 2.5 million megagrams by mass and 2.5 million cubic meters by volume which commenced construction, modification, or reconstruction before May 30, 1991, and that have accepted waste at any time since </w:t>
            </w:r>
            <w:r w:rsidR="00F27B43" w:rsidRPr="008607A1">
              <w:rPr>
                <w:iCs/>
                <w:sz w:val="18"/>
              </w:rPr>
              <w:t>November 8, 1987 or</w:t>
            </w:r>
            <w:r w:rsidRPr="008607A1">
              <w:rPr>
                <w:iCs/>
                <w:sz w:val="18"/>
              </w:rPr>
              <w:t xml:space="preserve"> have additional capacity for future waste deposition.  </w:t>
            </w:r>
          </w:p>
          <w:p w14:paraId="247E5717" w14:textId="77777777" w:rsidR="008607A1" w:rsidRPr="008607A1" w:rsidRDefault="008607A1" w:rsidP="008607A1">
            <w:pPr>
              <w:tabs>
                <w:tab w:val="left" w:pos="-1440"/>
              </w:tabs>
              <w:ind w:left="0" w:firstLine="0"/>
              <w:rPr>
                <w:iCs/>
                <w:sz w:val="18"/>
              </w:rPr>
            </w:pPr>
          </w:p>
          <w:p w14:paraId="31560F2B" w14:textId="45FD0951" w:rsidR="009A7F82" w:rsidRPr="009F5E32" w:rsidRDefault="008607A1" w:rsidP="00792141">
            <w:pPr>
              <w:tabs>
                <w:tab w:val="left" w:pos="-1440"/>
              </w:tabs>
              <w:ind w:left="0" w:firstLine="0"/>
              <w:rPr>
                <w:rFonts w:cs="Arial"/>
                <w:i/>
                <w:iCs/>
                <w:sz w:val="18"/>
              </w:rPr>
            </w:pPr>
            <w:r w:rsidRPr="008607A1">
              <w:rPr>
                <w:i/>
                <w:iCs/>
                <w:sz w:val="18"/>
              </w:rPr>
              <w:t xml:space="preserve">Emission guidelines are not directly applicable requirements to a facility but rather establish the framework on which a state must adopt a regulation to implement the respective requirements.  Vermont has no landfills applicable to these Subpart Cc guidelines and has thus not adopted regulations to implement them.  The Landfill Operation was modified </w:t>
            </w:r>
            <w:proofErr w:type="gramStart"/>
            <w:r w:rsidRPr="008607A1">
              <w:rPr>
                <w:i/>
                <w:iCs/>
                <w:sz w:val="18"/>
              </w:rPr>
              <w:t>subsequent to</w:t>
            </w:r>
            <w:proofErr w:type="gramEnd"/>
            <w:r w:rsidRPr="008607A1">
              <w:rPr>
                <w:i/>
                <w:iCs/>
                <w:sz w:val="18"/>
              </w:rPr>
              <w:t xml:space="preserve"> May 30, 1991 to increase its capacity, thus becoming subject to 40 CFR Part 60 Subpart WWW instead of the Subpart Cc emission guidelines.  </w:t>
            </w:r>
          </w:p>
        </w:tc>
      </w:tr>
      <w:tr w:rsidR="00984FFF" w:rsidRPr="009F5E32" w14:paraId="4A5580B8" w14:textId="77777777" w:rsidTr="00984FFF">
        <w:trPr>
          <w:cantSplit/>
          <w:trHeight w:val="1823"/>
        </w:trPr>
        <w:tc>
          <w:tcPr>
            <w:tcW w:w="8610" w:type="dxa"/>
            <w:tcMar>
              <w:top w:w="115" w:type="dxa"/>
              <w:left w:w="115" w:type="dxa"/>
              <w:bottom w:w="115" w:type="dxa"/>
              <w:right w:w="115" w:type="dxa"/>
            </w:tcMar>
          </w:tcPr>
          <w:p w14:paraId="18B9AB33" w14:textId="77777777" w:rsidR="008607A1" w:rsidRPr="008607A1" w:rsidRDefault="008607A1" w:rsidP="008607A1">
            <w:pPr>
              <w:tabs>
                <w:tab w:val="left" w:pos="-1440"/>
              </w:tabs>
              <w:autoSpaceDE/>
              <w:autoSpaceDN/>
              <w:adjustRightInd/>
              <w:ind w:left="0" w:firstLine="0"/>
              <w:rPr>
                <w:iCs/>
                <w:snapToGrid w:val="0"/>
                <w:sz w:val="18"/>
                <w:lang w:val="en"/>
              </w:rPr>
            </w:pPr>
            <w:r w:rsidRPr="008607A1">
              <w:rPr>
                <w:iCs/>
                <w:snapToGrid w:val="0"/>
                <w:sz w:val="18"/>
                <w:lang w:val="en"/>
              </w:rPr>
              <w:t>40 CFR Part 60, Subpart Cf - Emission Guidelines and Compliance Times for Municipal Solid Waste Landfills.</w:t>
            </w:r>
            <w:r w:rsidRPr="008607A1">
              <w:rPr>
                <w:snapToGrid w:val="0"/>
              </w:rPr>
              <w:t xml:space="preserve"> </w:t>
            </w:r>
            <w:r w:rsidRPr="008607A1">
              <w:rPr>
                <w:iCs/>
                <w:sz w:val="18"/>
              </w:rPr>
              <w:t xml:space="preserve">Applies to existing landfills having a design capacity greater than or equal to 2.5 million megagrams by mass and 2.5 million cubic meters by volume which commenced </w:t>
            </w:r>
            <w:r w:rsidRPr="008607A1">
              <w:rPr>
                <w:iCs/>
                <w:snapToGrid w:val="0"/>
                <w:sz w:val="18"/>
                <w:lang w:val="en"/>
              </w:rPr>
              <w:t>construction, reconstruction, or modification on or before July 17, 2014.</w:t>
            </w:r>
          </w:p>
          <w:p w14:paraId="25E9919B" w14:textId="77777777" w:rsidR="008607A1" w:rsidRPr="008607A1" w:rsidRDefault="008607A1" w:rsidP="008607A1">
            <w:pPr>
              <w:tabs>
                <w:tab w:val="left" w:pos="-1440"/>
              </w:tabs>
              <w:autoSpaceDE/>
              <w:autoSpaceDN/>
              <w:adjustRightInd/>
              <w:ind w:left="0" w:firstLine="0"/>
              <w:rPr>
                <w:iCs/>
                <w:snapToGrid w:val="0"/>
                <w:sz w:val="18"/>
                <w:lang w:val="en"/>
              </w:rPr>
            </w:pPr>
          </w:p>
          <w:p w14:paraId="0C83A521" w14:textId="77777777" w:rsidR="008607A1" w:rsidRPr="008607A1" w:rsidRDefault="008607A1" w:rsidP="008607A1">
            <w:pPr>
              <w:tabs>
                <w:tab w:val="left" w:pos="-1440"/>
              </w:tabs>
              <w:autoSpaceDE/>
              <w:autoSpaceDN/>
              <w:adjustRightInd/>
              <w:ind w:left="0" w:firstLine="0"/>
              <w:rPr>
                <w:i/>
                <w:iCs/>
                <w:snapToGrid w:val="0"/>
                <w:sz w:val="18"/>
              </w:rPr>
            </w:pPr>
            <w:r w:rsidRPr="008607A1">
              <w:rPr>
                <w:i/>
                <w:iCs/>
                <w:sz w:val="18"/>
              </w:rPr>
              <w:t xml:space="preserve">Emission guidelines are not directly applicable requirements to a facility but rather establish the framework on which a state must adopt a regulation to implement the respective requirements.   While the Landfill Operation meets the applicability criteria for the Subpart Cf guidelines, the Agency, in consultation with the US EPA, has deferred adoption of an implementing regulation at this time since the Facility is currently in compliance with the substantive requirements of the guidelines and has proposed a modification to the Facility that upon commencement of construction of that modification will become subject to 40 CFR Part 60 Subpart XXX and no longer be applicable to the guidelines.  Should the Permittee not commence construction of the modification in a reasonable </w:t>
            </w:r>
            <w:proofErr w:type="gramStart"/>
            <w:r w:rsidRPr="008607A1">
              <w:rPr>
                <w:i/>
                <w:iCs/>
                <w:sz w:val="18"/>
              </w:rPr>
              <w:t>period of time</w:t>
            </w:r>
            <w:proofErr w:type="gramEnd"/>
            <w:r w:rsidRPr="008607A1">
              <w:rPr>
                <w:i/>
                <w:iCs/>
                <w:sz w:val="18"/>
              </w:rPr>
              <w:t>, the Agency may pursue adoption of the emission guidelines in the future.</w:t>
            </w:r>
          </w:p>
          <w:p w14:paraId="316290D8" w14:textId="77777777" w:rsidR="008607A1" w:rsidRPr="008607A1" w:rsidRDefault="008607A1" w:rsidP="008607A1">
            <w:pPr>
              <w:tabs>
                <w:tab w:val="left" w:pos="-1440"/>
              </w:tabs>
              <w:autoSpaceDE/>
              <w:autoSpaceDN/>
              <w:adjustRightInd/>
              <w:ind w:left="0" w:firstLine="0"/>
              <w:rPr>
                <w:i/>
                <w:iCs/>
                <w:snapToGrid w:val="0"/>
                <w:sz w:val="18"/>
                <w:lang w:val="en"/>
              </w:rPr>
            </w:pPr>
          </w:p>
          <w:p w14:paraId="5F1F2EDB" w14:textId="7341B131" w:rsidR="00984FFF" w:rsidRPr="009F5E32" w:rsidRDefault="008607A1" w:rsidP="008607A1">
            <w:pPr>
              <w:tabs>
                <w:tab w:val="left" w:pos="-1440"/>
              </w:tabs>
              <w:autoSpaceDE/>
              <w:autoSpaceDN/>
              <w:adjustRightInd/>
              <w:ind w:left="0" w:firstLine="0"/>
              <w:rPr>
                <w:rFonts w:cs="Arial"/>
                <w:iCs/>
                <w:snapToGrid w:val="0"/>
                <w:sz w:val="18"/>
              </w:rPr>
            </w:pPr>
            <w:r w:rsidRPr="008607A1">
              <w:rPr>
                <w:i/>
                <w:iCs/>
                <w:snapToGrid w:val="0"/>
                <w:sz w:val="18"/>
                <w:lang w:val="en"/>
              </w:rPr>
              <w:t xml:space="preserve">Compliance with these guidelines will be addressed by complying with the requirements of </w:t>
            </w:r>
            <w:r w:rsidRPr="008607A1">
              <w:rPr>
                <w:i/>
                <w:iCs/>
                <w:snapToGrid w:val="0"/>
                <w:sz w:val="18"/>
              </w:rPr>
              <w:t xml:space="preserve">40 CFR Part 60, Subpart WWW, until actual construction has commenced on the Phase VI expansion on </w:t>
            </w:r>
            <w:r w:rsidRPr="008607A1">
              <w:rPr>
                <w:i/>
                <w:iCs/>
                <w:snapToGrid w:val="0"/>
                <w:sz w:val="18"/>
                <w:lang w:val="en"/>
              </w:rPr>
              <w:t xml:space="preserve">Landfill Operation.  At the time construction is commenced on Phase VI, the Landfill Operation will have been modified </w:t>
            </w:r>
            <w:proofErr w:type="gramStart"/>
            <w:r w:rsidRPr="008607A1">
              <w:rPr>
                <w:i/>
                <w:iCs/>
                <w:snapToGrid w:val="0"/>
                <w:sz w:val="18"/>
                <w:lang w:val="en"/>
              </w:rPr>
              <w:t>subsequent to</w:t>
            </w:r>
            <w:proofErr w:type="gramEnd"/>
            <w:r w:rsidRPr="008607A1">
              <w:rPr>
                <w:i/>
                <w:iCs/>
                <w:snapToGrid w:val="0"/>
                <w:sz w:val="18"/>
                <w:lang w:val="en"/>
              </w:rPr>
              <w:t xml:space="preserve"> July 17, 2014 </w:t>
            </w:r>
            <w:r w:rsidRPr="008607A1">
              <w:rPr>
                <w:i/>
                <w:iCs/>
                <w:snapToGrid w:val="0"/>
                <w:sz w:val="18"/>
              </w:rPr>
              <w:t xml:space="preserve">to increase its </w:t>
            </w:r>
            <w:r w:rsidR="00F27B43" w:rsidRPr="008607A1">
              <w:rPr>
                <w:i/>
                <w:iCs/>
                <w:snapToGrid w:val="0"/>
                <w:sz w:val="18"/>
              </w:rPr>
              <w:t>capacity and</w:t>
            </w:r>
            <w:r w:rsidRPr="008607A1">
              <w:rPr>
                <w:i/>
                <w:iCs/>
                <w:snapToGrid w:val="0"/>
                <w:sz w:val="18"/>
              </w:rPr>
              <w:t xml:space="preserve"> will become subject to 40 CFR Part 60 Subpart XXX.  </w:t>
            </w:r>
          </w:p>
        </w:tc>
      </w:tr>
      <w:tr w:rsidR="00542603" w:rsidRPr="009F5E32" w14:paraId="1B0AFBEA" w14:textId="77777777" w:rsidTr="003441E4">
        <w:trPr>
          <w:cantSplit/>
        </w:trPr>
        <w:tc>
          <w:tcPr>
            <w:tcW w:w="8610" w:type="dxa"/>
            <w:tcMar>
              <w:top w:w="115" w:type="dxa"/>
              <w:left w:w="115" w:type="dxa"/>
              <w:bottom w:w="115" w:type="dxa"/>
              <w:right w:w="115" w:type="dxa"/>
            </w:tcMar>
            <w:vAlign w:val="center"/>
          </w:tcPr>
          <w:p w14:paraId="6E8FF9ED" w14:textId="77777777" w:rsidR="00542603" w:rsidRPr="009F5E32" w:rsidRDefault="00542603" w:rsidP="00542603">
            <w:pPr>
              <w:tabs>
                <w:tab w:val="left" w:pos="-1440"/>
              </w:tabs>
              <w:ind w:left="0" w:firstLine="0"/>
              <w:rPr>
                <w:rFonts w:cs="Arial"/>
                <w:iCs/>
                <w:sz w:val="18"/>
              </w:rPr>
            </w:pPr>
            <w:r w:rsidRPr="009F5E32">
              <w:rPr>
                <w:rFonts w:cs="Arial"/>
                <w:iCs/>
                <w:sz w:val="18"/>
              </w:rPr>
              <w:lastRenderedPageBreak/>
              <w:t xml:space="preserve">40 </w:t>
            </w:r>
            <w:r w:rsidRPr="009F5E32">
              <w:rPr>
                <w:rFonts w:cs="Arial"/>
                <w:i/>
                <w:iCs/>
                <w:sz w:val="18"/>
              </w:rPr>
              <w:t>CFR</w:t>
            </w:r>
            <w:r w:rsidRPr="009F5E32">
              <w:rPr>
                <w:rFonts w:cs="Arial"/>
                <w:iCs/>
                <w:sz w:val="18"/>
              </w:rPr>
              <w:t xml:space="preserve"> Part 60, Subpart </w:t>
            </w:r>
            <w:proofErr w:type="spellStart"/>
            <w:r w:rsidRPr="009F5E32">
              <w:rPr>
                <w:rFonts w:cs="Arial"/>
                <w:iCs/>
                <w:sz w:val="18"/>
              </w:rPr>
              <w:t>Kb</w:t>
            </w:r>
            <w:proofErr w:type="spellEnd"/>
            <w:r w:rsidRPr="009F5E32">
              <w:rPr>
                <w:rFonts w:cs="Arial"/>
                <w:iCs/>
                <w:sz w:val="18"/>
              </w:rPr>
              <w:t xml:space="preserve"> - Standards of Performance for Volatile Organic Liquid Storage Vessels (Including Petroleum Liquid Storage Vessels) for Which Construction, Reconstruction, or Modification Commenced after July 23, 1984.  Applicability:  The affected facility to which this subpart applies is each storage vessel with a capacity greater than or equal to 75 m3 (19,804 gal) that is used to store volatile organic liquids (including petroleum).  This subpart does not apply to the following:</w:t>
            </w:r>
          </w:p>
          <w:p w14:paraId="2473DD5B" w14:textId="77777777" w:rsidR="00542603" w:rsidRPr="009F5E32" w:rsidRDefault="00542603" w:rsidP="00542603">
            <w:pPr>
              <w:tabs>
                <w:tab w:val="left" w:pos="-1440"/>
              </w:tabs>
              <w:ind w:left="0" w:firstLine="0"/>
              <w:rPr>
                <w:rFonts w:cs="Arial"/>
                <w:iCs/>
                <w:sz w:val="18"/>
              </w:rPr>
            </w:pPr>
            <w:r w:rsidRPr="009F5E32">
              <w:rPr>
                <w:rFonts w:cs="Arial"/>
                <w:iCs/>
                <w:sz w:val="18"/>
              </w:rPr>
              <w:t>1.</w:t>
            </w:r>
            <w:r w:rsidRPr="009F5E32">
              <w:rPr>
                <w:rFonts w:cs="Arial"/>
                <w:iCs/>
                <w:sz w:val="18"/>
              </w:rPr>
              <w:tab/>
              <w:t>Any storage vessel with a capacity less than 75 m</w:t>
            </w:r>
            <w:r w:rsidRPr="009F5E32">
              <w:rPr>
                <w:rFonts w:cs="Arial"/>
                <w:iCs/>
                <w:sz w:val="18"/>
                <w:vertAlign w:val="superscript"/>
              </w:rPr>
              <w:t>3</w:t>
            </w:r>
          </w:p>
          <w:p w14:paraId="0BFFA109" w14:textId="77777777" w:rsidR="00542603" w:rsidRPr="009F5E32" w:rsidRDefault="00542603" w:rsidP="00542603">
            <w:pPr>
              <w:tabs>
                <w:tab w:val="left" w:pos="-1440"/>
              </w:tabs>
              <w:ind w:left="0" w:firstLine="0"/>
              <w:rPr>
                <w:rFonts w:cs="Arial"/>
                <w:iCs/>
                <w:sz w:val="18"/>
              </w:rPr>
            </w:pPr>
            <w:r w:rsidRPr="009F5E32">
              <w:rPr>
                <w:rFonts w:cs="Arial"/>
                <w:iCs/>
                <w:sz w:val="18"/>
              </w:rPr>
              <w:t>2.</w:t>
            </w:r>
            <w:r w:rsidRPr="009F5E32">
              <w:rPr>
                <w:rFonts w:cs="Arial"/>
                <w:iCs/>
                <w:sz w:val="18"/>
              </w:rPr>
              <w:tab/>
              <w:t>Any storage vessel storing a liquid with a vapor pressure less than 3.5 kPa</w:t>
            </w:r>
          </w:p>
          <w:p w14:paraId="68D199DA" w14:textId="77777777" w:rsidR="00542603" w:rsidRPr="009F5E32" w:rsidRDefault="00542603" w:rsidP="00542603">
            <w:pPr>
              <w:tabs>
                <w:tab w:val="left" w:pos="-1440"/>
              </w:tabs>
              <w:ind w:left="0" w:firstLine="0"/>
              <w:rPr>
                <w:rFonts w:cs="Arial"/>
                <w:iCs/>
                <w:sz w:val="18"/>
              </w:rPr>
            </w:pPr>
            <w:r w:rsidRPr="009F5E32">
              <w:rPr>
                <w:rFonts w:cs="Arial"/>
                <w:iCs/>
                <w:sz w:val="18"/>
              </w:rPr>
              <w:t>3.</w:t>
            </w:r>
            <w:r w:rsidRPr="009F5E32">
              <w:rPr>
                <w:rFonts w:cs="Arial"/>
                <w:iCs/>
                <w:sz w:val="18"/>
              </w:rPr>
              <w:tab/>
              <w:t>Any storage vessel with a capacity &gt; 75 m</w:t>
            </w:r>
            <w:r w:rsidRPr="009F5E32">
              <w:rPr>
                <w:rFonts w:cs="Arial"/>
                <w:iCs/>
                <w:sz w:val="18"/>
                <w:vertAlign w:val="superscript"/>
              </w:rPr>
              <w:t>3</w:t>
            </w:r>
            <w:r w:rsidRPr="009F5E32">
              <w:rPr>
                <w:rFonts w:cs="Arial"/>
                <w:iCs/>
                <w:sz w:val="18"/>
              </w:rPr>
              <w:t xml:space="preserve"> and &lt;151 m</w:t>
            </w:r>
            <w:r w:rsidRPr="009F5E32">
              <w:rPr>
                <w:rFonts w:cs="Arial"/>
                <w:iCs/>
                <w:sz w:val="18"/>
                <w:vertAlign w:val="superscript"/>
              </w:rPr>
              <w:t>3</w:t>
            </w:r>
            <w:r w:rsidRPr="009F5E32">
              <w:rPr>
                <w:rFonts w:cs="Arial"/>
                <w:iCs/>
                <w:sz w:val="18"/>
              </w:rPr>
              <w:t xml:space="preserve"> with a </w:t>
            </w:r>
            <w:proofErr w:type="spellStart"/>
            <w:r w:rsidRPr="009F5E32">
              <w:rPr>
                <w:rFonts w:cs="Arial"/>
                <w:iCs/>
                <w:sz w:val="18"/>
              </w:rPr>
              <w:t>v.p.</w:t>
            </w:r>
            <w:proofErr w:type="spellEnd"/>
            <w:r w:rsidRPr="009F5E32">
              <w:rPr>
                <w:rFonts w:cs="Arial"/>
                <w:iCs/>
                <w:sz w:val="18"/>
              </w:rPr>
              <w:t xml:space="preserve"> &lt;15.0 kPa</w:t>
            </w:r>
          </w:p>
          <w:p w14:paraId="4C083A41" w14:textId="77777777" w:rsidR="00542603" w:rsidRPr="009F5E32" w:rsidRDefault="00542603" w:rsidP="00542603">
            <w:pPr>
              <w:tabs>
                <w:tab w:val="left" w:pos="-1440"/>
              </w:tabs>
              <w:ind w:left="0" w:firstLine="0"/>
              <w:rPr>
                <w:rFonts w:cs="Arial"/>
                <w:iCs/>
                <w:sz w:val="18"/>
              </w:rPr>
            </w:pPr>
            <w:r w:rsidRPr="009F5E32">
              <w:rPr>
                <w:rFonts w:cs="Arial"/>
                <w:iCs/>
                <w:sz w:val="18"/>
              </w:rPr>
              <w:t>4.</w:t>
            </w:r>
            <w:r w:rsidRPr="009F5E32">
              <w:rPr>
                <w:rFonts w:cs="Arial"/>
                <w:iCs/>
                <w:sz w:val="18"/>
              </w:rPr>
              <w:tab/>
              <w:t xml:space="preserve">Pressure vessels &gt;29.7 psi and without emissions to the atmosphere. </w:t>
            </w:r>
          </w:p>
          <w:p w14:paraId="72AFA554" w14:textId="77777777" w:rsidR="00542603" w:rsidRPr="009F5E32" w:rsidRDefault="00542603" w:rsidP="00542603">
            <w:pPr>
              <w:tabs>
                <w:tab w:val="left" w:pos="-1440"/>
              </w:tabs>
              <w:ind w:left="0" w:firstLine="0"/>
              <w:rPr>
                <w:rFonts w:cs="Arial"/>
                <w:iCs/>
                <w:sz w:val="18"/>
              </w:rPr>
            </w:pPr>
            <w:r w:rsidRPr="009F5E32">
              <w:rPr>
                <w:rFonts w:cs="Arial"/>
                <w:iCs/>
                <w:sz w:val="18"/>
              </w:rPr>
              <w:t>5.</w:t>
            </w:r>
            <w:r w:rsidRPr="009F5E32">
              <w:rPr>
                <w:rFonts w:cs="Arial"/>
                <w:iCs/>
                <w:sz w:val="18"/>
              </w:rPr>
              <w:tab/>
              <w:t>Vessels permanently attached to mobile vehicles.</w:t>
            </w:r>
          </w:p>
          <w:p w14:paraId="57667FED" w14:textId="77777777" w:rsidR="00542603" w:rsidRPr="009F5E32" w:rsidRDefault="00542603" w:rsidP="00542603">
            <w:pPr>
              <w:tabs>
                <w:tab w:val="left" w:pos="-1440"/>
              </w:tabs>
              <w:ind w:left="0" w:firstLine="0"/>
              <w:rPr>
                <w:rFonts w:cs="Arial"/>
                <w:iCs/>
                <w:sz w:val="18"/>
              </w:rPr>
            </w:pPr>
            <w:r w:rsidRPr="009F5E32">
              <w:rPr>
                <w:rFonts w:cs="Arial"/>
                <w:iCs/>
                <w:sz w:val="18"/>
              </w:rPr>
              <w:t>6.</w:t>
            </w:r>
            <w:r w:rsidRPr="009F5E32">
              <w:rPr>
                <w:rFonts w:cs="Arial"/>
                <w:iCs/>
                <w:sz w:val="18"/>
              </w:rPr>
              <w:tab/>
              <w:t>Vessels located at bulk gasoline plants.</w:t>
            </w:r>
          </w:p>
          <w:p w14:paraId="12467D0B" w14:textId="77777777" w:rsidR="00542603" w:rsidRPr="009F5E32" w:rsidRDefault="00542603" w:rsidP="00542603">
            <w:pPr>
              <w:tabs>
                <w:tab w:val="left" w:pos="-1440"/>
              </w:tabs>
              <w:ind w:left="0" w:firstLine="0"/>
              <w:rPr>
                <w:rFonts w:cs="Arial"/>
                <w:iCs/>
                <w:sz w:val="18"/>
              </w:rPr>
            </w:pPr>
            <w:r w:rsidRPr="009F5E32">
              <w:rPr>
                <w:rFonts w:cs="Arial"/>
                <w:iCs/>
                <w:sz w:val="18"/>
              </w:rPr>
              <w:t>7.</w:t>
            </w:r>
            <w:r w:rsidRPr="009F5E32">
              <w:rPr>
                <w:rFonts w:cs="Arial"/>
                <w:iCs/>
                <w:sz w:val="18"/>
              </w:rPr>
              <w:tab/>
              <w:t>Vessels located at gasoline service stations.</w:t>
            </w:r>
          </w:p>
          <w:p w14:paraId="3537CF96" w14:textId="77777777" w:rsidR="00542603" w:rsidRPr="009F5E32" w:rsidRDefault="00542603" w:rsidP="00542603">
            <w:pPr>
              <w:tabs>
                <w:tab w:val="left" w:pos="-1440"/>
              </w:tabs>
              <w:ind w:left="0" w:firstLine="0"/>
              <w:rPr>
                <w:rFonts w:cs="Arial"/>
                <w:iCs/>
                <w:sz w:val="18"/>
              </w:rPr>
            </w:pPr>
            <w:r w:rsidRPr="009F5E32">
              <w:rPr>
                <w:rFonts w:cs="Arial"/>
                <w:iCs/>
                <w:sz w:val="18"/>
              </w:rPr>
              <w:t>For affected facilities, there are recordkeeping requirements and depending upon the material stored there may be standards for the tank’s vent system.</w:t>
            </w:r>
          </w:p>
          <w:p w14:paraId="392376FF" w14:textId="77777777" w:rsidR="00542603" w:rsidRPr="009F5E32" w:rsidRDefault="00542603" w:rsidP="00542603">
            <w:pPr>
              <w:tabs>
                <w:tab w:val="left" w:pos="-1440"/>
              </w:tabs>
              <w:ind w:left="0" w:firstLine="0"/>
              <w:rPr>
                <w:rFonts w:cs="Arial"/>
                <w:iCs/>
                <w:sz w:val="18"/>
              </w:rPr>
            </w:pPr>
          </w:p>
          <w:p w14:paraId="2A8713AF" w14:textId="2098F5BF" w:rsidR="00542603" w:rsidRPr="009F5E32" w:rsidRDefault="00542603" w:rsidP="00542603">
            <w:pPr>
              <w:tabs>
                <w:tab w:val="left" w:pos="-1440"/>
              </w:tabs>
              <w:ind w:left="0" w:firstLine="0"/>
              <w:rPr>
                <w:rFonts w:cs="Arial"/>
                <w:iCs/>
                <w:sz w:val="18"/>
              </w:rPr>
            </w:pPr>
            <w:r w:rsidRPr="009F5E32">
              <w:rPr>
                <w:rFonts w:cs="Arial"/>
                <w:i/>
                <w:iCs/>
                <w:sz w:val="18"/>
              </w:rPr>
              <w:t>The storage tanks at the Facility are used to store No. 2 fuel oil, new and used engine oil, ethylene glycol, and landfill leachate, all of which have a vapour pressure of less than 3.5 kPa.  Accordingly, the Facility has no storage tanks subject to this regulation.</w:t>
            </w:r>
          </w:p>
        </w:tc>
      </w:tr>
      <w:tr w:rsidR="00402D74" w:rsidRPr="009F5E32" w14:paraId="3EDE2A21" w14:textId="77777777" w:rsidTr="003441E4">
        <w:trPr>
          <w:cantSplit/>
        </w:trPr>
        <w:tc>
          <w:tcPr>
            <w:tcW w:w="8610" w:type="dxa"/>
            <w:tcMar>
              <w:top w:w="115" w:type="dxa"/>
              <w:left w:w="115" w:type="dxa"/>
              <w:bottom w:w="115" w:type="dxa"/>
              <w:right w:w="115" w:type="dxa"/>
            </w:tcMar>
            <w:vAlign w:val="center"/>
          </w:tcPr>
          <w:p w14:paraId="3625CF76" w14:textId="77777777" w:rsidR="008607A1" w:rsidRPr="008607A1" w:rsidRDefault="008607A1" w:rsidP="008607A1">
            <w:pPr>
              <w:tabs>
                <w:tab w:val="left" w:pos="-1440"/>
              </w:tabs>
              <w:autoSpaceDE/>
              <w:autoSpaceDN/>
              <w:adjustRightInd/>
              <w:ind w:left="0" w:firstLine="0"/>
              <w:rPr>
                <w:iCs/>
                <w:snapToGrid w:val="0"/>
                <w:sz w:val="18"/>
              </w:rPr>
            </w:pPr>
            <w:r w:rsidRPr="008607A1">
              <w:rPr>
                <w:iCs/>
                <w:snapToGrid w:val="0"/>
                <w:sz w:val="18"/>
              </w:rPr>
              <w:t xml:space="preserve">40 </w:t>
            </w:r>
            <w:r w:rsidRPr="008607A1">
              <w:rPr>
                <w:i/>
                <w:iCs/>
                <w:snapToGrid w:val="0"/>
                <w:sz w:val="18"/>
              </w:rPr>
              <w:t>CFR</w:t>
            </w:r>
            <w:r w:rsidRPr="008607A1">
              <w:rPr>
                <w:iCs/>
                <w:snapToGrid w:val="0"/>
                <w:sz w:val="18"/>
              </w:rPr>
              <w:t xml:space="preserve"> Part 60, Subpart WWW - Standards of Performance for Municipal Solid Waste Landfills.  §60.752 Standards - Requires landfill gas collection and control system.  §60.753 Operational Standards - Operational requirements of the gas collection and control system.  Applicable to all MSW landfills with a design capacity of 2.5 million mega-grams (Mg) or greater, however the requirement to install the landfill gas collection and control system is only required once uncontrolled emissions of nonmethane organic compounds (NMOCs) from the landfill equal or exceed 50 Mg/year.  </w:t>
            </w:r>
          </w:p>
          <w:p w14:paraId="6394B8C8" w14:textId="77777777" w:rsidR="008607A1" w:rsidRPr="008607A1" w:rsidRDefault="008607A1" w:rsidP="008607A1">
            <w:pPr>
              <w:tabs>
                <w:tab w:val="left" w:pos="-1440"/>
              </w:tabs>
              <w:autoSpaceDE/>
              <w:autoSpaceDN/>
              <w:adjustRightInd/>
              <w:ind w:left="0" w:firstLine="0"/>
              <w:rPr>
                <w:iCs/>
                <w:snapToGrid w:val="0"/>
                <w:sz w:val="18"/>
              </w:rPr>
            </w:pPr>
          </w:p>
          <w:p w14:paraId="5B81C578" w14:textId="4ABB382B" w:rsidR="008607A1" w:rsidRPr="008607A1" w:rsidRDefault="00F27B43" w:rsidP="008607A1">
            <w:pPr>
              <w:tabs>
                <w:tab w:val="left" w:pos="-1440"/>
              </w:tabs>
              <w:autoSpaceDE/>
              <w:autoSpaceDN/>
              <w:adjustRightInd/>
              <w:ind w:left="0" w:firstLine="0"/>
              <w:rPr>
                <w:i/>
                <w:iCs/>
                <w:snapToGrid w:val="0"/>
                <w:sz w:val="18"/>
              </w:rPr>
            </w:pPr>
            <w:r w:rsidRPr="00F27B43">
              <w:rPr>
                <w:i/>
                <w:iCs/>
                <w:snapToGrid w:val="0"/>
                <w:sz w:val="18"/>
              </w:rPr>
              <w:t xml:space="preserve">The Facility is subject to this regulation.  The Landfill Operation has an existing design capacity (unlined through Phases IV) of 7,650,477 Mg and Phase V will add an additional capacity of 1,854,738 Mg.  Uncontrolled NMOC emissions were predicted to first exceed 50 Mg in the year 2001.  The Facility is also subject to this regulation </w:t>
            </w:r>
            <w:proofErr w:type="gramStart"/>
            <w:r w:rsidRPr="00F27B43">
              <w:rPr>
                <w:i/>
                <w:iCs/>
                <w:snapToGrid w:val="0"/>
                <w:sz w:val="18"/>
              </w:rPr>
              <w:t>by virtue of</w:t>
            </w:r>
            <w:proofErr w:type="gramEnd"/>
            <w:r w:rsidRPr="00F27B43">
              <w:rPr>
                <w:i/>
                <w:iCs/>
                <w:snapToGrid w:val="0"/>
                <w:sz w:val="18"/>
              </w:rPr>
              <w:t xml:space="preserve"> it being subject to the requirements of 40 CFR Part 63, Subpart AAAA.  </w:t>
            </w:r>
            <w:r w:rsidR="008607A1" w:rsidRPr="008607A1">
              <w:rPr>
                <w:i/>
                <w:iCs/>
                <w:snapToGrid w:val="0"/>
                <w:sz w:val="18"/>
              </w:rPr>
              <w:t xml:space="preserve">  </w:t>
            </w:r>
          </w:p>
          <w:p w14:paraId="1C816D41" w14:textId="77777777" w:rsidR="008607A1" w:rsidRPr="008607A1" w:rsidRDefault="008607A1" w:rsidP="008607A1">
            <w:pPr>
              <w:tabs>
                <w:tab w:val="left" w:pos="-1440"/>
              </w:tabs>
              <w:autoSpaceDE/>
              <w:autoSpaceDN/>
              <w:adjustRightInd/>
              <w:ind w:left="0" w:firstLine="0"/>
              <w:rPr>
                <w:i/>
                <w:iCs/>
                <w:snapToGrid w:val="0"/>
                <w:sz w:val="18"/>
              </w:rPr>
            </w:pPr>
          </w:p>
          <w:p w14:paraId="27AD4FE1" w14:textId="7EA7945C" w:rsidR="00402D74" w:rsidRPr="009F5E32" w:rsidRDefault="008607A1" w:rsidP="00402D74">
            <w:pPr>
              <w:tabs>
                <w:tab w:val="left" w:pos="-1440"/>
              </w:tabs>
              <w:ind w:left="0" w:firstLine="0"/>
              <w:rPr>
                <w:rFonts w:cs="Arial"/>
                <w:iCs/>
                <w:sz w:val="18"/>
              </w:rPr>
            </w:pPr>
            <w:r w:rsidRPr="008607A1">
              <w:rPr>
                <w:i/>
                <w:iCs/>
                <w:snapToGrid w:val="0"/>
                <w:sz w:val="18"/>
              </w:rPr>
              <w:t xml:space="preserve">Subpart AAAA requires that the Facility comply with Subpart WWW, or an EPA approved and effective state plan that implements 40 CFR, Part 60, Subpart Cc.  As Vermont does not have a state plan that implements 40 CFR, Part 60, Subpart Cc, the Facility must comply with Subpart WWW.  </w:t>
            </w:r>
            <w:r w:rsidRPr="008607A1">
              <w:rPr>
                <w:i/>
                <w:iCs/>
                <w:snapToGrid w:val="0"/>
                <w:sz w:val="18"/>
                <w:lang w:val="en"/>
              </w:rPr>
              <w:t xml:space="preserve">At the time construction is commenced on Phase VI, the Landfill Operation will have been modified </w:t>
            </w:r>
            <w:proofErr w:type="gramStart"/>
            <w:r w:rsidRPr="008607A1">
              <w:rPr>
                <w:i/>
                <w:iCs/>
                <w:snapToGrid w:val="0"/>
                <w:sz w:val="18"/>
                <w:lang w:val="en"/>
              </w:rPr>
              <w:t>subsequent to</w:t>
            </w:r>
            <w:proofErr w:type="gramEnd"/>
            <w:r w:rsidRPr="008607A1">
              <w:rPr>
                <w:i/>
                <w:iCs/>
                <w:snapToGrid w:val="0"/>
                <w:sz w:val="18"/>
                <w:lang w:val="en"/>
              </w:rPr>
              <w:t xml:space="preserve"> July 17, 2014 </w:t>
            </w:r>
            <w:r w:rsidRPr="008607A1">
              <w:rPr>
                <w:i/>
                <w:iCs/>
                <w:snapToGrid w:val="0"/>
                <w:sz w:val="18"/>
              </w:rPr>
              <w:t xml:space="preserve">to increase its </w:t>
            </w:r>
            <w:r w:rsidR="00F27B43" w:rsidRPr="008607A1">
              <w:rPr>
                <w:i/>
                <w:iCs/>
                <w:snapToGrid w:val="0"/>
                <w:sz w:val="18"/>
              </w:rPr>
              <w:t>capacity and</w:t>
            </w:r>
            <w:r w:rsidRPr="008607A1">
              <w:rPr>
                <w:i/>
                <w:iCs/>
                <w:snapToGrid w:val="0"/>
                <w:sz w:val="18"/>
              </w:rPr>
              <w:t xml:space="preserve"> will become subject to 40 CFR Part 60 Subpart XXX.  </w:t>
            </w:r>
          </w:p>
        </w:tc>
      </w:tr>
      <w:tr w:rsidR="003C1C06" w:rsidRPr="009F5E32" w14:paraId="11E60BA8" w14:textId="77777777" w:rsidTr="003441E4">
        <w:trPr>
          <w:cantSplit/>
        </w:trPr>
        <w:tc>
          <w:tcPr>
            <w:tcW w:w="8610" w:type="dxa"/>
            <w:tcMar>
              <w:top w:w="115" w:type="dxa"/>
              <w:left w:w="115" w:type="dxa"/>
              <w:bottom w:w="115" w:type="dxa"/>
              <w:right w:w="115" w:type="dxa"/>
            </w:tcMar>
            <w:vAlign w:val="center"/>
          </w:tcPr>
          <w:p w14:paraId="3B0E50FF" w14:textId="77777777" w:rsidR="003C1C06" w:rsidRPr="009F5E32" w:rsidRDefault="003C1C06" w:rsidP="003C1C06">
            <w:pPr>
              <w:tabs>
                <w:tab w:val="left" w:pos="-1440"/>
              </w:tabs>
              <w:ind w:left="0" w:firstLine="0"/>
              <w:rPr>
                <w:iCs/>
                <w:sz w:val="18"/>
                <w:lang w:val="en"/>
              </w:rPr>
            </w:pPr>
            <w:r w:rsidRPr="009F5E32">
              <w:rPr>
                <w:iCs/>
                <w:sz w:val="18"/>
                <w:lang w:val="en"/>
              </w:rPr>
              <w:t xml:space="preserve">40 </w:t>
            </w:r>
            <w:r w:rsidRPr="009F5E32">
              <w:rPr>
                <w:i/>
                <w:iCs/>
                <w:sz w:val="18"/>
                <w:lang w:val="en"/>
              </w:rPr>
              <w:t>CFR</w:t>
            </w:r>
            <w:r w:rsidRPr="009F5E32">
              <w:rPr>
                <w:iCs/>
                <w:sz w:val="18"/>
                <w:lang w:val="en"/>
              </w:rPr>
              <w:t xml:space="preserve"> Part 60, Subpart XXX - Standards of Performance for Municipal Solid Waste Landfills That Commenced Construction, Reconstruction, or Modification After July 17, 2014.  </w:t>
            </w:r>
            <w:r w:rsidRPr="009F5E32">
              <w:rPr>
                <w:iCs/>
                <w:sz w:val="18"/>
              </w:rPr>
              <w:t>Requires landfill gas collection and control system.  §60.762 Standards for air emissions from municipal solid waste landfills.  Applicable to all MSW landfills with a design capacity of 2.5 million mega-grams (Mg) or greater, however the requirement to install the landfill gas collection and control system is only required once uncontrolled emissions of nonmethane organic compounds (NMOCs) from the landfill equal or exceed 34 Mg/year</w:t>
            </w:r>
          </w:p>
          <w:p w14:paraId="2F460AF9" w14:textId="77777777" w:rsidR="003C1C06" w:rsidRPr="009F5E32" w:rsidRDefault="003C1C06" w:rsidP="003C1C06">
            <w:pPr>
              <w:tabs>
                <w:tab w:val="left" w:pos="-1440"/>
              </w:tabs>
              <w:ind w:left="0" w:firstLine="0"/>
              <w:rPr>
                <w:iCs/>
                <w:sz w:val="18"/>
                <w:lang w:val="en"/>
              </w:rPr>
            </w:pPr>
          </w:p>
          <w:p w14:paraId="1E5A867C" w14:textId="04384BA3" w:rsidR="003C1C06" w:rsidRPr="00FD516E" w:rsidRDefault="00F27B43" w:rsidP="003C1C06">
            <w:pPr>
              <w:tabs>
                <w:tab w:val="left" w:pos="-1440"/>
              </w:tabs>
              <w:ind w:left="0" w:firstLine="0"/>
              <w:rPr>
                <w:iCs/>
                <w:sz w:val="18"/>
              </w:rPr>
            </w:pPr>
            <w:r w:rsidRPr="00F27B43">
              <w:rPr>
                <w:i/>
                <w:iCs/>
                <w:sz w:val="18"/>
              </w:rPr>
              <w:t>The Facility will become subject to this regulation</w:t>
            </w:r>
            <w:r w:rsidRPr="00F27B43">
              <w:rPr>
                <w:i/>
                <w:iCs/>
                <w:sz w:val="18"/>
                <w:lang w:val="en"/>
              </w:rPr>
              <w:t xml:space="preserve"> at the time construction is commenced on Phase VI of the Landfill Operation.  </w:t>
            </w:r>
            <w:r w:rsidRPr="00F27B43">
              <w:rPr>
                <w:i/>
                <w:iCs/>
                <w:sz w:val="18"/>
              </w:rPr>
              <w:t xml:space="preserve">The Landfill Operation has an existing design capacity (unlined through Phases IV) </w:t>
            </w:r>
            <w:r w:rsidR="008A5589" w:rsidRPr="008A5589">
              <w:rPr>
                <w:i/>
                <w:iCs/>
                <w:sz w:val="18"/>
              </w:rPr>
              <w:t>of 7,650,477 Mg and Phase V will add an additional capacity of 1,854,738 Mg</w:t>
            </w:r>
            <w:r w:rsidRPr="00F27B43">
              <w:rPr>
                <w:i/>
                <w:iCs/>
                <w:sz w:val="18"/>
              </w:rPr>
              <w:t>.  Uncontrolled NMOC emissions were predicted to first exceed 34 Mg prior to 2001.</w:t>
            </w:r>
          </w:p>
        </w:tc>
      </w:tr>
      <w:tr w:rsidR="00B135AB" w:rsidRPr="009F5E32" w14:paraId="7BF53072" w14:textId="77777777" w:rsidTr="003441E4">
        <w:trPr>
          <w:cantSplit/>
        </w:trPr>
        <w:tc>
          <w:tcPr>
            <w:tcW w:w="8610" w:type="dxa"/>
            <w:tcMar>
              <w:top w:w="115" w:type="dxa"/>
              <w:left w:w="115" w:type="dxa"/>
              <w:bottom w:w="115" w:type="dxa"/>
              <w:right w:w="115" w:type="dxa"/>
            </w:tcMar>
            <w:vAlign w:val="center"/>
          </w:tcPr>
          <w:p w14:paraId="3174C8A6" w14:textId="77777777" w:rsidR="00B135AB" w:rsidRPr="00FD516E" w:rsidRDefault="00B135AB" w:rsidP="00D14D5D">
            <w:pPr>
              <w:tabs>
                <w:tab w:val="left" w:pos="-1440"/>
              </w:tabs>
              <w:ind w:left="0" w:firstLine="0"/>
              <w:rPr>
                <w:iCs/>
                <w:sz w:val="18"/>
              </w:rPr>
            </w:pPr>
            <w:r w:rsidRPr="00FD516E">
              <w:rPr>
                <w:iCs/>
                <w:sz w:val="18"/>
              </w:rPr>
              <w:lastRenderedPageBreak/>
              <w:t xml:space="preserve">40 CFR Part 60, Subpart IIII - Standards of Performance for Stationary Compression Ignition Internal Combustion Engines (CI ICE).  Applies to CI RICE model year 2007 and later as well as those ordered after July 11, 2005 and with an engine manufacture date after April 1, 2006.  This standard also applies to stationary CI RICE that are modified or reconstructed after July 11, 2005.  This regulation established emission rates for affected engines, requires routine engine maintenance and sets maximum sulfur content for the diesel fuel.  Beginning October 1, 2010 applicable engines shall only use diesel fuel with a maximum sulfur content of 15 ppm (ULSD).  </w:t>
            </w:r>
          </w:p>
          <w:p w14:paraId="68425780" w14:textId="77777777" w:rsidR="00B135AB" w:rsidRPr="00FD516E" w:rsidRDefault="00B135AB" w:rsidP="00D14D5D">
            <w:pPr>
              <w:tabs>
                <w:tab w:val="left" w:pos="-1440"/>
              </w:tabs>
              <w:rPr>
                <w:iCs/>
                <w:sz w:val="18"/>
              </w:rPr>
            </w:pPr>
          </w:p>
          <w:p w14:paraId="5423C97A" w14:textId="274C280B" w:rsidR="00B135AB" w:rsidRPr="00FD516E" w:rsidRDefault="00B135AB" w:rsidP="0056105B">
            <w:pPr>
              <w:tabs>
                <w:tab w:val="left" w:pos="-1440"/>
              </w:tabs>
              <w:ind w:left="0" w:firstLine="0"/>
              <w:rPr>
                <w:rFonts w:cs="Arial"/>
                <w:iCs/>
                <w:sz w:val="18"/>
              </w:rPr>
            </w:pPr>
            <w:r w:rsidRPr="00FD516E">
              <w:rPr>
                <w:i/>
                <w:iCs/>
                <w:sz w:val="18"/>
              </w:rPr>
              <w:t xml:space="preserve">This regulation </w:t>
            </w:r>
            <w:r w:rsidR="00A62A35" w:rsidRPr="00FD516E">
              <w:rPr>
                <w:i/>
                <w:iCs/>
                <w:sz w:val="18"/>
              </w:rPr>
              <w:t xml:space="preserve">is not applicable to the </w:t>
            </w:r>
            <w:r w:rsidR="0056105B" w:rsidRPr="00FD516E">
              <w:rPr>
                <w:i/>
                <w:iCs/>
                <w:sz w:val="18"/>
              </w:rPr>
              <w:t xml:space="preserve">CAT 3520C </w:t>
            </w:r>
            <w:r w:rsidR="00A62A35" w:rsidRPr="00FD516E">
              <w:rPr>
                <w:i/>
                <w:iCs/>
                <w:sz w:val="18"/>
              </w:rPr>
              <w:t xml:space="preserve">engines at the </w:t>
            </w:r>
            <w:r w:rsidR="0056105B" w:rsidRPr="00FD516E">
              <w:rPr>
                <w:i/>
                <w:iCs/>
                <w:sz w:val="18"/>
              </w:rPr>
              <w:t>LFGTE Operation</w:t>
            </w:r>
            <w:r w:rsidR="00A62A35" w:rsidRPr="00FD516E">
              <w:rPr>
                <w:i/>
                <w:iCs/>
                <w:sz w:val="18"/>
              </w:rPr>
              <w:t xml:space="preserve"> as these engines are spark ignition rather than compression ignition.  </w:t>
            </w:r>
            <w:r w:rsidR="00DC27AD" w:rsidRPr="00FD516E">
              <w:rPr>
                <w:i/>
                <w:iCs/>
                <w:sz w:val="18"/>
              </w:rPr>
              <w:t xml:space="preserve">Subpart IIII is not applicable to the Perkins 1006-6TG engine powering the emergency generator at the LFGTE Operation.  The engine was not ordered after </w:t>
            </w:r>
            <w:r w:rsidR="00F27B43" w:rsidRPr="00FD516E">
              <w:rPr>
                <w:i/>
                <w:iCs/>
                <w:sz w:val="18"/>
              </w:rPr>
              <w:t>July 11, 2005 and</w:t>
            </w:r>
            <w:r w:rsidR="00DC27AD" w:rsidRPr="00FD516E">
              <w:rPr>
                <w:i/>
                <w:iCs/>
                <w:sz w:val="18"/>
              </w:rPr>
              <w:t xml:space="preserve"> was manufactured before April 1, 2006</w:t>
            </w:r>
            <w:r w:rsidR="00A62A35" w:rsidRPr="00FD516E">
              <w:rPr>
                <w:i/>
                <w:iCs/>
                <w:sz w:val="18"/>
              </w:rPr>
              <w:t>.</w:t>
            </w:r>
          </w:p>
        </w:tc>
      </w:tr>
      <w:tr w:rsidR="00B135AB" w:rsidRPr="009F5E32" w14:paraId="5A4FEBB5" w14:textId="77777777" w:rsidTr="003441E4">
        <w:trPr>
          <w:cantSplit/>
        </w:trPr>
        <w:tc>
          <w:tcPr>
            <w:tcW w:w="8610" w:type="dxa"/>
            <w:tcMar>
              <w:top w:w="115" w:type="dxa"/>
              <w:left w:w="115" w:type="dxa"/>
              <w:bottom w:w="115" w:type="dxa"/>
              <w:right w:w="115" w:type="dxa"/>
            </w:tcMar>
            <w:vAlign w:val="center"/>
          </w:tcPr>
          <w:p w14:paraId="6AE2AAFF" w14:textId="77777777" w:rsidR="00F60703" w:rsidRPr="00FD516E" w:rsidRDefault="00F60703" w:rsidP="00F60703">
            <w:pPr>
              <w:tabs>
                <w:tab w:val="left" w:pos="-1440"/>
              </w:tabs>
              <w:autoSpaceDE/>
              <w:autoSpaceDN/>
              <w:adjustRightInd/>
              <w:ind w:left="0" w:firstLine="0"/>
              <w:rPr>
                <w:iCs/>
                <w:snapToGrid w:val="0"/>
                <w:sz w:val="18"/>
              </w:rPr>
            </w:pPr>
            <w:r w:rsidRPr="00FD516E">
              <w:rPr>
                <w:iCs/>
                <w:snapToGrid w:val="0"/>
                <w:sz w:val="18"/>
              </w:rPr>
              <w:t xml:space="preserve">40 CFR Part 60, Subpart JJJJ - Standards of Performance for Stationary Spark Ignition Internal Combustion Engines.  Applies to new spark ignition engines ordered after June 12, 2006 AND manufactured on or after July 1, 2007.  </w:t>
            </w:r>
          </w:p>
          <w:p w14:paraId="14C6E463" w14:textId="77777777" w:rsidR="00F60703" w:rsidRPr="00FD516E" w:rsidRDefault="00F60703" w:rsidP="00F60703">
            <w:pPr>
              <w:tabs>
                <w:tab w:val="left" w:pos="-1440"/>
              </w:tabs>
              <w:autoSpaceDE/>
              <w:autoSpaceDN/>
              <w:adjustRightInd/>
              <w:ind w:left="0" w:firstLine="0"/>
              <w:rPr>
                <w:iCs/>
                <w:snapToGrid w:val="0"/>
                <w:sz w:val="18"/>
              </w:rPr>
            </w:pPr>
          </w:p>
          <w:p w14:paraId="2D34653C" w14:textId="361A8BFA" w:rsidR="00F60703" w:rsidRPr="00FD516E" w:rsidRDefault="00F60703" w:rsidP="00F60703">
            <w:pPr>
              <w:tabs>
                <w:tab w:val="left" w:pos="-1440"/>
              </w:tabs>
              <w:autoSpaceDE/>
              <w:autoSpaceDN/>
              <w:adjustRightInd/>
              <w:ind w:left="0" w:firstLine="0"/>
              <w:rPr>
                <w:i/>
                <w:iCs/>
                <w:snapToGrid w:val="0"/>
                <w:sz w:val="18"/>
              </w:rPr>
            </w:pPr>
            <w:r w:rsidRPr="00FD516E">
              <w:rPr>
                <w:i/>
                <w:iCs/>
                <w:snapToGrid w:val="0"/>
                <w:sz w:val="18"/>
              </w:rPr>
              <w:t xml:space="preserve">Engines No 1, 2, and 3 were </w:t>
            </w:r>
            <w:r w:rsidR="003C1C06" w:rsidRPr="00FD516E">
              <w:rPr>
                <w:i/>
                <w:iCs/>
                <w:snapToGrid w:val="0"/>
                <w:sz w:val="18"/>
              </w:rPr>
              <w:t xml:space="preserve">ordered before June 12, 2006, and manufactured before July 1, 2007, </w:t>
            </w:r>
            <w:r w:rsidR="00F27B43" w:rsidRPr="00FD516E">
              <w:rPr>
                <w:i/>
                <w:iCs/>
                <w:snapToGrid w:val="0"/>
                <w:sz w:val="18"/>
              </w:rPr>
              <w:t>and therefore</w:t>
            </w:r>
            <w:r w:rsidRPr="00FD516E">
              <w:rPr>
                <w:i/>
                <w:iCs/>
                <w:snapToGrid w:val="0"/>
                <w:sz w:val="18"/>
              </w:rPr>
              <w:t xml:space="preserve"> are not subject to this regulation.</w:t>
            </w:r>
          </w:p>
          <w:p w14:paraId="4E1C7C46" w14:textId="77777777" w:rsidR="00F60703" w:rsidRPr="00FD516E" w:rsidRDefault="00F60703" w:rsidP="00F60703">
            <w:pPr>
              <w:tabs>
                <w:tab w:val="left" w:pos="-1440"/>
              </w:tabs>
              <w:autoSpaceDE/>
              <w:autoSpaceDN/>
              <w:adjustRightInd/>
              <w:ind w:left="0" w:firstLine="0"/>
              <w:rPr>
                <w:iCs/>
                <w:snapToGrid w:val="0"/>
                <w:sz w:val="18"/>
              </w:rPr>
            </w:pPr>
          </w:p>
          <w:p w14:paraId="35D85C3A" w14:textId="77777777" w:rsidR="00F60703" w:rsidRPr="00FD516E" w:rsidRDefault="00F60703" w:rsidP="00F60703">
            <w:pPr>
              <w:tabs>
                <w:tab w:val="left" w:pos="-1440"/>
              </w:tabs>
              <w:autoSpaceDE/>
              <w:autoSpaceDN/>
              <w:adjustRightInd/>
              <w:ind w:left="0" w:firstLine="0"/>
              <w:rPr>
                <w:i/>
                <w:iCs/>
                <w:snapToGrid w:val="0"/>
                <w:sz w:val="18"/>
              </w:rPr>
            </w:pPr>
            <w:r w:rsidRPr="00FD516E">
              <w:rPr>
                <w:i/>
                <w:iCs/>
                <w:snapToGrid w:val="0"/>
                <w:sz w:val="18"/>
              </w:rPr>
              <w:t xml:space="preserve">Engine No. 4 was ordered after June 12, 2006 (order date Nov.6, 2006) but the engine was manufactured before July 1, 2007 (build date Oct. 26, 2006), and was delivered on January 12, 2007.  Accordingly, this engine is not subject to Subpart JJJJ.  </w:t>
            </w:r>
          </w:p>
          <w:p w14:paraId="4856EBE5" w14:textId="77777777" w:rsidR="00F60703" w:rsidRPr="00FD516E" w:rsidRDefault="00F60703" w:rsidP="00F60703">
            <w:pPr>
              <w:tabs>
                <w:tab w:val="left" w:pos="-1440"/>
              </w:tabs>
              <w:autoSpaceDE/>
              <w:autoSpaceDN/>
              <w:adjustRightInd/>
              <w:ind w:left="0" w:firstLine="0"/>
              <w:rPr>
                <w:i/>
                <w:iCs/>
                <w:snapToGrid w:val="0"/>
                <w:sz w:val="18"/>
              </w:rPr>
            </w:pPr>
          </w:p>
          <w:p w14:paraId="1456A04A" w14:textId="49A48D54" w:rsidR="00B135AB" w:rsidRPr="00FD516E" w:rsidRDefault="00F60703" w:rsidP="00F60703">
            <w:pPr>
              <w:tabs>
                <w:tab w:val="left" w:pos="-1440"/>
              </w:tabs>
              <w:ind w:left="0" w:firstLine="0"/>
              <w:rPr>
                <w:rFonts w:cs="Arial"/>
                <w:iCs/>
                <w:sz w:val="18"/>
              </w:rPr>
            </w:pPr>
            <w:r w:rsidRPr="00FD516E">
              <w:rPr>
                <w:i/>
                <w:iCs/>
                <w:snapToGrid w:val="0"/>
                <w:sz w:val="18"/>
              </w:rPr>
              <w:t xml:space="preserve">Engine No. 5 was delivered on June 17, 2009 and Subpart JJJJ applies to this engine.  </w:t>
            </w:r>
          </w:p>
        </w:tc>
      </w:tr>
      <w:tr w:rsidR="00E9713D" w:rsidRPr="009F5E32" w14:paraId="4127DCFC" w14:textId="77777777" w:rsidTr="003441E4">
        <w:trPr>
          <w:cantSplit/>
        </w:trPr>
        <w:tc>
          <w:tcPr>
            <w:tcW w:w="8610" w:type="dxa"/>
            <w:tcMar>
              <w:top w:w="115" w:type="dxa"/>
              <w:left w:w="115" w:type="dxa"/>
              <w:bottom w:w="115" w:type="dxa"/>
              <w:right w:w="115" w:type="dxa"/>
            </w:tcMar>
            <w:vAlign w:val="center"/>
          </w:tcPr>
          <w:p w14:paraId="21211D7E" w14:textId="77777777" w:rsidR="00E9713D" w:rsidRPr="00FD516E" w:rsidRDefault="00E9713D" w:rsidP="00E9713D">
            <w:pPr>
              <w:tabs>
                <w:tab w:val="left" w:pos="-1440"/>
              </w:tabs>
              <w:ind w:left="0" w:firstLine="0"/>
              <w:rPr>
                <w:iCs/>
                <w:sz w:val="18"/>
              </w:rPr>
            </w:pPr>
            <w:r w:rsidRPr="00FD516E">
              <w:rPr>
                <w:iCs/>
                <w:sz w:val="18"/>
              </w:rPr>
              <w:t xml:space="preserve">40 CFR Part 61, Subpart M - National Emission Standards for Hazardous Air Pollutants: National Emission Standard for Asbestos.  Applies to: the owner or operator of a demolition or renovation activity, including regulated asbestos-containing material (RACM) demolition and renovation operations, which are regulated under §61.145 of this Subpart.  Waste generated from these activities shall be disposed on in accordance with the requirements of §61.150 of this Subpart.  Waste disposal facilities receiving waste that is to be disposed of in accordance with §61.150 of this Subpart shall be operated in accordance with the provisions of §61.154 of this Subpart.  </w:t>
            </w:r>
          </w:p>
          <w:p w14:paraId="0E751DA7" w14:textId="77777777" w:rsidR="00E9713D" w:rsidRPr="00FD516E" w:rsidRDefault="00E9713D" w:rsidP="00E9713D">
            <w:pPr>
              <w:tabs>
                <w:tab w:val="left" w:pos="-1440"/>
              </w:tabs>
              <w:ind w:left="0" w:firstLine="0"/>
              <w:rPr>
                <w:iCs/>
                <w:sz w:val="18"/>
              </w:rPr>
            </w:pPr>
          </w:p>
          <w:p w14:paraId="3DFF4FF5" w14:textId="356424C9" w:rsidR="00E9713D" w:rsidRPr="00FD516E" w:rsidRDefault="00E9713D" w:rsidP="00E9713D">
            <w:pPr>
              <w:tabs>
                <w:tab w:val="left" w:pos="-1440"/>
              </w:tabs>
              <w:ind w:left="0" w:firstLine="0"/>
              <w:rPr>
                <w:iCs/>
                <w:sz w:val="18"/>
              </w:rPr>
            </w:pPr>
            <w:r w:rsidRPr="00FD516E">
              <w:rPr>
                <w:iCs/>
                <w:sz w:val="18"/>
              </w:rPr>
              <w:t xml:space="preserve">Waste disposal facilities subject to this rule, shall be operated with no visible emissions to the outside air from areas of RACM disposal, or shall have barriers and signage restricting access to areas of RACM disposal, or shall cover areas of RACM disposal </w:t>
            </w:r>
            <w:proofErr w:type="gramStart"/>
            <w:r w:rsidRPr="00FD516E">
              <w:rPr>
                <w:iCs/>
                <w:sz w:val="18"/>
              </w:rPr>
              <w:t>on a daily basis</w:t>
            </w:r>
            <w:proofErr w:type="gramEnd"/>
            <w:r w:rsidRPr="00FD516E">
              <w:rPr>
                <w:iCs/>
                <w:sz w:val="18"/>
              </w:rPr>
              <w:t xml:space="preserve">.  Waste disposal facilities receiving RACM shall also maintain records of material receipt and shall submit records to the Administrator identifying areas of RACM disposal upon closure of the </w:t>
            </w:r>
            <w:r w:rsidR="00F27B43" w:rsidRPr="00FD516E">
              <w:rPr>
                <w:iCs/>
                <w:sz w:val="18"/>
              </w:rPr>
              <w:t>landfill and</w:t>
            </w:r>
            <w:r w:rsidRPr="00FD516E">
              <w:rPr>
                <w:iCs/>
                <w:sz w:val="18"/>
              </w:rPr>
              <w:t xml:space="preserve"> shall notify the Administrator prior to disturbing areas of RACM disposal.  </w:t>
            </w:r>
          </w:p>
          <w:p w14:paraId="06AB3E01" w14:textId="77777777" w:rsidR="00E9713D" w:rsidRPr="00FD516E" w:rsidRDefault="00E9713D" w:rsidP="00E9713D">
            <w:pPr>
              <w:tabs>
                <w:tab w:val="left" w:pos="-1440"/>
              </w:tabs>
              <w:ind w:left="0" w:firstLine="0"/>
              <w:rPr>
                <w:iCs/>
                <w:sz w:val="18"/>
              </w:rPr>
            </w:pPr>
          </w:p>
          <w:p w14:paraId="41B112B7" w14:textId="7276513A" w:rsidR="00E9713D" w:rsidRPr="00FD516E" w:rsidRDefault="00E9713D" w:rsidP="00E9713D">
            <w:pPr>
              <w:tabs>
                <w:tab w:val="left" w:pos="-1440"/>
              </w:tabs>
              <w:ind w:left="0" w:firstLine="0"/>
              <w:rPr>
                <w:iCs/>
                <w:sz w:val="18"/>
              </w:rPr>
            </w:pPr>
            <w:r w:rsidRPr="00FD516E">
              <w:rPr>
                <w:i/>
                <w:iCs/>
                <w:sz w:val="18"/>
              </w:rPr>
              <w:t>Subpart M is anticipated to apply to the Facility, specifically to disposal of RACM at the Landfill Operation</w:t>
            </w:r>
          </w:p>
        </w:tc>
      </w:tr>
      <w:tr w:rsidR="00E9713D" w:rsidRPr="009F5E32" w14:paraId="1FA2D92B" w14:textId="77777777" w:rsidTr="003441E4">
        <w:trPr>
          <w:cantSplit/>
        </w:trPr>
        <w:tc>
          <w:tcPr>
            <w:tcW w:w="8610" w:type="dxa"/>
            <w:tcMar>
              <w:top w:w="115" w:type="dxa"/>
              <w:left w:w="115" w:type="dxa"/>
              <w:bottom w:w="115" w:type="dxa"/>
              <w:right w:w="115" w:type="dxa"/>
            </w:tcMar>
            <w:vAlign w:val="center"/>
          </w:tcPr>
          <w:p w14:paraId="2F881F7B" w14:textId="77777777" w:rsidR="00E9713D" w:rsidRPr="00FD516E" w:rsidRDefault="00E9713D" w:rsidP="00E9713D">
            <w:pPr>
              <w:tabs>
                <w:tab w:val="left" w:pos="-1440"/>
              </w:tabs>
              <w:ind w:left="0" w:firstLine="0"/>
              <w:rPr>
                <w:iCs/>
                <w:sz w:val="18"/>
              </w:rPr>
            </w:pPr>
            <w:r w:rsidRPr="00FD516E">
              <w:rPr>
                <w:iCs/>
                <w:sz w:val="18"/>
              </w:rPr>
              <w:lastRenderedPageBreak/>
              <w:t xml:space="preserve">40 </w:t>
            </w:r>
            <w:r w:rsidRPr="00FD516E">
              <w:rPr>
                <w:i/>
                <w:iCs/>
                <w:sz w:val="18"/>
              </w:rPr>
              <w:t>CFR</w:t>
            </w:r>
            <w:r w:rsidRPr="00FD516E">
              <w:rPr>
                <w:iCs/>
                <w:sz w:val="18"/>
              </w:rPr>
              <w:t xml:space="preserve"> Part 63, Subpart AAAA - National Emission Standards for Hazardous Air Pollutants:  Municipal Solid Waste Landfills.  §63.1955 Standards - Requires gas collection and control system meeting the same standards as 40 </w:t>
            </w:r>
            <w:r w:rsidRPr="00FD516E">
              <w:rPr>
                <w:i/>
                <w:iCs/>
                <w:sz w:val="18"/>
              </w:rPr>
              <w:t>CFR</w:t>
            </w:r>
            <w:r w:rsidRPr="00FD516E">
              <w:rPr>
                <w:iCs/>
                <w:sz w:val="18"/>
              </w:rPr>
              <w:t xml:space="preserve"> Part 60, Subpart WWW by referencing such.  Applicable to all MSW landfills that are (1) a major source of Hazardous Air Pollutants (HAPs), or (2) are collocated with a major source of HAPs, or (3) are an area source with a design capacity of 2.5 million megagrams (Mg) or greater and have estimated uncontrolled emissions of NMOCs equal to or greater than 50 Mg/year.  </w:t>
            </w:r>
          </w:p>
          <w:p w14:paraId="142C8708" w14:textId="77777777" w:rsidR="00E9713D" w:rsidRPr="00FD516E" w:rsidRDefault="00E9713D" w:rsidP="00E9713D">
            <w:pPr>
              <w:tabs>
                <w:tab w:val="left" w:pos="-1440"/>
              </w:tabs>
              <w:ind w:left="0" w:firstLine="0"/>
              <w:rPr>
                <w:iCs/>
                <w:sz w:val="18"/>
              </w:rPr>
            </w:pPr>
          </w:p>
          <w:p w14:paraId="1C2C3B01" w14:textId="0F9D734E" w:rsidR="003C1C06" w:rsidRPr="00FD516E" w:rsidRDefault="003C1C06" w:rsidP="003C1C06">
            <w:pPr>
              <w:tabs>
                <w:tab w:val="left" w:pos="-1440"/>
              </w:tabs>
              <w:ind w:left="0" w:firstLine="0"/>
              <w:rPr>
                <w:i/>
                <w:iCs/>
                <w:sz w:val="18"/>
              </w:rPr>
            </w:pPr>
            <w:r w:rsidRPr="009F5E32">
              <w:rPr>
                <w:i/>
                <w:iCs/>
                <w:sz w:val="18"/>
              </w:rPr>
              <w:t xml:space="preserve">The Facility is subject to this regulation.  The Landfill Operation is not a major source of </w:t>
            </w:r>
            <w:r w:rsidR="00F27B43" w:rsidRPr="009F5E32">
              <w:rPr>
                <w:i/>
                <w:iCs/>
                <w:sz w:val="18"/>
              </w:rPr>
              <w:t>HAPs but</w:t>
            </w:r>
            <w:r w:rsidRPr="009F5E32">
              <w:rPr>
                <w:i/>
                <w:iCs/>
                <w:sz w:val="18"/>
              </w:rPr>
              <w:t xml:space="preserve"> is collocated with the LFGTE Operation which is a major source of HAPs and the Landfill Operation has a design capacity of 2.5 million Mg or greater and has estimated uncontrolled emissions o</w:t>
            </w:r>
            <w:r w:rsidRPr="00FD516E">
              <w:rPr>
                <w:i/>
                <w:iCs/>
                <w:sz w:val="18"/>
              </w:rPr>
              <w:t xml:space="preserve">f NMOCs greater than 50 Mg/year.  </w:t>
            </w:r>
          </w:p>
          <w:p w14:paraId="67E05859" w14:textId="77777777" w:rsidR="003C1C06" w:rsidRPr="009F5E32" w:rsidRDefault="003C1C06" w:rsidP="003C1C06">
            <w:pPr>
              <w:tabs>
                <w:tab w:val="left" w:pos="-1440"/>
              </w:tabs>
              <w:ind w:left="0" w:firstLine="0"/>
              <w:rPr>
                <w:i/>
                <w:iCs/>
                <w:sz w:val="18"/>
              </w:rPr>
            </w:pPr>
          </w:p>
          <w:p w14:paraId="30614BBA" w14:textId="293F795C" w:rsidR="00E9713D" w:rsidRPr="00FD516E" w:rsidRDefault="003C1C06" w:rsidP="003C1C06">
            <w:pPr>
              <w:tabs>
                <w:tab w:val="left" w:pos="-1440"/>
              </w:tabs>
              <w:ind w:left="0" w:firstLine="0"/>
              <w:rPr>
                <w:iCs/>
                <w:sz w:val="18"/>
              </w:rPr>
            </w:pPr>
            <w:r w:rsidRPr="009F5E32">
              <w:rPr>
                <w:i/>
                <w:iCs/>
                <w:sz w:val="18"/>
              </w:rPr>
              <w:t xml:space="preserve">Subpart AAAA requires that the Facility comply with Subpart WWW, or an EPA approved and effective state plan that implements 40 CFR, Part 60, Subpart Cc.  As Vermont does not have a state plan that implements 40 CFR, Part 60, Subpart Cc, the Facility must comply with Subpart WWW.  </w:t>
            </w:r>
            <w:r w:rsidRPr="009F5E32">
              <w:rPr>
                <w:i/>
                <w:iCs/>
                <w:sz w:val="18"/>
                <w:lang w:val="en"/>
              </w:rPr>
              <w:t xml:space="preserve">At the time construction is commenced on Phase VI, the Landfill Operation will have been modified subsequent to July 17, 2014 </w:t>
            </w:r>
            <w:r w:rsidRPr="009F5E32">
              <w:rPr>
                <w:i/>
                <w:iCs/>
                <w:sz w:val="18"/>
              </w:rPr>
              <w:t xml:space="preserve">to increase its </w:t>
            </w:r>
            <w:proofErr w:type="gramStart"/>
            <w:r w:rsidRPr="009F5E32">
              <w:rPr>
                <w:i/>
                <w:iCs/>
                <w:sz w:val="18"/>
              </w:rPr>
              <w:t>capacity, and</w:t>
            </w:r>
            <w:proofErr w:type="gramEnd"/>
            <w:r w:rsidRPr="009F5E32">
              <w:rPr>
                <w:i/>
                <w:iCs/>
                <w:sz w:val="18"/>
              </w:rPr>
              <w:t xml:space="preserve"> will also become subject to 40 CFR Part 60 Subpart XXX. </w:t>
            </w:r>
            <w:r w:rsidR="00E9713D" w:rsidRPr="00FD516E">
              <w:rPr>
                <w:i/>
                <w:iCs/>
                <w:sz w:val="18"/>
              </w:rPr>
              <w:t xml:space="preserve"> </w:t>
            </w:r>
          </w:p>
        </w:tc>
      </w:tr>
      <w:tr w:rsidR="00E9713D" w:rsidRPr="009F5E32" w14:paraId="05CC36D7" w14:textId="77777777" w:rsidTr="003441E4">
        <w:trPr>
          <w:cantSplit/>
        </w:trPr>
        <w:tc>
          <w:tcPr>
            <w:tcW w:w="8610" w:type="dxa"/>
            <w:tcMar>
              <w:top w:w="115" w:type="dxa"/>
              <w:left w:w="115" w:type="dxa"/>
              <w:bottom w:w="115" w:type="dxa"/>
              <w:right w:w="115" w:type="dxa"/>
            </w:tcMar>
            <w:vAlign w:val="center"/>
          </w:tcPr>
          <w:p w14:paraId="513D4228" w14:textId="040A5919" w:rsidR="00E9713D" w:rsidRPr="00FD516E" w:rsidRDefault="00E9713D" w:rsidP="00E9713D">
            <w:pPr>
              <w:tabs>
                <w:tab w:val="left" w:pos="-1440"/>
              </w:tabs>
              <w:ind w:left="0" w:firstLine="0"/>
              <w:rPr>
                <w:iCs/>
                <w:sz w:val="18"/>
              </w:rPr>
            </w:pPr>
            <w:r w:rsidRPr="00FD516E">
              <w:rPr>
                <w:iCs/>
                <w:sz w:val="18"/>
              </w:rPr>
              <w:t xml:space="preserve">40 </w:t>
            </w:r>
            <w:smartTag w:uri="urn:schemas-microsoft-com:office:smarttags" w:element="stockticker">
              <w:r w:rsidRPr="00FD516E">
                <w:rPr>
                  <w:i/>
                  <w:iCs/>
                  <w:sz w:val="18"/>
                </w:rPr>
                <w:t>CFR</w:t>
              </w:r>
            </w:smartTag>
            <w:r w:rsidRPr="00FD516E">
              <w:rPr>
                <w:iCs/>
                <w:sz w:val="18"/>
              </w:rPr>
              <w:t xml:space="preserve"> Part 63, Subpart ZZZZ - National Emission Standards for Hazardous Air Pollutants for Reciprocating Internal Combustion Engines.  Applies to </w:t>
            </w:r>
            <w:r w:rsidRPr="00FD516E">
              <w:rPr>
                <w:iCs/>
                <w:sz w:val="18"/>
                <w:u w:val="single"/>
              </w:rPr>
              <w:t>new</w:t>
            </w:r>
            <w:r w:rsidRPr="00FD516E">
              <w:rPr>
                <w:iCs/>
                <w:sz w:val="18"/>
              </w:rPr>
              <w:t xml:space="preserve"> engines &gt;500 hp that commenced construction (installed) on or after December 19, 2002 at major sources of HAPs.  Also applies to </w:t>
            </w:r>
            <w:r w:rsidRPr="00FD516E">
              <w:rPr>
                <w:iCs/>
                <w:sz w:val="18"/>
                <w:u w:val="single"/>
              </w:rPr>
              <w:t>existing</w:t>
            </w:r>
            <w:r w:rsidRPr="00FD516E">
              <w:rPr>
                <w:iCs/>
                <w:sz w:val="18"/>
              </w:rPr>
              <w:t xml:space="preserve"> engines of greater than 500 bhp that commenced construction (installed) prior to December 19, 2002 located at major HAP sources.  Engines &lt;500 hp that are located at major sources of HAPs are considered existing if they were installed before June 12, 2006.  </w:t>
            </w:r>
          </w:p>
          <w:p w14:paraId="361FE1E2" w14:textId="77777777" w:rsidR="00E9713D" w:rsidRPr="00FD516E" w:rsidRDefault="00E9713D" w:rsidP="00E9713D">
            <w:pPr>
              <w:tabs>
                <w:tab w:val="left" w:pos="-1440"/>
              </w:tabs>
              <w:ind w:left="0" w:firstLine="0"/>
              <w:rPr>
                <w:iCs/>
                <w:sz w:val="18"/>
              </w:rPr>
            </w:pPr>
          </w:p>
          <w:p w14:paraId="00296BCE" w14:textId="77777777" w:rsidR="00E9713D" w:rsidRPr="00FD516E" w:rsidRDefault="00E9713D" w:rsidP="00E9713D">
            <w:pPr>
              <w:tabs>
                <w:tab w:val="left" w:pos="-1440"/>
              </w:tabs>
              <w:ind w:left="0" w:firstLine="0"/>
              <w:rPr>
                <w:iCs/>
                <w:sz w:val="18"/>
              </w:rPr>
            </w:pPr>
            <w:r w:rsidRPr="00FD516E">
              <w:rPr>
                <w:iCs/>
                <w:sz w:val="18"/>
              </w:rPr>
              <w:t xml:space="preserve">A new or reconstructed stationary RICE with a site rating of more than 500 brake HP located at a major source of HAP emissions which combusts landfill or digester gas equivalent to 10 percent or more of the gross heat input on an annual basis must meet the initial notification requirements of §63.6645(f) and the requirements of §§63.6625(c), 63.6650(g), and 63.6655(c).  These stationary RICE do not have to meet the emission limitations and operating limitations of Subpart ZZZZ.  </w:t>
            </w:r>
          </w:p>
          <w:p w14:paraId="50196300" w14:textId="77777777" w:rsidR="00E9713D" w:rsidRPr="00FD516E" w:rsidRDefault="00E9713D" w:rsidP="00E9713D">
            <w:pPr>
              <w:tabs>
                <w:tab w:val="left" w:pos="-1440"/>
              </w:tabs>
              <w:ind w:left="0" w:firstLine="0"/>
              <w:rPr>
                <w:iCs/>
                <w:sz w:val="18"/>
              </w:rPr>
            </w:pPr>
          </w:p>
          <w:p w14:paraId="78F7D46F" w14:textId="77777777" w:rsidR="00E9713D" w:rsidRPr="00FD516E" w:rsidRDefault="00E9713D" w:rsidP="00E9713D">
            <w:pPr>
              <w:tabs>
                <w:tab w:val="left" w:pos="-1440"/>
              </w:tabs>
              <w:ind w:left="0" w:firstLine="0"/>
              <w:rPr>
                <w:iCs/>
                <w:sz w:val="18"/>
              </w:rPr>
            </w:pPr>
            <w:r w:rsidRPr="00FD516E">
              <w:rPr>
                <w:iCs/>
                <w:sz w:val="18"/>
              </w:rPr>
              <w:t xml:space="preserve">An existing emergency-use only stationary RICE with a rating of &lt; 500 hp located at a major source of HAP emissions is subject to maintenance requirements, and must install an elapsed hour meter.  </w:t>
            </w:r>
          </w:p>
          <w:p w14:paraId="569DA1F4" w14:textId="77777777" w:rsidR="00E9713D" w:rsidRPr="00FD516E" w:rsidRDefault="00E9713D" w:rsidP="00E9713D">
            <w:pPr>
              <w:tabs>
                <w:tab w:val="left" w:pos="-1440"/>
              </w:tabs>
              <w:ind w:left="0" w:firstLine="0"/>
              <w:rPr>
                <w:iCs/>
                <w:sz w:val="18"/>
              </w:rPr>
            </w:pPr>
          </w:p>
          <w:p w14:paraId="785B02C0" w14:textId="391C6419" w:rsidR="00E9713D" w:rsidRPr="00FD516E" w:rsidRDefault="00E9713D" w:rsidP="00E9713D">
            <w:pPr>
              <w:tabs>
                <w:tab w:val="left" w:pos="-1440"/>
              </w:tabs>
              <w:ind w:left="0" w:firstLine="0"/>
              <w:rPr>
                <w:i/>
                <w:iCs/>
                <w:sz w:val="18"/>
              </w:rPr>
            </w:pPr>
            <w:r w:rsidRPr="00FD516E">
              <w:rPr>
                <w:i/>
                <w:iCs/>
                <w:sz w:val="18"/>
              </w:rPr>
              <w:t xml:space="preserve">Engines No 1, 2, and 3 were installed at the Facility in March 2005, making the facility a major HAP source since HAP emissions from these three engines combined likely exceeded the 10 ton per year emission of a single HAP (formaldehyde).  Thus, these three engines are subject to the new engine requirements of a major HAP source under Subpart ZZZZ.  </w:t>
            </w:r>
          </w:p>
          <w:p w14:paraId="56857C48" w14:textId="77777777" w:rsidR="00E9713D" w:rsidRPr="00FD516E" w:rsidRDefault="00E9713D" w:rsidP="00E9713D">
            <w:pPr>
              <w:tabs>
                <w:tab w:val="left" w:pos="-1440"/>
              </w:tabs>
              <w:ind w:left="0" w:firstLine="0"/>
              <w:rPr>
                <w:i/>
                <w:iCs/>
                <w:sz w:val="18"/>
              </w:rPr>
            </w:pPr>
          </w:p>
          <w:p w14:paraId="59FDABCC" w14:textId="1D142C20" w:rsidR="00E9713D" w:rsidRPr="00FD516E" w:rsidRDefault="00E9713D" w:rsidP="00E9713D">
            <w:pPr>
              <w:tabs>
                <w:tab w:val="left" w:pos="-1440"/>
              </w:tabs>
              <w:ind w:left="0" w:firstLine="0"/>
              <w:rPr>
                <w:i/>
                <w:iCs/>
                <w:sz w:val="18"/>
              </w:rPr>
            </w:pPr>
            <w:r w:rsidRPr="00FD516E">
              <w:rPr>
                <w:i/>
                <w:iCs/>
                <w:sz w:val="18"/>
              </w:rPr>
              <w:t>Engine No. 4 was delivered on January 12, 2007 and Subpart ZZZZ at that time required new engines to comply with NSPS Subpart JJJJ.  However, the applicability of NSPS Subpart JJJJ was written to apply to engine</w:t>
            </w:r>
            <w:r w:rsidRPr="00FD516E">
              <w:rPr>
                <w:iCs/>
                <w:sz w:val="18"/>
              </w:rPr>
              <w:t>s</w:t>
            </w:r>
            <w:r w:rsidRPr="00FD516E">
              <w:rPr>
                <w:i/>
                <w:iCs/>
                <w:sz w:val="18"/>
              </w:rPr>
              <w:t xml:space="preserve"> manufactured on or after July 1, 2007.  Thus, Subpart ZZZZ applies to this engine but has no applicable requirements and the engine is not subject to NSPS Subpart JJJJ.  </w:t>
            </w:r>
          </w:p>
          <w:p w14:paraId="73B4A28C" w14:textId="77777777" w:rsidR="00E9713D" w:rsidRPr="00FD516E" w:rsidRDefault="00E9713D" w:rsidP="00E9713D">
            <w:pPr>
              <w:tabs>
                <w:tab w:val="left" w:pos="-1440"/>
              </w:tabs>
              <w:ind w:left="0" w:firstLine="0"/>
              <w:rPr>
                <w:i/>
                <w:iCs/>
                <w:sz w:val="18"/>
              </w:rPr>
            </w:pPr>
          </w:p>
          <w:p w14:paraId="73CCD535" w14:textId="77777777" w:rsidR="00E9713D" w:rsidRPr="00FD516E" w:rsidRDefault="00E9713D" w:rsidP="00E9713D">
            <w:pPr>
              <w:tabs>
                <w:tab w:val="left" w:pos="-1440"/>
              </w:tabs>
              <w:ind w:left="0" w:firstLine="0"/>
              <w:rPr>
                <w:i/>
                <w:iCs/>
                <w:sz w:val="18"/>
              </w:rPr>
            </w:pPr>
            <w:r w:rsidRPr="00FD516E">
              <w:rPr>
                <w:i/>
                <w:iCs/>
                <w:sz w:val="18"/>
              </w:rPr>
              <w:t xml:space="preserve">Engine No. 5 was delivered on June 17, 2009 and complies with the requirements of Subpart ZZZZ by conforming to the requirements of 40 CFR Part 60, Subpart JJJJ.  </w:t>
            </w:r>
          </w:p>
          <w:p w14:paraId="141C584E" w14:textId="77777777" w:rsidR="00E9713D" w:rsidRPr="00FD516E" w:rsidRDefault="00E9713D" w:rsidP="00E9713D">
            <w:pPr>
              <w:tabs>
                <w:tab w:val="left" w:pos="-1440"/>
              </w:tabs>
              <w:ind w:left="0" w:firstLine="0"/>
              <w:rPr>
                <w:i/>
                <w:iCs/>
                <w:sz w:val="18"/>
              </w:rPr>
            </w:pPr>
          </w:p>
          <w:p w14:paraId="49E23306" w14:textId="58E9F65E" w:rsidR="00E9713D" w:rsidRPr="00FD516E" w:rsidRDefault="00E9713D" w:rsidP="00E9713D">
            <w:pPr>
              <w:tabs>
                <w:tab w:val="left" w:pos="-1440"/>
              </w:tabs>
              <w:ind w:left="0" w:firstLine="0"/>
              <w:rPr>
                <w:iCs/>
                <w:sz w:val="18"/>
              </w:rPr>
            </w:pPr>
            <w:r w:rsidRPr="00FD516E">
              <w:rPr>
                <w:i/>
                <w:iCs/>
                <w:sz w:val="18"/>
              </w:rPr>
              <w:t xml:space="preserve">The Perkins 1006-6TG engine powering the emergency generator at the LFGTE Operation was installed before June 12, 2006, and is rated at approximately 140 hp.  This engine is considered an existing emergency-use only stationary RICE &lt; 500 bhp, and must install an elapsed hour meter, and is subject to maintenance requirements including changing oil &amp; filter and, inspecting and replacing, if necessary, air filter, hoses and belts.  </w:t>
            </w:r>
          </w:p>
        </w:tc>
      </w:tr>
      <w:tr w:rsidR="00B66118" w:rsidRPr="00FD516E" w14:paraId="7A46ED38" w14:textId="77777777" w:rsidTr="003441E4">
        <w:trPr>
          <w:cantSplit/>
        </w:trPr>
        <w:tc>
          <w:tcPr>
            <w:tcW w:w="8610" w:type="dxa"/>
            <w:tcMar>
              <w:top w:w="115" w:type="dxa"/>
              <w:left w:w="115" w:type="dxa"/>
              <w:bottom w:w="115" w:type="dxa"/>
              <w:right w:w="115" w:type="dxa"/>
            </w:tcMar>
            <w:vAlign w:val="center"/>
          </w:tcPr>
          <w:p w14:paraId="3E12806B" w14:textId="77777777" w:rsidR="00402D74" w:rsidRPr="00FD516E" w:rsidRDefault="00402D74" w:rsidP="00402D74">
            <w:pPr>
              <w:tabs>
                <w:tab w:val="left" w:pos="-1440"/>
              </w:tabs>
              <w:autoSpaceDE/>
              <w:autoSpaceDN/>
              <w:adjustRightInd/>
              <w:ind w:left="0" w:firstLine="0"/>
              <w:rPr>
                <w:iCs/>
                <w:snapToGrid w:val="0"/>
                <w:sz w:val="18"/>
              </w:rPr>
            </w:pPr>
            <w:r w:rsidRPr="00FD516E">
              <w:rPr>
                <w:rFonts w:cs="Arial"/>
                <w:iCs/>
                <w:snapToGrid w:val="0"/>
                <w:sz w:val="18"/>
              </w:rPr>
              <w:lastRenderedPageBreak/>
              <w:t>Clean Air Act §</w:t>
            </w:r>
            <w:r w:rsidRPr="00FD516E">
              <w:rPr>
                <w:iCs/>
                <w:snapToGrid w:val="0"/>
                <w:sz w:val="18"/>
              </w:rPr>
              <w:t xml:space="preserve">§114(a)(3) Inspections, Monitoring and Entry; 502(b) Permit Programs; and 504(a)-(c) Permit Requirements and Conditions; 40 </w:t>
            </w:r>
            <w:smartTag w:uri="urn:schemas-microsoft-com:office:smarttags" w:element="stockticker">
              <w:r w:rsidRPr="00FD516E">
                <w:rPr>
                  <w:i/>
                  <w:snapToGrid w:val="0"/>
                  <w:sz w:val="18"/>
                </w:rPr>
                <w:t>CFR</w:t>
              </w:r>
            </w:smartTag>
            <w:r w:rsidRPr="00FD516E">
              <w:rPr>
                <w:iCs/>
                <w:snapToGrid w:val="0"/>
                <w:sz w:val="18"/>
              </w:rPr>
              <w:t xml:space="preserve"> Part 64 Compliance Assurance Monitoring;</w:t>
            </w:r>
            <w:r w:rsidRPr="00FD516E">
              <w:rPr>
                <w:rFonts w:cs="Arial"/>
                <w:iCs/>
                <w:snapToGrid w:val="0"/>
                <w:sz w:val="18"/>
              </w:rPr>
              <w:t xml:space="preserve"> 40 </w:t>
            </w:r>
            <w:smartTag w:uri="urn:schemas-microsoft-com:office:smarttags" w:element="stockticker">
              <w:r w:rsidRPr="00FD516E">
                <w:rPr>
                  <w:rFonts w:cs="Arial"/>
                  <w:i/>
                  <w:snapToGrid w:val="0"/>
                  <w:sz w:val="18"/>
                </w:rPr>
                <w:t>CFR</w:t>
              </w:r>
            </w:smartTag>
            <w:r w:rsidRPr="00FD516E">
              <w:rPr>
                <w:rFonts w:cs="Arial"/>
                <w:iCs/>
                <w:snapToGrid w:val="0"/>
                <w:sz w:val="18"/>
              </w:rPr>
              <w:t xml:space="preserve"> Part 70 §§</w:t>
            </w:r>
            <w:r w:rsidRPr="00FD516E">
              <w:rPr>
                <w:iCs/>
                <w:snapToGrid w:val="0"/>
                <w:sz w:val="18"/>
              </w:rPr>
              <w:t>70.6(a)(3)(</w:t>
            </w:r>
            <w:proofErr w:type="spellStart"/>
            <w:r w:rsidRPr="00FD516E">
              <w:rPr>
                <w:iCs/>
                <w:snapToGrid w:val="0"/>
                <w:sz w:val="18"/>
              </w:rPr>
              <w:t>i</w:t>
            </w:r>
            <w:proofErr w:type="spellEnd"/>
            <w:r w:rsidRPr="00FD516E">
              <w:rPr>
                <w:iCs/>
                <w:snapToGrid w:val="0"/>
                <w:sz w:val="18"/>
              </w:rPr>
              <w:t xml:space="preserve">)(B) and 70.6(c)(1) State Operating Permit Programs - Permit content.  Upon renewal of a Title V Permit to Operate, a facility must comply with enhanced monitoring and compliance assurance monitoring requirements if applicable.  The CAM rule applies to each Pollutant Specific Emission Unit (PSEU) at a major source that is required to obtain a part 70 or part 71 permit if the unit satisfies all of the following criteria: </w:t>
            </w:r>
            <w:r w:rsidRPr="00FD516E">
              <w:rPr>
                <w:b/>
                <w:iCs/>
                <w:snapToGrid w:val="0"/>
                <w:sz w:val="18"/>
              </w:rPr>
              <w:t>1)</w:t>
            </w:r>
            <w:r w:rsidRPr="00FD516E">
              <w:rPr>
                <w:iCs/>
                <w:snapToGrid w:val="0"/>
                <w:sz w:val="18"/>
              </w:rPr>
              <w:t xml:space="preserve"> The unit is subject to an emission limitation or standard for the applicable regulated air pollutant other than an emissions limitation or standard that is exempt under §64.2(b)(1) [exempt limitations include emission limitations or standards proposed by the Administrator after November 15, 1990 pursuant to Section 111 or 112 of the Act], </w:t>
            </w:r>
            <w:r w:rsidRPr="00FD516E">
              <w:rPr>
                <w:b/>
                <w:iCs/>
                <w:snapToGrid w:val="0"/>
                <w:sz w:val="18"/>
              </w:rPr>
              <w:t>2)</w:t>
            </w:r>
            <w:r w:rsidRPr="00FD516E">
              <w:rPr>
                <w:iCs/>
                <w:snapToGrid w:val="0"/>
                <w:sz w:val="18"/>
              </w:rPr>
              <w:t xml:space="preserve"> The unit uses a control device to achieve compliance with any such limit or standard; and </w:t>
            </w:r>
            <w:r w:rsidRPr="00FD516E">
              <w:rPr>
                <w:b/>
                <w:iCs/>
                <w:snapToGrid w:val="0"/>
                <w:sz w:val="18"/>
              </w:rPr>
              <w:t>3)</w:t>
            </w:r>
            <w:r w:rsidRPr="00FD516E">
              <w:rPr>
                <w:iCs/>
                <w:snapToGrid w:val="0"/>
                <w:sz w:val="18"/>
              </w:rPr>
              <w:t xml:space="preserve"> The unit has pre-control device emissions of the applicable regulated pollutant that are equal to or greater than 100 percent of the amount, in tons per year, required for a source to be classified as a major source. </w:t>
            </w:r>
          </w:p>
          <w:p w14:paraId="66D570F2" w14:textId="77777777" w:rsidR="00402D74" w:rsidRPr="00FD516E" w:rsidRDefault="00402D74" w:rsidP="00402D74">
            <w:pPr>
              <w:tabs>
                <w:tab w:val="left" w:pos="-1440"/>
              </w:tabs>
              <w:autoSpaceDE/>
              <w:autoSpaceDN/>
              <w:adjustRightInd/>
              <w:ind w:left="0" w:firstLine="0"/>
              <w:rPr>
                <w:iCs/>
                <w:snapToGrid w:val="0"/>
                <w:sz w:val="18"/>
              </w:rPr>
            </w:pPr>
          </w:p>
          <w:p w14:paraId="48B2467C" w14:textId="282D0BAD" w:rsidR="00B66118" w:rsidRPr="00FD516E" w:rsidRDefault="00402D74" w:rsidP="0056105B">
            <w:pPr>
              <w:tabs>
                <w:tab w:val="left" w:pos="-1440"/>
              </w:tabs>
              <w:ind w:left="0" w:firstLine="0"/>
              <w:rPr>
                <w:rFonts w:cs="Arial"/>
                <w:iCs/>
                <w:sz w:val="18"/>
              </w:rPr>
            </w:pPr>
            <w:r w:rsidRPr="00FD516E">
              <w:rPr>
                <w:i/>
                <w:iCs/>
                <w:snapToGrid w:val="0"/>
                <w:sz w:val="18"/>
              </w:rPr>
              <w:t xml:space="preserve">The CAM rule applies to the </w:t>
            </w:r>
            <w:r w:rsidR="0056105B" w:rsidRPr="00FD516E">
              <w:rPr>
                <w:i/>
                <w:iCs/>
                <w:snapToGrid w:val="0"/>
                <w:sz w:val="18"/>
              </w:rPr>
              <w:t>CAT 3520C engines</w:t>
            </w:r>
            <w:r w:rsidRPr="00FD516E">
              <w:rPr>
                <w:i/>
                <w:iCs/>
                <w:snapToGrid w:val="0"/>
                <w:sz w:val="18"/>
              </w:rPr>
              <w:t xml:space="preserve"> </w:t>
            </w:r>
            <w:r w:rsidR="0056105B" w:rsidRPr="00FD516E">
              <w:rPr>
                <w:i/>
                <w:iCs/>
                <w:snapToGrid w:val="0"/>
                <w:sz w:val="18"/>
              </w:rPr>
              <w:t xml:space="preserve">and flares </w:t>
            </w:r>
            <w:r w:rsidRPr="00FD516E">
              <w:rPr>
                <w:i/>
                <w:iCs/>
                <w:snapToGrid w:val="0"/>
                <w:sz w:val="18"/>
              </w:rPr>
              <w:t xml:space="preserve">at the Facility.  The engines and flares </w:t>
            </w:r>
            <w:r w:rsidR="0056105B" w:rsidRPr="00FD516E">
              <w:rPr>
                <w:i/>
                <w:iCs/>
                <w:snapToGrid w:val="0"/>
                <w:sz w:val="18"/>
              </w:rPr>
              <w:t xml:space="preserve">are </w:t>
            </w:r>
            <w:r w:rsidRPr="00FD516E">
              <w:rPr>
                <w:i/>
                <w:iCs/>
                <w:snapToGrid w:val="0"/>
                <w:sz w:val="18"/>
              </w:rPr>
              <w:t xml:space="preserve">be considered an emission control device for VOCs.  CAM is being established as continuous monitoring for the presence of a flame on the flares when they are combusting </w:t>
            </w:r>
            <w:r w:rsidR="00E83ED0" w:rsidRPr="00FD516E">
              <w:rPr>
                <w:i/>
                <w:iCs/>
                <w:snapToGrid w:val="0"/>
                <w:sz w:val="18"/>
              </w:rPr>
              <w:t>LFG</w:t>
            </w:r>
            <w:r w:rsidRPr="00FD516E">
              <w:rPr>
                <w:i/>
                <w:iCs/>
                <w:snapToGrid w:val="0"/>
                <w:sz w:val="18"/>
              </w:rPr>
              <w:t xml:space="preserve"> and continuous monitoring and recording of engine exhaust temperature and compliance testing at least once every </w:t>
            </w:r>
            <w:r w:rsidR="0056105B" w:rsidRPr="00FD516E">
              <w:rPr>
                <w:i/>
                <w:iCs/>
                <w:snapToGrid w:val="0"/>
                <w:sz w:val="18"/>
              </w:rPr>
              <w:t xml:space="preserve">two </w:t>
            </w:r>
            <w:r w:rsidRPr="00FD516E">
              <w:rPr>
                <w:i/>
                <w:iCs/>
                <w:snapToGrid w:val="0"/>
                <w:sz w:val="18"/>
              </w:rPr>
              <w:t>years for combustion efficiency of 98% or outlet NMOC concentration of 20 ppmvd and CO emission rate.</w:t>
            </w:r>
          </w:p>
        </w:tc>
      </w:tr>
      <w:tr w:rsidR="00402D74" w:rsidRPr="009F5E32" w14:paraId="791B3B08" w14:textId="77777777" w:rsidTr="003441E4">
        <w:trPr>
          <w:cantSplit/>
        </w:trPr>
        <w:tc>
          <w:tcPr>
            <w:tcW w:w="8610" w:type="dxa"/>
            <w:tcMar>
              <w:top w:w="115" w:type="dxa"/>
              <w:left w:w="115" w:type="dxa"/>
              <w:bottom w:w="115" w:type="dxa"/>
              <w:right w:w="115" w:type="dxa"/>
            </w:tcMar>
            <w:vAlign w:val="center"/>
          </w:tcPr>
          <w:p w14:paraId="4D51D57E" w14:textId="77777777" w:rsidR="00402D74" w:rsidRPr="00FD516E" w:rsidRDefault="00402D74" w:rsidP="00402D74">
            <w:pPr>
              <w:ind w:left="0" w:firstLine="0"/>
              <w:rPr>
                <w:iCs/>
                <w:sz w:val="18"/>
              </w:rPr>
            </w:pPr>
            <w:r w:rsidRPr="00FD516E">
              <w:rPr>
                <w:iCs/>
                <w:sz w:val="18"/>
              </w:rPr>
              <w:t xml:space="preserve">Clean Air Act §112r Prevention of Accidental Release; 40 </w:t>
            </w:r>
            <w:r w:rsidRPr="00FD516E">
              <w:rPr>
                <w:i/>
                <w:iCs/>
                <w:sz w:val="18"/>
              </w:rPr>
              <w:t>CFR</w:t>
            </w:r>
            <w:r w:rsidRPr="00FD516E">
              <w:rPr>
                <w:iCs/>
                <w:sz w:val="18"/>
              </w:rPr>
              <w:t xml:space="preserve"> Part 68 Chemical Accident Prevention Programs.  Facilities that have more than the threshold quantity of a regulated substance in a process are subject to these provisions including the requirements to conduct a hazard assessment, establish a prevention program and develop a risk management plan.</w:t>
            </w:r>
          </w:p>
          <w:p w14:paraId="57782767" w14:textId="77777777" w:rsidR="00402D74" w:rsidRPr="00FD516E" w:rsidRDefault="00402D74" w:rsidP="00402D74">
            <w:pPr>
              <w:ind w:left="0" w:firstLine="0"/>
              <w:rPr>
                <w:iCs/>
                <w:sz w:val="18"/>
              </w:rPr>
            </w:pPr>
          </w:p>
          <w:p w14:paraId="22B0F106" w14:textId="246F147F" w:rsidR="00402D74" w:rsidRPr="00FD516E" w:rsidRDefault="00402D74" w:rsidP="0056105B">
            <w:pPr>
              <w:ind w:left="0" w:firstLine="0"/>
              <w:rPr>
                <w:iCs/>
                <w:sz w:val="18"/>
              </w:rPr>
            </w:pPr>
            <w:r w:rsidRPr="00FD516E">
              <w:rPr>
                <w:i/>
                <w:iCs/>
                <w:sz w:val="18"/>
              </w:rPr>
              <w:t>The Permittee</w:t>
            </w:r>
            <w:r w:rsidR="0056105B" w:rsidRPr="00FD516E">
              <w:rPr>
                <w:i/>
                <w:iCs/>
                <w:sz w:val="18"/>
              </w:rPr>
              <w:t>s</w:t>
            </w:r>
            <w:r w:rsidRPr="00FD516E">
              <w:rPr>
                <w:i/>
                <w:iCs/>
                <w:sz w:val="18"/>
              </w:rPr>
              <w:t xml:space="preserve"> ha</w:t>
            </w:r>
            <w:r w:rsidR="0056105B" w:rsidRPr="00FD516E">
              <w:rPr>
                <w:i/>
                <w:iCs/>
                <w:sz w:val="18"/>
              </w:rPr>
              <w:t>ve</w:t>
            </w:r>
            <w:r w:rsidRPr="00FD516E">
              <w:rPr>
                <w:i/>
                <w:iCs/>
                <w:sz w:val="18"/>
              </w:rPr>
              <w:t xml:space="preserve"> stated that </w:t>
            </w:r>
            <w:r w:rsidR="00350EB3" w:rsidRPr="00FD516E">
              <w:rPr>
                <w:i/>
                <w:iCs/>
                <w:sz w:val="18"/>
              </w:rPr>
              <w:t xml:space="preserve">neither Operation at </w:t>
            </w:r>
            <w:r w:rsidRPr="00FD516E">
              <w:rPr>
                <w:i/>
                <w:iCs/>
                <w:sz w:val="18"/>
              </w:rPr>
              <w:t xml:space="preserve">the Facility </w:t>
            </w:r>
            <w:r w:rsidR="00350EB3" w:rsidRPr="00FD516E">
              <w:rPr>
                <w:i/>
                <w:iCs/>
                <w:sz w:val="18"/>
              </w:rPr>
              <w:t xml:space="preserve">stores greater </w:t>
            </w:r>
            <w:r w:rsidRPr="00FD516E">
              <w:rPr>
                <w:i/>
                <w:iCs/>
                <w:sz w:val="18"/>
              </w:rPr>
              <w:t>than the threshold quantity of a regulated substance and thus is not subject to these requirements.</w:t>
            </w:r>
          </w:p>
        </w:tc>
      </w:tr>
      <w:tr w:rsidR="00B135AB" w:rsidRPr="009F5E32" w14:paraId="71E55F76" w14:textId="77777777" w:rsidTr="003441E4">
        <w:trPr>
          <w:cantSplit/>
        </w:trPr>
        <w:tc>
          <w:tcPr>
            <w:tcW w:w="8610" w:type="dxa"/>
            <w:tcMar>
              <w:top w:w="115" w:type="dxa"/>
              <w:left w:w="115" w:type="dxa"/>
              <w:bottom w:w="115" w:type="dxa"/>
              <w:right w:w="115" w:type="dxa"/>
            </w:tcMar>
            <w:vAlign w:val="center"/>
          </w:tcPr>
          <w:p w14:paraId="0E0765F2" w14:textId="77777777" w:rsidR="00B135AB" w:rsidRPr="00FD516E" w:rsidRDefault="00B135AB" w:rsidP="00745668">
            <w:pPr>
              <w:ind w:left="0" w:firstLine="0"/>
              <w:rPr>
                <w:iCs/>
                <w:sz w:val="18"/>
              </w:rPr>
            </w:pPr>
            <w:r w:rsidRPr="00FD516E">
              <w:rPr>
                <w:iCs/>
                <w:sz w:val="18"/>
              </w:rPr>
              <w:t xml:space="preserve">Clean Air Act </w:t>
            </w:r>
            <w:r w:rsidRPr="00FD516E">
              <w:rPr>
                <w:rFonts w:cs="Arial"/>
                <w:iCs/>
                <w:sz w:val="18"/>
              </w:rPr>
              <w:t>§</w:t>
            </w:r>
            <w:r w:rsidRPr="00FD516E">
              <w:rPr>
                <w:iCs/>
                <w:sz w:val="18"/>
              </w:rPr>
              <w:t xml:space="preserve">608; 40 </w:t>
            </w:r>
            <w:r w:rsidRPr="00FD516E">
              <w:rPr>
                <w:i/>
                <w:sz w:val="18"/>
              </w:rPr>
              <w:t>CFR</w:t>
            </w:r>
            <w:r w:rsidRPr="00FD516E">
              <w:rPr>
                <w:iCs/>
                <w:sz w:val="18"/>
              </w:rPr>
              <w:t xml:space="preserve"> Part 82, Subpart F – Recycling and Emissions Reductions.  This requirement is applicable to any facility that owns, services, maintains, repairs, and disposes of appliances containing ozone depleting substances.  </w:t>
            </w:r>
          </w:p>
          <w:p w14:paraId="4CDEBE45" w14:textId="77777777" w:rsidR="00B135AB" w:rsidRPr="00FD516E" w:rsidRDefault="00B135AB" w:rsidP="00745668">
            <w:pPr>
              <w:ind w:left="0" w:firstLine="0"/>
              <w:rPr>
                <w:iCs/>
                <w:sz w:val="18"/>
              </w:rPr>
            </w:pPr>
          </w:p>
          <w:p w14:paraId="1836303D" w14:textId="726976ED" w:rsidR="00B135AB" w:rsidRPr="00FD516E" w:rsidRDefault="00ED3DE5" w:rsidP="00C931B8">
            <w:pPr>
              <w:tabs>
                <w:tab w:val="left" w:pos="-1440"/>
              </w:tabs>
              <w:ind w:left="0" w:firstLine="0"/>
              <w:rPr>
                <w:iCs/>
                <w:sz w:val="18"/>
              </w:rPr>
            </w:pPr>
            <w:r w:rsidRPr="00FD516E">
              <w:rPr>
                <w:i/>
                <w:iCs/>
                <w:sz w:val="18"/>
              </w:rPr>
              <w:t>This regula</w:t>
            </w:r>
            <w:r w:rsidR="001E3544" w:rsidRPr="00FD516E">
              <w:rPr>
                <w:i/>
                <w:iCs/>
                <w:sz w:val="18"/>
              </w:rPr>
              <w:t xml:space="preserve">tion is </w:t>
            </w:r>
            <w:r w:rsidR="000261F5" w:rsidRPr="00FD516E">
              <w:rPr>
                <w:i/>
                <w:iCs/>
                <w:sz w:val="18"/>
              </w:rPr>
              <w:t>applicable to</w:t>
            </w:r>
            <w:r w:rsidR="00350EB3" w:rsidRPr="00FD516E">
              <w:rPr>
                <w:i/>
                <w:iCs/>
                <w:sz w:val="18"/>
              </w:rPr>
              <w:t xml:space="preserve"> handling of material disposed of at</w:t>
            </w:r>
            <w:r w:rsidR="000261F5" w:rsidRPr="00FD516E">
              <w:rPr>
                <w:i/>
                <w:iCs/>
                <w:sz w:val="18"/>
              </w:rPr>
              <w:t xml:space="preserve"> the </w:t>
            </w:r>
            <w:r w:rsidR="00350EB3" w:rsidRPr="00FD516E">
              <w:rPr>
                <w:i/>
                <w:iCs/>
                <w:sz w:val="18"/>
              </w:rPr>
              <w:t xml:space="preserve">Landfill Operation that contains ozone depleting substances, and </w:t>
            </w:r>
            <w:r w:rsidR="000261F5" w:rsidRPr="00FD516E">
              <w:rPr>
                <w:i/>
                <w:iCs/>
                <w:sz w:val="18"/>
              </w:rPr>
              <w:t xml:space="preserve">Trane RTAA 125-ton rotary chiller at the </w:t>
            </w:r>
            <w:r w:rsidR="00350EB3" w:rsidRPr="00FD516E">
              <w:rPr>
                <w:i/>
                <w:iCs/>
                <w:sz w:val="18"/>
              </w:rPr>
              <w:t>LFGTE Operation</w:t>
            </w:r>
            <w:r w:rsidR="000261F5" w:rsidRPr="00FD516E">
              <w:rPr>
                <w:i/>
                <w:iCs/>
                <w:sz w:val="18"/>
              </w:rPr>
              <w:t xml:space="preserve">.  </w:t>
            </w:r>
          </w:p>
        </w:tc>
      </w:tr>
      <w:tr w:rsidR="006B4F97" w:rsidRPr="00FD516E" w14:paraId="3771CD16" w14:textId="77777777" w:rsidTr="003441E4">
        <w:trPr>
          <w:cantSplit/>
        </w:trPr>
        <w:tc>
          <w:tcPr>
            <w:tcW w:w="8610" w:type="dxa"/>
            <w:tcBorders>
              <w:bottom w:val="double" w:sz="4" w:space="0" w:color="auto"/>
            </w:tcBorders>
            <w:tcMar>
              <w:top w:w="115" w:type="dxa"/>
              <w:left w:w="115" w:type="dxa"/>
              <w:bottom w:w="115" w:type="dxa"/>
              <w:right w:w="115" w:type="dxa"/>
            </w:tcMar>
          </w:tcPr>
          <w:p w14:paraId="1AB929C5" w14:textId="77777777" w:rsidR="006B4F97" w:rsidRPr="00FD516E" w:rsidRDefault="006B4F97" w:rsidP="006B4F97">
            <w:pPr>
              <w:autoSpaceDE/>
              <w:autoSpaceDN/>
              <w:adjustRightInd/>
              <w:ind w:left="0" w:firstLine="0"/>
              <w:rPr>
                <w:rFonts w:cs="Arial"/>
                <w:iCs/>
                <w:snapToGrid w:val="0"/>
                <w:sz w:val="18"/>
              </w:rPr>
            </w:pPr>
            <w:r w:rsidRPr="00FD516E">
              <w:rPr>
                <w:rFonts w:cs="Arial"/>
                <w:iCs/>
                <w:snapToGrid w:val="0"/>
                <w:sz w:val="18"/>
              </w:rPr>
              <w:t xml:space="preserve">40 </w:t>
            </w:r>
            <w:r w:rsidRPr="00FD516E">
              <w:rPr>
                <w:rFonts w:cs="Arial"/>
                <w:i/>
                <w:iCs/>
                <w:snapToGrid w:val="0"/>
                <w:sz w:val="18"/>
              </w:rPr>
              <w:t>CFR</w:t>
            </w:r>
            <w:r w:rsidRPr="00FD516E">
              <w:rPr>
                <w:rFonts w:cs="Arial"/>
                <w:iCs/>
                <w:snapToGrid w:val="0"/>
                <w:sz w:val="18"/>
              </w:rPr>
              <w:t xml:space="preserve"> Part 98 Mandatory Greenhouse Gas Reporting.  Requires reporting of GHG emissions annually to EPA for </w:t>
            </w:r>
            <w:r w:rsidRPr="00FD516E">
              <w:rPr>
                <w:rFonts w:cs="Arial"/>
                <w:b/>
                <w:iCs/>
                <w:snapToGrid w:val="0"/>
                <w:sz w:val="18"/>
              </w:rPr>
              <w:t>1)</w:t>
            </w:r>
            <w:r w:rsidRPr="00FD516E">
              <w:rPr>
                <w:rFonts w:cs="Arial"/>
                <w:iCs/>
                <w:snapToGrid w:val="0"/>
                <w:sz w:val="18"/>
              </w:rPr>
              <w:t xml:space="preserve"> facilities in source categories listed in §98.2(a)(1) including electric utility units subject to Acid Rain, MSW landfills that generate CH</w:t>
            </w:r>
            <w:r w:rsidRPr="00FD516E">
              <w:rPr>
                <w:rFonts w:cs="Arial"/>
                <w:iCs/>
                <w:snapToGrid w:val="0"/>
                <w:sz w:val="18"/>
                <w:vertAlign w:val="subscript"/>
              </w:rPr>
              <w:t>4</w:t>
            </w:r>
            <w:r w:rsidRPr="00FD516E">
              <w:rPr>
                <w:rFonts w:cs="Arial"/>
                <w:iCs/>
                <w:snapToGrid w:val="0"/>
                <w:sz w:val="18"/>
              </w:rPr>
              <w:t xml:space="preserve"> in amounts equivalent to 25,000 metric tons of CO</w:t>
            </w:r>
            <w:r w:rsidRPr="00FD516E">
              <w:rPr>
                <w:rFonts w:cs="Arial"/>
                <w:iCs/>
                <w:snapToGrid w:val="0"/>
                <w:sz w:val="18"/>
                <w:vertAlign w:val="subscript"/>
              </w:rPr>
              <w:t>2</w:t>
            </w:r>
            <w:r w:rsidRPr="00FD516E">
              <w:rPr>
                <w:rFonts w:cs="Arial"/>
                <w:iCs/>
                <w:snapToGrid w:val="0"/>
                <w:sz w:val="18"/>
              </w:rPr>
              <w:t>e or more per year and e</w:t>
            </w:r>
            <w:r w:rsidRPr="00FD516E">
              <w:rPr>
                <w:iCs/>
                <w:snapToGrid w:val="0"/>
                <w:sz w:val="18"/>
              </w:rPr>
              <w:t>lectrical transmission and distribution equipment at facilities where the total nameplate capacity of SF</w:t>
            </w:r>
            <w:r w:rsidRPr="00FD516E">
              <w:rPr>
                <w:iCs/>
                <w:snapToGrid w:val="0"/>
                <w:sz w:val="18"/>
                <w:vertAlign w:val="subscript"/>
              </w:rPr>
              <w:t xml:space="preserve">6 </w:t>
            </w:r>
            <w:r w:rsidRPr="00FD516E">
              <w:rPr>
                <w:iCs/>
                <w:snapToGrid w:val="0"/>
                <w:sz w:val="18"/>
              </w:rPr>
              <w:t>and PFC containing equipment exceeds 17,820 pounds</w:t>
            </w:r>
            <w:r w:rsidRPr="00FD516E">
              <w:rPr>
                <w:rFonts w:cs="Arial"/>
                <w:iCs/>
                <w:snapToGrid w:val="0"/>
                <w:sz w:val="18"/>
              </w:rPr>
              <w:t xml:space="preserve">, </w:t>
            </w:r>
            <w:r w:rsidRPr="00FD516E">
              <w:rPr>
                <w:rFonts w:cs="Arial"/>
                <w:b/>
                <w:iCs/>
                <w:snapToGrid w:val="0"/>
                <w:sz w:val="18"/>
              </w:rPr>
              <w:t>2)</w:t>
            </w:r>
            <w:r w:rsidRPr="00FD516E">
              <w:rPr>
                <w:rFonts w:cs="Arial"/>
                <w:iCs/>
                <w:snapToGrid w:val="0"/>
                <w:sz w:val="18"/>
              </w:rPr>
              <w:t xml:space="preserve"> facilities in source categories listed in §98.2(a)(2) including electronics manufacturing, iron and steel production and pulp and paper manufacturing that emit 25,000 metric tons of CO</w:t>
            </w:r>
            <w:r w:rsidRPr="00FD516E">
              <w:rPr>
                <w:rFonts w:cs="Arial"/>
                <w:iCs/>
                <w:snapToGrid w:val="0"/>
                <w:sz w:val="18"/>
                <w:vertAlign w:val="subscript"/>
              </w:rPr>
              <w:t>2</w:t>
            </w:r>
            <w:r w:rsidRPr="00FD516E">
              <w:rPr>
                <w:rFonts w:cs="Arial"/>
                <w:iCs/>
                <w:snapToGrid w:val="0"/>
                <w:sz w:val="18"/>
              </w:rPr>
              <w:t xml:space="preserve">e or more per year from such source categories as well as all stationary combustion, </w:t>
            </w:r>
            <w:r w:rsidRPr="00FD516E">
              <w:rPr>
                <w:rFonts w:cs="Arial"/>
                <w:b/>
                <w:iCs/>
                <w:snapToGrid w:val="0"/>
                <w:sz w:val="18"/>
              </w:rPr>
              <w:t>3)</w:t>
            </w:r>
            <w:r w:rsidRPr="00FD516E">
              <w:rPr>
                <w:rFonts w:cs="Arial"/>
                <w:iCs/>
                <w:snapToGrid w:val="0"/>
                <w:sz w:val="18"/>
              </w:rPr>
              <w:t xml:space="preserve"> facilities with stationary combustion sources that aggregate to 30 MMBTU/hr or more and which emit 25,000 metric tons of CO</w:t>
            </w:r>
            <w:r w:rsidRPr="00FD516E">
              <w:rPr>
                <w:rFonts w:cs="Arial"/>
                <w:iCs/>
                <w:snapToGrid w:val="0"/>
                <w:sz w:val="18"/>
                <w:vertAlign w:val="subscript"/>
              </w:rPr>
              <w:t>2</w:t>
            </w:r>
            <w:r w:rsidRPr="00FD516E">
              <w:rPr>
                <w:rFonts w:cs="Arial"/>
                <w:iCs/>
                <w:snapToGrid w:val="0"/>
                <w:sz w:val="18"/>
              </w:rPr>
              <w:t xml:space="preserve">e or more per year from all stationary combustion sources combined, and </w:t>
            </w:r>
            <w:r w:rsidRPr="00FD516E">
              <w:rPr>
                <w:rFonts w:cs="Arial"/>
                <w:b/>
                <w:iCs/>
                <w:snapToGrid w:val="0"/>
                <w:sz w:val="18"/>
              </w:rPr>
              <w:t>4)</w:t>
            </w:r>
            <w:r w:rsidRPr="00FD516E">
              <w:rPr>
                <w:rFonts w:cs="Arial"/>
                <w:iCs/>
                <w:snapToGrid w:val="0"/>
                <w:sz w:val="18"/>
              </w:rPr>
              <w:t xml:space="preserve"> fuel suppliers including all local natural gas distribution companies.</w:t>
            </w:r>
          </w:p>
          <w:p w14:paraId="4C842C34" w14:textId="77777777" w:rsidR="006B4F97" w:rsidRPr="00FD516E" w:rsidRDefault="006B4F97" w:rsidP="006B4F97">
            <w:pPr>
              <w:autoSpaceDE/>
              <w:autoSpaceDN/>
              <w:adjustRightInd/>
              <w:ind w:left="0" w:firstLine="0"/>
              <w:rPr>
                <w:rFonts w:cs="Arial"/>
                <w:iCs/>
                <w:snapToGrid w:val="0"/>
                <w:sz w:val="18"/>
              </w:rPr>
            </w:pPr>
          </w:p>
          <w:p w14:paraId="507BC643" w14:textId="679AA7A7" w:rsidR="006B4F97" w:rsidRPr="00FD516E" w:rsidRDefault="00383828" w:rsidP="0056105B">
            <w:pPr>
              <w:ind w:left="0" w:firstLine="0"/>
              <w:rPr>
                <w:iCs/>
                <w:sz w:val="18"/>
              </w:rPr>
            </w:pPr>
            <w:r w:rsidRPr="00FD516E">
              <w:rPr>
                <w:i/>
                <w:iCs/>
                <w:snapToGrid w:val="0"/>
                <w:sz w:val="18"/>
              </w:rPr>
              <w:t xml:space="preserve">The U.S. EPA has retained the implementing authority for this regulation and is responsible for determining applicability.  This regulation under Part 98 is not considered to be an applicable requirement per 40 CFR Part 70.2 and as noted in 74 FR 56260 (October 30, 2009).  Part 98 is anticipated to apply to the </w:t>
            </w:r>
            <w:r w:rsidR="0056105B" w:rsidRPr="00FD516E">
              <w:rPr>
                <w:i/>
                <w:iCs/>
                <w:snapToGrid w:val="0"/>
                <w:sz w:val="18"/>
              </w:rPr>
              <w:t xml:space="preserve">Landfill Operation </w:t>
            </w:r>
            <w:r w:rsidR="00143EE3" w:rsidRPr="00FD516E">
              <w:rPr>
                <w:i/>
                <w:iCs/>
                <w:snapToGrid w:val="0"/>
                <w:sz w:val="18"/>
              </w:rPr>
              <w:t>at the</w:t>
            </w:r>
            <w:r w:rsidRPr="00FD516E">
              <w:rPr>
                <w:i/>
                <w:iCs/>
                <w:snapToGrid w:val="0"/>
                <w:sz w:val="18"/>
              </w:rPr>
              <w:t xml:space="preserve"> Facility and </w:t>
            </w:r>
            <w:r w:rsidR="0056105B" w:rsidRPr="00FD516E">
              <w:rPr>
                <w:i/>
                <w:iCs/>
                <w:snapToGrid w:val="0"/>
                <w:sz w:val="18"/>
              </w:rPr>
              <w:t>NEWSVT</w:t>
            </w:r>
            <w:r w:rsidRPr="00FD516E">
              <w:rPr>
                <w:i/>
                <w:iCs/>
                <w:snapToGrid w:val="0"/>
                <w:sz w:val="18"/>
              </w:rPr>
              <w:t xml:space="preserve"> has been reporting emissions for applicable years.</w:t>
            </w:r>
          </w:p>
        </w:tc>
      </w:tr>
    </w:tbl>
    <w:p w14:paraId="41D08500" w14:textId="77777777" w:rsidR="00990626" w:rsidRPr="00FD516E" w:rsidRDefault="00990626"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778B17F4" w14:textId="58B2384B" w:rsidR="00990626" w:rsidRDefault="00990626"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4826730E" w14:textId="77777777" w:rsidR="009330DB" w:rsidRPr="00FD516E" w:rsidRDefault="009330DB"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5D1AC16"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440" w:hanging="720"/>
        <w:rPr>
          <w:rFonts w:cs="Arial"/>
          <w:szCs w:val="22"/>
        </w:rPr>
      </w:pPr>
      <w:r w:rsidRPr="00FD516E">
        <w:rPr>
          <w:rFonts w:cs="Arial"/>
          <w:b/>
          <w:bCs/>
          <w:szCs w:val="22"/>
        </w:rPr>
        <w:lastRenderedPageBreak/>
        <w:t>C.</w:t>
      </w:r>
      <w:r w:rsidRPr="00FD516E">
        <w:rPr>
          <w:rFonts w:cs="Arial"/>
          <w:b/>
          <w:bCs/>
          <w:szCs w:val="22"/>
        </w:rPr>
        <w:tab/>
      </w:r>
      <w:r w:rsidRPr="00FD516E">
        <w:rPr>
          <w:rFonts w:cs="Arial"/>
          <w:b/>
          <w:bCs/>
          <w:szCs w:val="22"/>
          <w:u w:val="single"/>
        </w:rPr>
        <w:t>Non-Applicable Requirements for Which a Permit Shield Provision Has Been Requested</w:t>
      </w:r>
    </w:p>
    <w:p w14:paraId="77C39A43"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601E71D" w14:textId="4E4019FC"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Pursuant to §5-1015(a)(14) of the </w:t>
      </w:r>
      <w:r w:rsidRPr="00FD516E">
        <w:rPr>
          <w:rFonts w:cs="Arial"/>
          <w:i/>
          <w:iCs/>
          <w:szCs w:val="22"/>
        </w:rPr>
        <w:t>Regulations</w:t>
      </w:r>
      <w:r w:rsidRPr="00FD516E">
        <w:rPr>
          <w:rFonts w:cs="Arial"/>
          <w:szCs w:val="22"/>
        </w:rPr>
        <w:t xml:space="preserve">, the Owner/Operator may request a </w:t>
      </w:r>
      <w:r w:rsidRPr="00FD516E">
        <w:rPr>
          <w:rFonts w:cs="Arial"/>
          <w:i/>
          <w:iCs/>
          <w:szCs w:val="22"/>
        </w:rPr>
        <w:t>permit shield</w:t>
      </w:r>
      <w:r w:rsidRPr="00FD516E">
        <w:rPr>
          <w:rFonts w:cs="Arial"/>
          <w:szCs w:val="22"/>
        </w:rPr>
        <w:t xml:space="preserve"> from specific state or federally enforceable regulations and standards which are not applicable to the source.  </w:t>
      </w:r>
    </w:p>
    <w:p w14:paraId="320C173B" w14:textId="77777777" w:rsidR="005E20C5" w:rsidRPr="00FD516E" w:rsidRDefault="005E20C5" w:rsidP="00F20B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4E40828" w14:textId="77777777" w:rsidR="005E20C5" w:rsidRPr="00FD516E" w:rsidRDefault="005E20C5" w:rsidP="00BF5A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i/>
          <w:iCs/>
          <w:szCs w:val="22"/>
        </w:rPr>
      </w:pPr>
      <w:r w:rsidRPr="00FD516E">
        <w:t xml:space="preserve">The Permittee has requested a permit shield with respect to several potentially applicable requirements.  The Agency has reviewed this request and is hereby granting a permit shield in accordance with </w:t>
      </w:r>
      <w:r w:rsidRPr="00FD516E">
        <w:rPr>
          <w:rFonts w:cs="Arial"/>
        </w:rPr>
        <w:t>§</w:t>
      </w:r>
      <w:r w:rsidRPr="00FD516E">
        <w:t xml:space="preserve">5-1015(a)(14) of the </w:t>
      </w:r>
      <w:r w:rsidRPr="00FD516E">
        <w:rPr>
          <w:i/>
          <w:iCs/>
        </w:rPr>
        <w:t>Regulations</w:t>
      </w:r>
      <w:r w:rsidRPr="00FD516E">
        <w:t xml:space="preserve"> for the following requirements which have been determined not to be applicable to the Facility based on the information provided by the Permittee</w:t>
      </w:r>
      <w:r w:rsidRPr="00FD516E">
        <w:rPr>
          <w:rFonts w:cs="Arial"/>
          <w:i/>
          <w:iCs/>
          <w:szCs w:val="22"/>
        </w:rPr>
        <w:t>.</w:t>
      </w:r>
    </w:p>
    <w:p w14:paraId="0B199238" w14:textId="77777777" w:rsidR="00902140" w:rsidRPr="00FD516E" w:rsidRDefault="00902140" w:rsidP="0090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i/>
          <w:iCs/>
          <w:szCs w:val="22"/>
        </w:rPr>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8610"/>
      </w:tblGrid>
      <w:tr w:rsidR="00902140" w:rsidRPr="00FD516E" w14:paraId="1884EDD1" w14:textId="77777777" w:rsidTr="006F4724">
        <w:trPr>
          <w:cantSplit/>
          <w:tblHeader/>
        </w:trPr>
        <w:tc>
          <w:tcPr>
            <w:tcW w:w="8610" w:type="dxa"/>
            <w:tcBorders>
              <w:top w:val="double" w:sz="4" w:space="0" w:color="auto"/>
              <w:bottom w:val="double" w:sz="4" w:space="0" w:color="auto"/>
            </w:tcBorders>
            <w:shd w:val="clear" w:color="auto" w:fill="F2F2F2" w:themeFill="background1" w:themeFillShade="F2"/>
            <w:vAlign w:val="center"/>
          </w:tcPr>
          <w:p w14:paraId="6F0B1DD9" w14:textId="08D43D57" w:rsidR="00902140" w:rsidRPr="00FD516E" w:rsidRDefault="00BD6F6B" w:rsidP="00675C73">
            <w:pPr>
              <w:jc w:val="center"/>
              <w:rPr>
                <w:b/>
                <w:bCs/>
              </w:rPr>
            </w:pPr>
            <w:r w:rsidRPr="00FD516E">
              <w:rPr>
                <w:b/>
                <w:bCs/>
              </w:rPr>
              <w:t xml:space="preserve">Table 4-3 </w:t>
            </w:r>
            <w:r w:rsidR="00902140" w:rsidRPr="00FD516E">
              <w:rPr>
                <w:b/>
                <w:bCs/>
              </w:rPr>
              <w:t xml:space="preserve">Non-Applicable Requirements for which a Permit Shield </w:t>
            </w:r>
            <w:r w:rsidR="00902140" w:rsidRPr="006F4724">
              <w:rPr>
                <w:b/>
                <w:bCs/>
                <w:shd w:val="clear" w:color="auto" w:fill="F2F2F2" w:themeFill="background1" w:themeFillShade="F2"/>
              </w:rPr>
              <w:t>is</w:t>
            </w:r>
            <w:r w:rsidR="00902140" w:rsidRPr="00FD516E">
              <w:rPr>
                <w:b/>
                <w:bCs/>
              </w:rPr>
              <w:t xml:space="preserve"> Granted</w:t>
            </w:r>
          </w:p>
        </w:tc>
      </w:tr>
      <w:tr w:rsidR="00902140" w:rsidRPr="00FD516E" w14:paraId="3D1D39D4" w14:textId="77777777" w:rsidTr="001902CD">
        <w:trPr>
          <w:cantSplit/>
          <w:trHeight w:val="1034"/>
        </w:trPr>
        <w:tc>
          <w:tcPr>
            <w:tcW w:w="8610" w:type="dxa"/>
            <w:tcBorders>
              <w:top w:val="double" w:sz="4" w:space="0" w:color="auto"/>
            </w:tcBorders>
            <w:vAlign w:val="center"/>
          </w:tcPr>
          <w:p w14:paraId="3EA438A0" w14:textId="2FF84F24" w:rsidR="00902140" w:rsidRPr="00FD516E" w:rsidRDefault="00902140" w:rsidP="005711F5">
            <w:pPr>
              <w:ind w:left="0" w:firstLine="0"/>
              <w:rPr>
                <w:sz w:val="18"/>
              </w:rPr>
            </w:pPr>
            <w:r w:rsidRPr="00FD516E">
              <w:rPr>
                <w:rFonts w:cs="Arial"/>
                <w:sz w:val="18"/>
              </w:rPr>
              <w:t>§</w:t>
            </w:r>
            <w:r w:rsidRPr="00FD516E">
              <w:rPr>
                <w:sz w:val="18"/>
              </w:rPr>
              <w:t xml:space="preserve">5-231(1) - Prohibition of Particulate Matter: Industrial Process Emissions.  The Agency has determined that the combustion of </w:t>
            </w:r>
            <w:r w:rsidR="005711F5" w:rsidRPr="00FD516E">
              <w:rPr>
                <w:sz w:val="18"/>
              </w:rPr>
              <w:t>LFG</w:t>
            </w:r>
            <w:r w:rsidRPr="00FD516E">
              <w:rPr>
                <w:sz w:val="18"/>
              </w:rPr>
              <w:t xml:space="preserve"> is not considered an industrial process since gaseous fuels are not considered part of the </w:t>
            </w:r>
            <w:r w:rsidRPr="00FD516E">
              <w:rPr>
                <w:i/>
                <w:iCs/>
                <w:sz w:val="18"/>
              </w:rPr>
              <w:t xml:space="preserve">process weight </w:t>
            </w:r>
            <w:r w:rsidRPr="00FD516E">
              <w:rPr>
                <w:sz w:val="18"/>
              </w:rPr>
              <w:t xml:space="preserve">input into a process.  Therefore, the combustion of </w:t>
            </w:r>
            <w:r w:rsidR="005711F5" w:rsidRPr="00FD516E">
              <w:rPr>
                <w:sz w:val="18"/>
              </w:rPr>
              <w:t>LFG</w:t>
            </w:r>
            <w:r w:rsidRPr="00FD516E">
              <w:rPr>
                <w:sz w:val="18"/>
              </w:rPr>
              <w:t xml:space="preserve"> is not subject to this regulation</w:t>
            </w:r>
          </w:p>
        </w:tc>
      </w:tr>
      <w:tr w:rsidR="00902140" w:rsidRPr="00FD516E" w14:paraId="2C5CF295" w14:textId="77777777" w:rsidTr="001902CD">
        <w:trPr>
          <w:cantSplit/>
        </w:trPr>
        <w:tc>
          <w:tcPr>
            <w:tcW w:w="8610" w:type="dxa"/>
            <w:vAlign w:val="center"/>
          </w:tcPr>
          <w:p w14:paraId="25403C7B" w14:textId="676729B4" w:rsidR="00902140" w:rsidRPr="00FD516E" w:rsidRDefault="00902140" w:rsidP="0056105B">
            <w:pPr>
              <w:ind w:left="0" w:firstLine="0"/>
              <w:rPr>
                <w:sz w:val="18"/>
              </w:rPr>
            </w:pPr>
            <w:r w:rsidRPr="00FD516E">
              <w:rPr>
                <w:rFonts w:cs="Arial"/>
                <w:sz w:val="18"/>
              </w:rPr>
              <w:t>§</w:t>
            </w:r>
            <w:r w:rsidRPr="00FD516E">
              <w:rPr>
                <w:sz w:val="18"/>
              </w:rPr>
              <w:t xml:space="preserve">5-231(3) - Prohibition of Particulate Matter:  Combustion Contaminants.  The Agency has determined that </w:t>
            </w:r>
            <w:r w:rsidR="005711F5" w:rsidRPr="00FD516E">
              <w:rPr>
                <w:sz w:val="18"/>
              </w:rPr>
              <w:t>LFG</w:t>
            </w:r>
            <w:r w:rsidRPr="00FD516E">
              <w:rPr>
                <w:sz w:val="18"/>
              </w:rPr>
              <w:t xml:space="preserve"> is not a </w:t>
            </w:r>
            <w:r w:rsidRPr="00FD516E">
              <w:rPr>
                <w:i/>
                <w:iCs/>
                <w:sz w:val="18"/>
              </w:rPr>
              <w:t>fossil fuel</w:t>
            </w:r>
            <w:r w:rsidRPr="00FD516E">
              <w:rPr>
                <w:sz w:val="18"/>
              </w:rPr>
              <w:t xml:space="preserve"> under the definition in the </w:t>
            </w:r>
            <w:r w:rsidRPr="00FD516E">
              <w:rPr>
                <w:i/>
                <w:iCs/>
                <w:sz w:val="18"/>
              </w:rPr>
              <w:t>Regulations</w:t>
            </w:r>
            <w:r w:rsidRPr="00FD516E">
              <w:rPr>
                <w:sz w:val="18"/>
              </w:rPr>
              <w:t xml:space="preserve"> therefore this regulation is not applicable to flares or engines that combust</w:t>
            </w:r>
            <w:r w:rsidR="005711F5" w:rsidRPr="00FD516E">
              <w:rPr>
                <w:sz w:val="18"/>
              </w:rPr>
              <w:t xml:space="preserve"> LFG</w:t>
            </w:r>
            <w:r w:rsidRPr="00FD516E">
              <w:rPr>
                <w:sz w:val="18"/>
              </w:rPr>
              <w:t>.  However, the other fuel burning equipment at the facility including the No.2 fuel oil space heating units</w:t>
            </w:r>
            <w:r w:rsidR="0056105B" w:rsidRPr="00FD516E">
              <w:rPr>
                <w:sz w:val="18"/>
              </w:rPr>
              <w:t xml:space="preserve">, the </w:t>
            </w:r>
            <w:r w:rsidR="007B6E6F" w:rsidRPr="00FD516E">
              <w:rPr>
                <w:sz w:val="18"/>
              </w:rPr>
              <w:t xml:space="preserve">used </w:t>
            </w:r>
            <w:r w:rsidRPr="00FD516E">
              <w:rPr>
                <w:sz w:val="18"/>
              </w:rPr>
              <w:t>oil furnace</w:t>
            </w:r>
            <w:r w:rsidR="0056105B" w:rsidRPr="00FD516E">
              <w:rPr>
                <w:sz w:val="18"/>
              </w:rPr>
              <w:t>, and the backup generator at the LFGTE Operation are</w:t>
            </w:r>
            <w:r w:rsidRPr="00FD516E">
              <w:rPr>
                <w:sz w:val="18"/>
              </w:rPr>
              <w:t xml:space="preserve"> subject.  </w:t>
            </w:r>
          </w:p>
        </w:tc>
      </w:tr>
      <w:tr w:rsidR="00902140" w:rsidRPr="00FD516E" w14:paraId="2E71379E" w14:textId="77777777" w:rsidTr="001902CD">
        <w:trPr>
          <w:cantSplit/>
        </w:trPr>
        <w:tc>
          <w:tcPr>
            <w:tcW w:w="8610" w:type="dxa"/>
            <w:vAlign w:val="center"/>
          </w:tcPr>
          <w:p w14:paraId="04D304F1" w14:textId="77777777" w:rsidR="00902140" w:rsidRPr="00FD516E" w:rsidRDefault="00902140" w:rsidP="00C020B4">
            <w:pPr>
              <w:ind w:left="0" w:firstLine="0"/>
              <w:rPr>
                <w:sz w:val="18"/>
              </w:rPr>
            </w:pPr>
            <w:r w:rsidRPr="00FD516E">
              <w:rPr>
                <w:rFonts w:cs="Arial"/>
                <w:sz w:val="18"/>
              </w:rPr>
              <w:t>§</w:t>
            </w:r>
            <w:r w:rsidRPr="00FD516E">
              <w:rPr>
                <w:sz w:val="18"/>
              </w:rPr>
              <w:t xml:space="preserve">5-241(3) - Prohibition of Nuisance and Odor:  Control of Odors from Industrial Processes.  While the Facility is subject to </w:t>
            </w:r>
            <w:r w:rsidRPr="00FD516E">
              <w:rPr>
                <w:rFonts w:cs="Arial"/>
                <w:sz w:val="18"/>
              </w:rPr>
              <w:t>§</w:t>
            </w:r>
            <w:r w:rsidRPr="00FD516E">
              <w:rPr>
                <w:sz w:val="18"/>
              </w:rPr>
              <w:t xml:space="preserve">5-241(1) and (2), the Agency has not previously classified all landfills as industrial processes subject to </w:t>
            </w:r>
            <w:r w:rsidRPr="00FD516E">
              <w:rPr>
                <w:rFonts w:cs="Arial"/>
                <w:sz w:val="18"/>
              </w:rPr>
              <w:t>§</w:t>
            </w:r>
            <w:r w:rsidRPr="00FD516E">
              <w:rPr>
                <w:sz w:val="18"/>
              </w:rPr>
              <w:t>5-241(3) and does not currently consider the Facility subject to this regulation.  However, in order to ensure compliance with other applicable requirements for this Facility, most of these emission control measures are required under separate authority.</w:t>
            </w:r>
          </w:p>
        </w:tc>
      </w:tr>
      <w:tr w:rsidR="001902CD" w:rsidRPr="009F5E32" w14:paraId="1D48D1D5" w14:textId="77777777" w:rsidTr="001902CD">
        <w:trPr>
          <w:cantSplit/>
          <w:trHeight w:val="864"/>
        </w:trPr>
        <w:tc>
          <w:tcPr>
            <w:tcW w:w="8610" w:type="dxa"/>
          </w:tcPr>
          <w:p w14:paraId="3B75D38B" w14:textId="77777777" w:rsidR="001902CD" w:rsidRPr="00FD516E" w:rsidRDefault="001902CD" w:rsidP="001902CD">
            <w:pPr>
              <w:autoSpaceDE/>
              <w:autoSpaceDN/>
              <w:adjustRightInd/>
              <w:ind w:left="0" w:firstLine="0"/>
              <w:rPr>
                <w:rFonts w:cs="Arial"/>
                <w:snapToGrid w:val="0"/>
                <w:sz w:val="18"/>
              </w:rPr>
            </w:pPr>
            <w:r w:rsidRPr="00FD516E">
              <w:rPr>
                <w:rFonts w:cs="Arial"/>
                <w:snapToGrid w:val="0"/>
                <w:sz w:val="18"/>
              </w:rPr>
              <w:t>§5-271 - Control of Air Contaminants from Stationary Reciprocating Internal Combustion Engines.</w:t>
            </w:r>
          </w:p>
          <w:p w14:paraId="32414574" w14:textId="77777777" w:rsidR="001902CD" w:rsidRPr="00FD516E" w:rsidRDefault="001902CD" w:rsidP="001902CD">
            <w:pPr>
              <w:autoSpaceDE/>
              <w:autoSpaceDN/>
              <w:adjustRightInd/>
              <w:ind w:left="0" w:firstLine="0"/>
              <w:rPr>
                <w:rFonts w:cs="Arial"/>
                <w:snapToGrid w:val="0"/>
                <w:sz w:val="18"/>
              </w:rPr>
            </w:pPr>
          </w:p>
          <w:p w14:paraId="5ACD9E90" w14:textId="0D123156" w:rsidR="001902CD" w:rsidRPr="00FD516E" w:rsidRDefault="001902CD" w:rsidP="001902CD">
            <w:pPr>
              <w:ind w:left="0" w:firstLine="0"/>
              <w:rPr>
                <w:rFonts w:cs="Arial"/>
                <w:sz w:val="18"/>
              </w:rPr>
            </w:pPr>
            <w:r w:rsidRPr="00FD516E">
              <w:rPr>
                <w:rFonts w:cs="Arial"/>
                <w:snapToGrid w:val="0"/>
                <w:sz w:val="18"/>
              </w:rPr>
              <w:t xml:space="preserve">The Agency has determined that landfill gas is not a fossil fuel under the definition in the </w:t>
            </w:r>
            <w:r w:rsidRPr="00FD516E">
              <w:rPr>
                <w:rFonts w:cs="Arial"/>
                <w:i/>
                <w:snapToGrid w:val="0"/>
                <w:sz w:val="18"/>
              </w:rPr>
              <w:t>Regulations</w:t>
            </w:r>
            <w:r w:rsidRPr="00FD516E">
              <w:rPr>
                <w:rFonts w:cs="Arial"/>
                <w:snapToGrid w:val="0"/>
                <w:sz w:val="18"/>
              </w:rPr>
              <w:t>, and therefore this regulation is not applicable to engines that combust landfill gas</w:t>
            </w:r>
          </w:p>
        </w:tc>
      </w:tr>
    </w:tbl>
    <w:p w14:paraId="486F665D" w14:textId="77777777" w:rsidR="00902140" w:rsidRPr="00FD516E" w:rsidRDefault="00902140" w:rsidP="0090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i/>
          <w:iCs/>
          <w:szCs w:val="22"/>
        </w:rPr>
      </w:pPr>
    </w:p>
    <w:p w14:paraId="74B6DFF0" w14:textId="77777777" w:rsidR="00BF2D0E" w:rsidRPr="00FD516E" w:rsidRDefault="00BF2D0E" w:rsidP="00902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i/>
          <w:iCs/>
          <w:szCs w:val="22"/>
        </w:rPr>
      </w:pPr>
    </w:p>
    <w:p w14:paraId="26B9F872" w14:textId="77777777" w:rsidR="005E20C5" w:rsidRPr="00FD516E" w:rsidRDefault="005E20C5" w:rsidP="0095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outlineLvl w:val="0"/>
        <w:rPr>
          <w:rFonts w:cs="Arial"/>
          <w:szCs w:val="22"/>
        </w:rPr>
      </w:pPr>
      <w:r w:rsidRPr="00FD516E">
        <w:rPr>
          <w:rFonts w:cs="Arial"/>
          <w:b/>
          <w:bCs/>
          <w:szCs w:val="22"/>
        </w:rPr>
        <w:t>5.0</w:t>
      </w:r>
      <w:r w:rsidRPr="00FD516E">
        <w:rPr>
          <w:rFonts w:cs="Arial"/>
          <w:b/>
          <w:bCs/>
          <w:szCs w:val="22"/>
        </w:rPr>
        <w:tab/>
        <w:t>CONTROL TECHNOLOGY REVIEW FOR MAJOR SOURCES AND MAJOR MODIFICATIONS</w:t>
      </w:r>
    </w:p>
    <w:p w14:paraId="477CE370" w14:textId="77777777" w:rsidR="005E20C5" w:rsidRPr="00FD516E" w:rsidRDefault="005E20C5"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D2E181B" w14:textId="77777777" w:rsidR="00BF2D0E" w:rsidRPr="00FD516E" w:rsidRDefault="005E20C5"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Pursuant to §5-502 of the </w:t>
      </w:r>
      <w:r w:rsidRPr="00FD516E">
        <w:rPr>
          <w:rFonts w:cs="Arial"/>
          <w:i/>
          <w:iCs/>
          <w:szCs w:val="22"/>
        </w:rPr>
        <w:t>Regulations</w:t>
      </w:r>
      <w:r w:rsidRPr="00FD516E">
        <w:rPr>
          <w:rFonts w:cs="Arial"/>
          <w:szCs w:val="22"/>
        </w:rPr>
        <w:t xml:space="preserve"> each new major source and major modification must apply control technology adequate to achieve the Most Stringent Emission Rate ("MSER") with respect to those air contaminants for which there would be a major or significant emission increase, respectively.  </w:t>
      </w:r>
    </w:p>
    <w:p w14:paraId="0C5F842D" w14:textId="6358629A" w:rsidR="00BF2D0E" w:rsidRPr="00FD516E" w:rsidRDefault="00BF2D0E" w:rsidP="00BF2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0CB8948" w14:textId="43DAAB6C" w:rsidR="00AE713C" w:rsidRPr="00FD516E" w:rsidRDefault="00AE713C" w:rsidP="00AE71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proposed project is designated as a non-major modification of a stationary source and therefore is not subject to review under the MSER requirements in §5-502 of the </w:t>
      </w:r>
      <w:r w:rsidRPr="00FD516E">
        <w:rPr>
          <w:rFonts w:cs="Arial"/>
          <w:i/>
          <w:iCs/>
          <w:szCs w:val="22"/>
        </w:rPr>
        <w:t>Regulations</w:t>
      </w:r>
      <w:r w:rsidRPr="00FD516E">
        <w:rPr>
          <w:rFonts w:cs="Arial"/>
          <w:szCs w:val="22"/>
        </w:rPr>
        <w:t>.</w:t>
      </w:r>
    </w:p>
    <w:p w14:paraId="1209F1D6" w14:textId="77777777" w:rsidR="00AE713C" w:rsidRPr="00FD516E" w:rsidRDefault="00AE713C" w:rsidP="00BF2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2663EB42" w14:textId="1FC0D325" w:rsidR="009F607D" w:rsidRPr="00FD516E" w:rsidRDefault="002547B0"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lastRenderedPageBreak/>
        <w:t xml:space="preserve">The </w:t>
      </w:r>
      <w:r w:rsidR="00FA2262" w:rsidRPr="00FD516E">
        <w:rPr>
          <w:rFonts w:cs="Arial"/>
          <w:szCs w:val="22"/>
        </w:rPr>
        <w:t xml:space="preserve">original </w:t>
      </w:r>
      <w:r w:rsidRPr="00FD516E">
        <w:rPr>
          <w:rFonts w:cs="Arial"/>
          <w:szCs w:val="22"/>
        </w:rPr>
        <w:t>MSER</w:t>
      </w:r>
      <w:r w:rsidR="00FA2262" w:rsidRPr="00FD516E">
        <w:rPr>
          <w:rFonts w:cs="Arial"/>
          <w:szCs w:val="22"/>
        </w:rPr>
        <w:t xml:space="preserve">, established in </w:t>
      </w:r>
      <w:r w:rsidR="00FA2262" w:rsidRPr="00FD516E">
        <w:rPr>
          <w:rFonts w:cs="Arial"/>
          <w:szCs w:val="22"/>
          <w:vertAlign w:val="superscript"/>
        </w:rPr>
        <w:t>#</w:t>
      </w:r>
      <w:r w:rsidR="00FA2262" w:rsidRPr="00FD516E">
        <w:rPr>
          <w:rFonts w:cs="Arial"/>
          <w:szCs w:val="22"/>
        </w:rPr>
        <w:t xml:space="preserve">AOP-03-044 and re-established under </w:t>
      </w:r>
      <w:r w:rsidR="00FA2262" w:rsidRPr="00FD516E">
        <w:rPr>
          <w:rFonts w:cs="Arial"/>
          <w:szCs w:val="22"/>
          <w:vertAlign w:val="superscript"/>
        </w:rPr>
        <w:t>#</w:t>
      </w:r>
      <w:r w:rsidR="00FA2262" w:rsidRPr="00FD516E">
        <w:rPr>
          <w:rFonts w:cs="Arial"/>
          <w:szCs w:val="22"/>
        </w:rPr>
        <w:t xml:space="preserve">AOP-06-060, limited CO emissions from the CAT 3520C engine to </w:t>
      </w:r>
      <w:r w:rsidRPr="00FD516E">
        <w:rPr>
          <w:rFonts w:cs="Arial"/>
          <w:szCs w:val="22"/>
        </w:rPr>
        <w:t>2.75 g/bhp-hr at all times</w:t>
      </w:r>
      <w:r w:rsidR="00FD1754" w:rsidRPr="00FD516E">
        <w:rPr>
          <w:rFonts w:cs="Arial"/>
          <w:szCs w:val="22"/>
        </w:rPr>
        <w:t>.  This MSER</w:t>
      </w:r>
      <w:r w:rsidRPr="00FD516E">
        <w:rPr>
          <w:rFonts w:cs="Arial"/>
          <w:szCs w:val="22"/>
        </w:rPr>
        <w:t xml:space="preserve"> was </w:t>
      </w:r>
      <w:r w:rsidR="006241D4" w:rsidRPr="00FD516E">
        <w:rPr>
          <w:rFonts w:cs="Arial"/>
          <w:szCs w:val="22"/>
        </w:rPr>
        <w:t>not</w:t>
      </w:r>
      <w:r w:rsidRPr="00FD516E">
        <w:rPr>
          <w:rFonts w:cs="Arial"/>
          <w:szCs w:val="22"/>
        </w:rPr>
        <w:t xml:space="preserve"> achievable in </w:t>
      </w:r>
      <w:r w:rsidR="002F7C29" w:rsidRPr="00FD516E">
        <w:rPr>
          <w:rFonts w:cs="Arial"/>
          <w:szCs w:val="22"/>
        </w:rPr>
        <w:t xml:space="preserve">practice, due to siliceous material deposition in the combustion chambers of the </w:t>
      </w:r>
      <w:r w:rsidR="002D0237" w:rsidRPr="00FD516E">
        <w:rPr>
          <w:rFonts w:cs="Arial"/>
          <w:szCs w:val="22"/>
        </w:rPr>
        <w:t xml:space="preserve">CAT </w:t>
      </w:r>
      <w:r w:rsidR="002F7C29" w:rsidRPr="00FD516E">
        <w:rPr>
          <w:rFonts w:cs="Arial"/>
          <w:szCs w:val="22"/>
        </w:rPr>
        <w:t xml:space="preserve">3520C LE engines from the combustion of siloxanes contained in the LFG.  As these siliceous deposits accumulate over time, they degrade the emission characteristics of the engine.  </w:t>
      </w:r>
      <w:r w:rsidR="00B41FF5" w:rsidRPr="00FD516E">
        <w:rPr>
          <w:rFonts w:cs="Arial"/>
          <w:szCs w:val="22"/>
        </w:rPr>
        <w:t xml:space="preserve">The engine manufacturer recommends annual removal of these deposits from the engine components followed by a more extensive on-site in-frame cleaning every three years and an even more extensive off-site overhaul every 6 years.  The standard annual cleaning is </w:t>
      </w:r>
      <w:r w:rsidR="00552434" w:rsidRPr="00FD516E">
        <w:rPr>
          <w:rFonts w:cs="Arial"/>
          <w:szCs w:val="22"/>
        </w:rPr>
        <w:t xml:space="preserve">anticipated </w:t>
      </w:r>
      <w:r w:rsidR="00B41FF5" w:rsidRPr="00FD516E">
        <w:rPr>
          <w:rFonts w:cs="Arial"/>
          <w:szCs w:val="22"/>
        </w:rPr>
        <w:t>to reduce carbon monoxide emissions to 3.1 g/bhp-hr or less but it is not until the 6 year cleaning that emissions are anticipated to reliably achieve compliance with the like</w:t>
      </w:r>
      <w:r w:rsidR="00410726" w:rsidRPr="00FD516E">
        <w:rPr>
          <w:rFonts w:cs="Arial"/>
          <w:szCs w:val="22"/>
        </w:rPr>
        <w:t>-</w:t>
      </w:r>
      <w:r w:rsidR="00B41FF5" w:rsidRPr="00FD516E">
        <w:rPr>
          <w:rFonts w:cs="Arial"/>
          <w:szCs w:val="22"/>
        </w:rPr>
        <w:t xml:space="preserve">new 2.75 g/bhp-hr emission limit for CO.  </w:t>
      </w:r>
    </w:p>
    <w:p w14:paraId="0CE2F878" w14:textId="77777777" w:rsidR="009F607D" w:rsidRPr="00FD516E" w:rsidRDefault="009F607D" w:rsidP="009F6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475E66F2" w14:textId="2E4E34A7" w:rsidR="005E20C5" w:rsidRPr="00FD516E" w:rsidRDefault="004F0C87"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Treatment options for the combustion gases are </w:t>
      </w:r>
      <w:r w:rsidR="00410726" w:rsidRPr="00FD516E">
        <w:rPr>
          <w:rFonts w:cs="Arial"/>
          <w:szCs w:val="22"/>
        </w:rPr>
        <w:t xml:space="preserve">generally </w:t>
      </w:r>
      <w:r w:rsidRPr="00FD516E">
        <w:rPr>
          <w:rFonts w:cs="Arial"/>
          <w:szCs w:val="22"/>
        </w:rPr>
        <w:t xml:space="preserve">not practicable, as the siliceous deposits from siloxane combustion would </w:t>
      </w:r>
      <w:r w:rsidR="005B4A64" w:rsidRPr="00FD516E">
        <w:rPr>
          <w:rFonts w:cs="Arial"/>
          <w:szCs w:val="22"/>
        </w:rPr>
        <w:t xml:space="preserve">likely </w:t>
      </w:r>
      <w:r w:rsidRPr="00FD516E">
        <w:rPr>
          <w:rFonts w:cs="Arial"/>
          <w:szCs w:val="22"/>
        </w:rPr>
        <w:t xml:space="preserve">render any catalytic control device ineffective. </w:t>
      </w:r>
      <w:r w:rsidR="00410726" w:rsidRPr="00FD516E">
        <w:rPr>
          <w:rFonts w:cs="Arial"/>
          <w:szCs w:val="22"/>
        </w:rPr>
        <w:t xml:space="preserve"> </w:t>
      </w:r>
      <w:r w:rsidR="00E26680" w:rsidRPr="00FD516E">
        <w:rPr>
          <w:rFonts w:cs="Arial"/>
          <w:szCs w:val="22"/>
        </w:rPr>
        <w:t>Based on the Agency’s understanding of the capabilities of the proposed</w:t>
      </w:r>
      <w:r w:rsidR="00495862" w:rsidRPr="00FD516E">
        <w:rPr>
          <w:rFonts w:cs="Arial"/>
          <w:szCs w:val="22"/>
        </w:rPr>
        <w:t xml:space="preserve"> </w:t>
      </w:r>
      <w:r w:rsidR="00E26680" w:rsidRPr="00FD516E">
        <w:rPr>
          <w:rFonts w:cs="Arial"/>
          <w:szCs w:val="22"/>
        </w:rPr>
        <w:t>SRS</w:t>
      </w:r>
      <w:r w:rsidR="00495862" w:rsidRPr="00FD516E">
        <w:rPr>
          <w:rFonts w:cs="Arial"/>
          <w:szCs w:val="22"/>
        </w:rPr>
        <w:t>, the</w:t>
      </w:r>
      <w:r w:rsidR="00B246CC" w:rsidRPr="00FD516E">
        <w:rPr>
          <w:rFonts w:cs="Arial"/>
          <w:szCs w:val="22"/>
        </w:rPr>
        <w:t xml:space="preserve"> Agency has determined</w:t>
      </w:r>
      <w:r w:rsidR="00495862" w:rsidRPr="00FD516E">
        <w:rPr>
          <w:rFonts w:cs="Arial"/>
          <w:szCs w:val="22"/>
        </w:rPr>
        <w:t xml:space="preserve"> </w:t>
      </w:r>
      <w:r w:rsidR="00B246CC" w:rsidRPr="00FD516E">
        <w:rPr>
          <w:rFonts w:cs="Arial"/>
          <w:szCs w:val="22"/>
        </w:rPr>
        <w:t xml:space="preserve">the installation of any pollution control equipment downstream of the engines would be inappropriate at this time, as there is </w:t>
      </w:r>
      <w:r w:rsidR="00495862" w:rsidRPr="00FD516E">
        <w:rPr>
          <w:rFonts w:cs="Arial"/>
          <w:szCs w:val="22"/>
        </w:rPr>
        <w:t>still sufficient uncertainty regarding siloxane concentrations i</w:t>
      </w:r>
      <w:r w:rsidR="00B246CC" w:rsidRPr="00FD516E">
        <w:rPr>
          <w:rFonts w:cs="Arial"/>
          <w:szCs w:val="22"/>
        </w:rPr>
        <w:t>n</w:t>
      </w:r>
      <w:r w:rsidR="00495862" w:rsidRPr="00FD516E">
        <w:rPr>
          <w:rFonts w:cs="Arial"/>
          <w:szCs w:val="22"/>
        </w:rPr>
        <w:t xml:space="preserve"> LFG supplied to the engines, and the subsequent effects of these combusted siloxanes on</w:t>
      </w:r>
      <w:r w:rsidR="00B246CC" w:rsidRPr="00FD516E">
        <w:rPr>
          <w:rFonts w:cs="Arial"/>
          <w:szCs w:val="22"/>
        </w:rPr>
        <w:t xml:space="preserve"> pollution control equipment used for treatment of the engine exhaust.  </w:t>
      </w:r>
      <w:r w:rsidR="003F22E3" w:rsidRPr="00FD516E">
        <w:rPr>
          <w:rFonts w:cs="Arial"/>
          <w:szCs w:val="22"/>
        </w:rPr>
        <w:t>Accordingly,</w:t>
      </w:r>
      <w:r w:rsidR="002F7C29" w:rsidRPr="00FD516E">
        <w:rPr>
          <w:rFonts w:cs="Arial"/>
          <w:szCs w:val="22"/>
        </w:rPr>
        <w:t xml:space="preserve"> </w:t>
      </w:r>
      <w:r w:rsidR="00605958" w:rsidRPr="00FD516E">
        <w:rPr>
          <w:rFonts w:cs="Arial"/>
          <w:szCs w:val="22"/>
        </w:rPr>
        <w:t xml:space="preserve">the </w:t>
      </w:r>
      <w:r w:rsidR="002F7C29" w:rsidRPr="00FD516E">
        <w:rPr>
          <w:rFonts w:cs="Arial"/>
          <w:szCs w:val="22"/>
        </w:rPr>
        <w:t xml:space="preserve">MSER for CO </w:t>
      </w:r>
      <w:r w:rsidR="006241D4" w:rsidRPr="00FD516E">
        <w:rPr>
          <w:rFonts w:cs="Arial"/>
          <w:szCs w:val="22"/>
        </w:rPr>
        <w:t xml:space="preserve">emissions from </w:t>
      </w:r>
      <w:r w:rsidR="002F7C29" w:rsidRPr="00FD516E">
        <w:rPr>
          <w:rFonts w:cs="Arial"/>
          <w:szCs w:val="22"/>
        </w:rPr>
        <w:t xml:space="preserve">the </w:t>
      </w:r>
      <w:r w:rsidR="00605958" w:rsidRPr="00FD516E">
        <w:rPr>
          <w:rFonts w:cs="Arial"/>
          <w:szCs w:val="22"/>
        </w:rPr>
        <w:t xml:space="preserve">CAT </w:t>
      </w:r>
      <w:r w:rsidR="002F7C29" w:rsidRPr="00FD516E">
        <w:rPr>
          <w:rFonts w:cs="Arial"/>
          <w:szCs w:val="22"/>
        </w:rPr>
        <w:t xml:space="preserve">3520C LE engines </w:t>
      </w:r>
      <w:r w:rsidR="006241D4" w:rsidRPr="00FD516E">
        <w:rPr>
          <w:rFonts w:cs="Arial"/>
          <w:szCs w:val="22"/>
        </w:rPr>
        <w:t xml:space="preserve">was revised </w:t>
      </w:r>
      <w:r w:rsidR="00572759" w:rsidRPr="00FD516E">
        <w:rPr>
          <w:rFonts w:cs="Arial"/>
          <w:szCs w:val="22"/>
        </w:rPr>
        <w:t xml:space="preserve">under </w:t>
      </w:r>
      <w:r w:rsidR="00572759" w:rsidRPr="00FD516E">
        <w:rPr>
          <w:rFonts w:cs="Arial"/>
          <w:szCs w:val="22"/>
          <w:vertAlign w:val="superscript"/>
        </w:rPr>
        <w:t>#</w:t>
      </w:r>
      <w:r w:rsidR="00572759" w:rsidRPr="00FD516E">
        <w:rPr>
          <w:rFonts w:cs="Arial"/>
          <w:szCs w:val="22"/>
        </w:rPr>
        <w:t xml:space="preserve">AOP-14-034 and </w:t>
      </w:r>
      <w:r w:rsidR="00572759" w:rsidRPr="00FD516E">
        <w:rPr>
          <w:rFonts w:cs="Arial"/>
          <w:szCs w:val="22"/>
          <w:vertAlign w:val="superscript"/>
        </w:rPr>
        <w:t>#</w:t>
      </w:r>
      <w:r w:rsidR="00572759" w:rsidRPr="00FD516E">
        <w:rPr>
          <w:rFonts w:cs="Arial"/>
          <w:szCs w:val="22"/>
        </w:rPr>
        <w:t>AOP-15-032</w:t>
      </w:r>
      <w:r w:rsidR="00066DD0" w:rsidRPr="00FD516E">
        <w:rPr>
          <w:rFonts w:cs="Arial"/>
          <w:szCs w:val="22"/>
        </w:rPr>
        <w:t>, and is reaffirmed under these permits.  This MSER</w:t>
      </w:r>
      <w:r w:rsidR="002F7C29" w:rsidRPr="00FD516E">
        <w:rPr>
          <w:rFonts w:cs="Arial"/>
          <w:szCs w:val="22"/>
        </w:rPr>
        <w:t xml:space="preserve"> as follows:</w:t>
      </w:r>
    </w:p>
    <w:p w14:paraId="43B4DA4D" w14:textId="77777777" w:rsidR="002F7C29" w:rsidRPr="00FD516E" w:rsidRDefault="002F7C29" w:rsidP="00B41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71D4610C" w14:textId="77777777" w:rsidR="002F7C29" w:rsidRPr="00FD516E" w:rsidRDefault="002F7C29" w:rsidP="002F7C29">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r w:rsidRPr="00FD516E">
        <w:rPr>
          <w:rFonts w:cs="Arial"/>
          <w:szCs w:val="22"/>
        </w:rPr>
        <w:t>3.5 g/bhp-hr and 17.3 lb/hr (each) applies at all times</w:t>
      </w:r>
    </w:p>
    <w:p w14:paraId="7B9BF9E6" w14:textId="6F0FD469" w:rsidR="002F7C29" w:rsidRPr="00FD516E" w:rsidRDefault="002F7C29" w:rsidP="002F7C29">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r w:rsidRPr="00FD516E">
        <w:rPr>
          <w:rFonts w:cs="Arial"/>
          <w:szCs w:val="22"/>
        </w:rPr>
        <w:t xml:space="preserve">3.1 g/bhp-hr and 15.3 lb/hr (each) must be demonstrated </w:t>
      </w:r>
      <w:r w:rsidR="005B4A64" w:rsidRPr="00FD516E">
        <w:rPr>
          <w:rFonts w:cs="Arial"/>
          <w:szCs w:val="22"/>
        </w:rPr>
        <w:t>every two years</w:t>
      </w:r>
      <w:r w:rsidR="00E25BA5" w:rsidRPr="00FD516E">
        <w:rPr>
          <w:rFonts w:cs="Arial"/>
          <w:szCs w:val="22"/>
        </w:rPr>
        <w:t xml:space="preserve">.  The permit may </w:t>
      </w:r>
      <w:r w:rsidR="00303A26" w:rsidRPr="00FD516E">
        <w:rPr>
          <w:rFonts w:cs="Arial"/>
          <w:szCs w:val="22"/>
        </w:rPr>
        <w:t>not require each engine to be tested each year in which case the results of those being tested will be considered representative of those not tested that year</w:t>
      </w:r>
      <w:r w:rsidR="00E25BA5" w:rsidRPr="00FD516E">
        <w:rPr>
          <w:rFonts w:cs="Arial"/>
          <w:szCs w:val="22"/>
        </w:rPr>
        <w:t xml:space="preserve">.  </w:t>
      </w:r>
    </w:p>
    <w:p w14:paraId="29CEE62A" w14:textId="77777777" w:rsidR="002F7C29" w:rsidRPr="00FD516E" w:rsidRDefault="002F7C29" w:rsidP="002F7C29">
      <w:pPr>
        <w:pStyle w:val="ListParagraph"/>
        <w:numPr>
          <w:ilvl w:val="0"/>
          <w:numId w:val="3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r w:rsidRPr="00FD516E">
        <w:rPr>
          <w:rFonts w:cs="Arial"/>
          <w:szCs w:val="22"/>
        </w:rPr>
        <w:t>2.75 g/bhp-hr and 13.5 lbs/hour (each) must be demonstrated every 6 years</w:t>
      </w:r>
    </w:p>
    <w:p w14:paraId="67D30567" w14:textId="77777777" w:rsidR="002F7C29" w:rsidRPr="00FD516E" w:rsidRDefault="002F7C29" w:rsidP="00B41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987E181" w14:textId="3B8998CD" w:rsidR="00A3049C" w:rsidRPr="00FD516E" w:rsidRDefault="00A3049C" w:rsidP="00A304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MSER for NOx emissions from the </w:t>
      </w:r>
      <w:r w:rsidR="002D0237" w:rsidRPr="00FD516E">
        <w:rPr>
          <w:rFonts w:cs="Arial"/>
          <w:szCs w:val="22"/>
        </w:rPr>
        <w:t xml:space="preserve">CAT </w:t>
      </w:r>
      <w:r w:rsidRPr="00FD516E">
        <w:rPr>
          <w:rFonts w:cs="Arial"/>
          <w:szCs w:val="22"/>
        </w:rPr>
        <w:t xml:space="preserve">G3520C LE engines fired with LFG was established as 0.5 g/bhp-hr and 2.45 lb/hour for each engine on December 16, 2004 under </w:t>
      </w:r>
      <w:r w:rsidRPr="00FD516E">
        <w:rPr>
          <w:rFonts w:cs="Arial"/>
          <w:szCs w:val="22"/>
          <w:vertAlign w:val="superscript"/>
        </w:rPr>
        <w:t>#</w:t>
      </w:r>
      <w:r w:rsidRPr="00FD516E">
        <w:rPr>
          <w:rFonts w:cs="Arial"/>
          <w:szCs w:val="22"/>
        </w:rPr>
        <w:t xml:space="preserve">AOP-03-044.  This MSER </w:t>
      </w:r>
      <w:r w:rsidR="006241D4" w:rsidRPr="00FD516E">
        <w:rPr>
          <w:rFonts w:cs="Arial"/>
          <w:szCs w:val="22"/>
        </w:rPr>
        <w:t xml:space="preserve">was </w:t>
      </w:r>
      <w:r w:rsidR="00E25BA5" w:rsidRPr="00FD516E">
        <w:rPr>
          <w:rFonts w:cs="Arial"/>
          <w:szCs w:val="22"/>
        </w:rPr>
        <w:t xml:space="preserve">not subject to further review </w:t>
      </w:r>
      <w:r w:rsidR="00572759" w:rsidRPr="00FD516E">
        <w:rPr>
          <w:rFonts w:cs="Arial"/>
          <w:szCs w:val="22"/>
        </w:rPr>
        <w:t xml:space="preserve">under </w:t>
      </w:r>
      <w:r w:rsidR="00572759" w:rsidRPr="00FD516E">
        <w:rPr>
          <w:rFonts w:cs="Arial"/>
          <w:szCs w:val="22"/>
          <w:vertAlign w:val="superscript"/>
        </w:rPr>
        <w:t>#</w:t>
      </w:r>
      <w:r w:rsidR="00572759" w:rsidRPr="00FD516E">
        <w:rPr>
          <w:rFonts w:cs="Arial"/>
          <w:szCs w:val="22"/>
        </w:rPr>
        <w:t xml:space="preserve">AOP-14-034 and </w:t>
      </w:r>
      <w:r w:rsidR="00572759" w:rsidRPr="00FD516E">
        <w:rPr>
          <w:rFonts w:cs="Arial"/>
          <w:szCs w:val="22"/>
          <w:vertAlign w:val="superscript"/>
        </w:rPr>
        <w:t>#</w:t>
      </w:r>
      <w:r w:rsidR="00572759" w:rsidRPr="00FD516E">
        <w:rPr>
          <w:rFonts w:cs="Arial"/>
          <w:szCs w:val="22"/>
        </w:rPr>
        <w:t>AOP-15-032</w:t>
      </w:r>
      <w:r w:rsidR="00066DD0" w:rsidRPr="00FD516E">
        <w:rPr>
          <w:rFonts w:cs="Arial"/>
          <w:szCs w:val="22"/>
        </w:rPr>
        <w:t>, or under these permits,</w:t>
      </w:r>
      <w:r w:rsidR="006241D4" w:rsidRPr="00FD516E">
        <w:rPr>
          <w:rFonts w:cs="Arial"/>
          <w:szCs w:val="22"/>
        </w:rPr>
        <w:t xml:space="preserve"> as the </w:t>
      </w:r>
      <w:r w:rsidR="00066DD0" w:rsidRPr="00FD516E">
        <w:rPr>
          <w:rFonts w:cs="Arial"/>
          <w:szCs w:val="22"/>
        </w:rPr>
        <w:t xml:space="preserve">actual </w:t>
      </w:r>
      <w:r w:rsidR="00E25BA5" w:rsidRPr="00FD516E">
        <w:rPr>
          <w:rFonts w:cs="Arial"/>
          <w:szCs w:val="22"/>
        </w:rPr>
        <w:t>NOx emission</w:t>
      </w:r>
      <w:r w:rsidR="00733857" w:rsidRPr="00FD516E">
        <w:rPr>
          <w:rFonts w:cs="Arial"/>
          <w:szCs w:val="22"/>
        </w:rPr>
        <w:t xml:space="preserve"> rate</w:t>
      </w:r>
      <w:r w:rsidR="00E25BA5" w:rsidRPr="00FD516E">
        <w:rPr>
          <w:rFonts w:cs="Arial"/>
          <w:szCs w:val="22"/>
        </w:rPr>
        <w:t xml:space="preserve">s </w:t>
      </w:r>
      <w:r w:rsidR="006241D4" w:rsidRPr="00FD516E">
        <w:rPr>
          <w:rFonts w:cs="Arial"/>
          <w:szCs w:val="22"/>
        </w:rPr>
        <w:t>had changed</w:t>
      </w:r>
      <w:r w:rsidR="00E25BA5" w:rsidRPr="00FD516E">
        <w:rPr>
          <w:rFonts w:cs="Arial"/>
          <w:szCs w:val="22"/>
        </w:rPr>
        <w:t xml:space="preserve"> since the </w:t>
      </w:r>
      <w:r w:rsidR="00697679" w:rsidRPr="00FD516E">
        <w:rPr>
          <w:rFonts w:cs="Arial"/>
          <w:szCs w:val="22"/>
        </w:rPr>
        <w:t>original MSER</w:t>
      </w:r>
      <w:r w:rsidR="006241D4" w:rsidRPr="00FD516E">
        <w:rPr>
          <w:rFonts w:cs="Arial"/>
          <w:szCs w:val="22"/>
        </w:rPr>
        <w:t xml:space="preserve"> for NOx emission</w:t>
      </w:r>
      <w:r w:rsidR="00E25BA5" w:rsidRPr="00FD516E">
        <w:rPr>
          <w:rFonts w:cs="Arial"/>
          <w:szCs w:val="22"/>
        </w:rPr>
        <w:t xml:space="preserve"> was established</w:t>
      </w:r>
      <w:r w:rsidRPr="00FD516E">
        <w:rPr>
          <w:rFonts w:cs="Arial"/>
          <w:szCs w:val="22"/>
        </w:rPr>
        <w:t xml:space="preserve">.  </w:t>
      </w:r>
    </w:p>
    <w:p w14:paraId="425F352D" w14:textId="77777777" w:rsidR="00A3049C" w:rsidRPr="00FD516E" w:rsidRDefault="00A3049C" w:rsidP="00B41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ADF0029" w14:textId="34203BA5" w:rsidR="002F7C29" w:rsidRPr="00FD516E" w:rsidRDefault="002F7C29"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MSER for CO for the John Zink </w:t>
      </w:r>
      <w:r w:rsidR="00953E7D" w:rsidRPr="00FD516E">
        <w:rPr>
          <w:rFonts w:cs="Arial"/>
          <w:szCs w:val="22"/>
        </w:rPr>
        <w:t xml:space="preserve">flare </w:t>
      </w:r>
      <w:r w:rsidRPr="00FD516E">
        <w:rPr>
          <w:rFonts w:cs="Arial"/>
          <w:szCs w:val="22"/>
        </w:rPr>
        <w:t xml:space="preserve">at the </w:t>
      </w:r>
      <w:r w:rsidR="007B671A" w:rsidRPr="00FD516E">
        <w:rPr>
          <w:rFonts w:cs="Arial"/>
          <w:szCs w:val="22"/>
        </w:rPr>
        <w:t xml:space="preserve">Landfill Operation </w:t>
      </w:r>
      <w:r w:rsidR="00953E7D" w:rsidRPr="00FD516E">
        <w:rPr>
          <w:rFonts w:cs="Arial"/>
          <w:szCs w:val="22"/>
        </w:rPr>
        <w:t xml:space="preserve">was previously established as </w:t>
      </w:r>
      <w:r w:rsidR="009F607D" w:rsidRPr="00FD516E">
        <w:rPr>
          <w:rFonts w:cs="Arial"/>
          <w:szCs w:val="22"/>
        </w:rPr>
        <w:t xml:space="preserve">0.37 lb/MMBtu </w:t>
      </w:r>
      <w:r w:rsidR="00953E7D" w:rsidRPr="00FD516E">
        <w:rPr>
          <w:rFonts w:cs="Arial"/>
          <w:szCs w:val="22"/>
        </w:rPr>
        <w:t>on December 16, 2004 under #AOP-03-044</w:t>
      </w:r>
      <w:r w:rsidR="00785CDB" w:rsidRPr="00FD516E">
        <w:rPr>
          <w:rFonts w:cs="Arial"/>
          <w:szCs w:val="22"/>
        </w:rPr>
        <w:t xml:space="preserve"> and </w:t>
      </w:r>
      <w:r w:rsidR="00572759" w:rsidRPr="00FD516E">
        <w:rPr>
          <w:rFonts w:cs="Arial"/>
          <w:szCs w:val="22"/>
        </w:rPr>
        <w:t xml:space="preserve">under </w:t>
      </w:r>
      <w:r w:rsidR="00572759" w:rsidRPr="00FD516E">
        <w:rPr>
          <w:rFonts w:cs="Arial"/>
          <w:szCs w:val="22"/>
          <w:vertAlign w:val="superscript"/>
        </w:rPr>
        <w:t>#</w:t>
      </w:r>
      <w:r w:rsidR="00572759" w:rsidRPr="00FD516E">
        <w:rPr>
          <w:rFonts w:cs="Arial"/>
          <w:szCs w:val="22"/>
        </w:rPr>
        <w:t xml:space="preserve">AOP-14-034 and </w:t>
      </w:r>
      <w:r w:rsidR="00572759" w:rsidRPr="00FD516E">
        <w:rPr>
          <w:rFonts w:cs="Arial"/>
          <w:szCs w:val="22"/>
          <w:vertAlign w:val="superscript"/>
        </w:rPr>
        <w:t>#</w:t>
      </w:r>
      <w:r w:rsidR="00572759" w:rsidRPr="00FD516E">
        <w:rPr>
          <w:rFonts w:cs="Arial"/>
          <w:szCs w:val="22"/>
        </w:rPr>
        <w:t>AOP-15-</w:t>
      </w:r>
      <w:r w:rsidR="00602605" w:rsidRPr="00FD516E">
        <w:rPr>
          <w:rFonts w:cs="Arial"/>
          <w:szCs w:val="22"/>
        </w:rPr>
        <w:t>032 is</w:t>
      </w:r>
      <w:r w:rsidR="00066DD0" w:rsidRPr="00FD516E">
        <w:rPr>
          <w:rFonts w:cs="Arial"/>
          <w:szCs w:val="22"/>
        </w:rPr>
        <w:t xml:space="preserve"> reaffirmed under these permits</w:t>
      </w:r>
      <w:r w:rsidRPr="00FD516E">
        <w:rPr>
          <w:rFonts w:cs="Arial"/>
          <w:szCs w:val="22"/>
        </w:rPr>
        <w:t xml:space="preserve">.  </w:t>
      </w:r>
      <w:r w:rsidR="00A3049C" w:rsidRPr="00FD516E">
        <w:rPr>
          <w:rFonts w:cs="Arial"/>
          <w:szCs w:val="22"/>
        </w:rPr>
        <w:t xml:space="preserve">Similarly, the MSER for NOx </w:t>
      </w:r>
      <w:r w:rsidR="00066DD0" w:rsidRPr="00FD516E">
        <w:rPr>
          <w:rFonts w:cs="Arial"/>
          <w:szCs w:val="22"/>
        </w:rPr>
        <w:t xml:space="preserve">emissions from </w:t>
      </w:r>
      <w:r w:rsidR="00A3049C" w:rsidRPr="00FD516E">
        <w:rPr>
          <w:rFonts w:cs="Arial"/>
          <w:szCs w:val="22"/>
        </w:rPr>
        <w:t xml:space="preserve">the John Zink flare at the </w:t>
      </w:r>
      <w:r w:rsidR="007B671A" w:rsidRPr="00FD516E">
        <w:rPr>
          <w:rFonts w:cs="Arial"/>
          <w:szCs w:val="22"/>
        </w:rPr>
        <w:t>Landfill Operation</w:t>
      </w:r>
      <w:r w:rsidR="00A3049C" w:rsidRPr="00FD516E">
        <w:rPr>
          <w:rFonts w:cs="Arial"/>
          <w:szCs w:val="22"/>
        </w:rPr>
        <w:t xml:space="preserve"> </w:t>
      </w:r>
      <w:r w:rsidR="005121B9" w:rsidRPr="00FD516E">
        <w:rPr>
          <w:rFonts w:cs="Arial"/>
          <w:szCs w:val="22"/>
        </w:rPr>
        <w:t xml:space="preserve">was previously established at </w:t>
      </w:r>
      <w:r w:rsidR="00953E7D" w:rsidRPr="00FD516E">
        <w:rPr>
          <w:rFonts w:cs="Arial"/>
          <w:szCs w:val="22"/>
        </w:rPr>
        <w:t>0.068 lb/MMBtu</w:t>
      </w:r>
      <w:r w:rsidR="005121B9" w:rsidRPr="00FD516E">
        <w:rPr>
          <w:rFonts w:cs="Arial"/>
          <w:szCs w:val="22"/>
        </w:rPr>
        <w:t>, and this MSER</w:t>
      </w:r>
      <w:r w:rsidR="00A3049C" w:rsidRPr="00FD516E">
        <w:rPr>
          <w:rFonts w:cs="Arial"/>
          <w:szCs w:val="22"/>
        </w:rPr>
        <w:t xml:space="preserve"> </w:t>
      </w:r>
      <w:r w:rsidR="00066DD0" w:rsidRPr="00FD516E">
        <w:rPr>
          <w:rFonts w:cs="Arial"/>
          <w:szCs w:val="22"/>
        </w:rPr>
        <w:t xml:space="preserve">was </w:t>
      </w:r>
      <w:r w:rsidR="00E25BA5" w:rsidRPr="00FD516E">
        <w:rPr>
          <w:rFonts w:cs="Arial"/>
          <w:szCs w:val="22"/>
        </w:rPr>
        <w:t xml:space="preserve">not subject to further review </w:t>
      </w:r>
      <w:r w:rsidR="00066DD0" w:rsidRPr="00FD516E">
        <w:rPr>
          <w:rFonts w:cs="Arial"/>
          <w:szCs w:val="22"/>
        </w:rPr>
        <w:t>under</w:t>
      </w:r>
      <w:r w:rsidR="00572759" w:rsidRPr="00FD516E">
        <w:rPr>
          <w:rFonts w:cs="Arial"/>
          <w:szCs w:val="22"/>
        </w:rPr>
        <w:t xml:space="preserve"> </w:t>
      </w:r>
      <w:r w:rsidR="00572759" w:rsidRPr="00FD516E">
        <w:rPr>
          <w:rFonts w:cs="Arial"/>
          <w:szCs w:val="22"/>
          <w:vertAlign w:val="superscript"/>
        </w:rPr>
        <w:t>#</w:t>
      </w:r>
      <w:r w:rsidR="00572759" w:rsidRPr="00FD516E">
        <w:rPr>
          <w:rFonts w:cs="Arial"/>
          <w:szCs w:val="22"/>
        </w:rPr>
        <w:t xml:space="preserve">AOP-14-034 and </w:t>
      </w:r>
      <w:r w:rsidR="00572759" w:rsidRPr="00FD516E">
        <w:rPr>
          <w:rFonts w:cs="Arial"/>
          <w:szCs w:val="22"/>
          <w:vertAlign w:val="superscript"/>
        </w:rPr>
        <w:t>#</w:t>
      </w:r>
      <w:r w:rsidR="00572759" w:rsidRPr="00FD516E">
        <w:rPr>
          <w:rFonts w:cs="Arial"/>
          <w:szCs w:val="22"/>
        </w:rPr>
        <w:t>AOP-15-032</w:t>
      </w:r>
      <w:r w:rsidR="00733857" w:rsidRPr="00FD516E">
        <w:rPr>
          <w:rFonts w:cs="Arial"/>
          <w:szCs w:val="22"/>
        </w:rPr>
        <w:t>, as</w:t>
      </w:r>
      <w:r w:rsidR="00E25BA5" w:rsidRPr="00FD516E">
        <w:rPr>
          <w:rFonts w:cs="Arial"/>
          <w:szCs w:val="22"/>
        </w:rPr>
        <w:t xml:space="preserve"> NOx </w:t>
      </w:r>
      <w:r w:rsidR="00733857" w:rsidRPr="00FD516E">
        <w:rPr>
          <w:rFonts w:cs="Arial"/>
          <w:szCs w:val="22"/>
        </w:rPr>
        <w:t>emission rates</w:t>
      </w:r>
      <w:r w:rsidR="00E25BA5" w:rsidRPr="00FD516E">
        <w:rPr>
          <w:rFonts w:cs="Arial"/>
          <w:szCs w:val="22"/>
        </w:rPr>
        <w:t xml:space="preserve"> have not </w:t>
      </w:r>
      <w:r w:rsidR="00733857" w:rsidRPr="00FD516E">
        <w:rPr>
          <w:rFonts w:cs="Arial"/>
          <w:szCs w:val="22"/>
        </w:rPr>
        <w:t xml:space="preserve">been </w:t>
      </w:r>
      <w:r w:rsidR="00E25BA5" w:rsidRPr="00FD516E">
        <w:rPr>
          <w:rFonts w:cs="Arial"/>
          <w:szCs w:val="22"/>
        </w:rPr>
        <w:t xml:space="preserve">increased since the </w:t>
      </w:r>
      <w:r w:rsidR="00066DD0" w:rsidRPr="00FD516E">
        <w:rPr>
          <w:rFonts w:cs="Arial"/>
          <w:szCs w:val="22"/>
        </w:rPr>
        <w:t>imposition of this limit</w:t>
      </w:r>
      <w:r w:rsidR="005121B9" w:rsidRPr="00FD516E">
        <w:rPr>
          <w:rFonts w:cs="Arial"/>
          <w:szCs w:val="22"/>
        </w:rPr>
        <w:t xml:space="preserve">.  The MSER for CO and NOx for the proposed </w:t>
      </w:r>
      <w:r w:rsidR="00953E7D" w:rsidRPr="00FD516E">
        <w:rPr>
          <w:rFonts w:cs="Arial"/>
          <w:szCs w:val="22"/>
        </w:rPr>
        <w:t>Parnel Biogas flare</w:t>
      </w:r>
      <w:r w:rsidR="005121B9" w:rsidRPr="00FD516E">
        <w:rPr>
          <w:rFonts w:cs="Arial"/>
          <w:szCs w:val="22"/>
        </w:rPr>
        <w:t xml:space="preserve"> </w:t>
      </w:r>
      <w:r w:rsidR="004A7C06" w:rsidRPr="00FD516E">
        <w:rPr>
          <w:rFonts w:cs="Arial"/>
          <w:szCs w:val="22"/>
        </w:rPr>
        <w:t xml:space="preserve">and the SRS flare </w:t>
      </w:r>
      <w:r w:rsidR="00733857" w:rsidRPr="00FD516E">
        <w:rPr>
          <w:rFonts w:cs="Arial"/>
          <w:szCs w:val="22"/>
        </w:rPr>
        <w:t>were</w:t>
      </w:r>
      <w:r w:rsidR="00066DD0" w:rsidRPr="00FD516E">
        <w:rPr>
          <w:rFonts w:cs="Arial"/>
          <w:szCs w:val="22"/>
        </w:rPr>
        <w:t xml:space="preserve"> </w:t>
      </w:r>
      <w:r w:rsidR="005121B9" w:rsidRPr="00FD516E">
        <w:rPr>
          <w:rFonts w:cs="Arial"/>
          <w:szCs w:val="22"/>
        </w:rPr>
        <w:t>established at the same limits as the existing John Zink flare</w:t>
      </w:r>
      <w:r w:rsidR="00733857" w:rsidRPr="00FD516E">
        <w:rPr>
          <w:rFonts w:cs="Arial"/>
          <w:szCs w:val="22"/>
        </w:rPr>
        <w:t xml:space="preserve"> </w:t>
      </w:r>
      <w:bookmarkStart w:id="9" w:name="_Hlk494788616"/>
      <w:r w:rsidR="00733857" w:rsidRPr="00FD516E">
        <w:rPr>
          <w:rFonts w:cs="Arial"/>
          <w:szCs w:val="22"/>
        </w:rPr>
        <w:t xml:space="preserve">under </w:t>
      </w:r>
      <w:r w:rsidR="00733857" w:rsidRPr="00FD516E">
        <w:rPr>
          <w:rFonts w:cs="Arial"/>
          <w:szCs w:val="22"/>
          <w:vertAlign w:val="superscript"/>
        </w:rPr>
        <w:t>#</w:t>
      </w:r>
      <w:r w:rsidR="00733857" w:rsidRPr="00FD516E">
        <w:rPr>
          <w:rFonts w:cs="Arial"/>
          <w:szCs w:val="22"/>
        </w:rPr>
        <w:t xml:space="preserve">AOP-14-034 and </w:t>
      </w:r>
      <w:r w:rsidR="00572759" w:rsidRPr="00FD516E">
        <w:rPr>
          <w:rFonts w:cs="Arial"/>
          <w:szCs w:val="22"/>
          <w:vertAlign w:val="superscript"/>
        </w:rPr>
        <w:t>#</w:t>
      </w:r>
      <w:r w:rsidR="00733857" w:rsidRPr="00FD516E">
        <w:rPr>
          <w:rFonts w:cs="Arial"/>
          <w:szCs w:val="22"/>
        </w:rPr>
        <w:t>AOP-15-032</w:t>
      </w:r>
      <w:r w:rsidR="007958A9">
        <w:rPr>
          <w:rFonts w:cs="Arial"/>
          <w:szCs w:val="22"/>
        </w:rPr>
        <w:t xml:space="preserve">. </w:t>
      </w:r>
      <w:bookmarkEnd w:id="9"/>
      <w:r w:rsidR="005121B9" w:rsidRPr="00FD516E">
        <w:rPr>
          <w:rFonts w:cs="Arial"/>
          <w:szCs w:val="22"/>
        </w:rPr>
        <w:t xml:space="preserve"> </w:t>
      </w:r>
    </w:p>
    <w:p w14:paraId="7A62C485" w14:textId="77777777" w:rsidR="009F607D" w:rsidRPr="00FD516E" w:rsidRDefault="009F607D" w:rsidP="00A304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0BA03F63" w14:textId="77777777" w:rsidR="005E20C5" w:rsidRPr="00FD516E" w:rsidRDefault="005E20C5" w:rsidP="00D818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DAC7AE7" w14:textId="77777777" w:rsidR="005E20C5" w:rsidRPr="00FD516E" w:rsidRDefault="005E20C5" w:rsidP="00954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outlineLvl w:val="0"/>
        <w:rPr>
          <w:rFonts w:cs="Arial"/>
          <w:szCs w:val="22"/>
        </w:rPr>
      </w:pPr>
      <w:r w:rsidRPr="00FD516E">
        <w:rPr>
          <w:rFonts w:cs="Arial"/>
          <w:b/>
          <w:bCs/>
          <w:szCs w:val="22"/>
        </w:rPr>
        <w:lastRenderedPageBreak/>
        <w:t>6.0.</w:t>
      </w:r>
      <w:r w:rsidRPr="00FD516E">
        <w:rPr>
          <w:rFonts w:cs="Arial"/>
          <w:b/>
          <w:bCs/>
          <w:szCs w:val="22"/>
        </w:rPr>
        <w:tab/>
        <w:t>AMBIENT AIR QUALITY IMPACT EVALUATION</w:t>
      </w:r>
    </w:p>
    <w:p w14:paraId="7CF3C3C2" w14:textId="77777777" w:rsidR="005E20C5" w:rsidRPr="00FD516E" w:rsidRDefault="005E20C5" w:rsidP="00AC2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cs="Arial"/>
          <w:szCs w:val="22"/>
        </w:rPr>
      </w:pPr>
    </w:p>
    <w:p w14:paraId="2EA9F37F" w14:textId="77777777" w:rsidR="00BF2D0E" w:rsidRPr="00FD516E" w:rsidRDefault="005E20C5" w:rsidP="00B70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The Agency's implementation procedures concerning the need for an ambient air quality impact evaluation under §5-501 of the </w:t>
      </w:r>
      <w:r w:rsidRPr="00FD516E">
        <w:rPr>
          <w:rFonts w:cs="Arial"/>
          <w:i/>
          <w:iCs/>
          <w:szCs w:val="22"/>
        </w:rPr>
        <w:t>Regulations</w:t>
      </w:r>
      <w:r w:rsidRPr="00FD516E">
        <w:rPr>
          <w:rFonts w:cs="Arial"/>
          <w:szCs w:val="22"/>
        </w:rPr>
        <w:t xml:space="preserve"> specifies that such analyses shall be performed when modifications result in an allowable emissions increase of 10 tpy or more of any air contaminant, excluding VOCs.  Air quality impact evaluations are not required by the Agency for individual sources of VOCs.  </w:t>
      </w:r>
    </w:p>
    <w:p w14:paraId="48EF1917" w14:textId="77777777" w:rsidR="00BF2D0E" w:rsidRPr="00FD516E" w:rsidRDefault="00BF2D0E" w:rsidP="00BF2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5062E073" w14:textId="5F151D08" w:rsidR="00332F7D" w:rsidRPr="00FD516E" w:rsidRDefault="00D110E5" w:rsidP="003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Based on the proposed level of emissions increase from this Facility, the Agency required a revised AQIE for the pollutants CO, NOx, PM</w:t>
      </w:r>
      <w:r w:rsidR="000421C6" w:rsidRPr="00FD516E">
        <w:rPr>
          <w:rFonts w:cs="Arial"/>
          <w:szCs w:val="22"/>
        </w:rPr>
        <w:t xml:space="preserve"> / PM</w:t>
      </w:r>
      <w:r w:rsidR="000421C6" w:rsidRPr="00FD516E">
        <w:rPr>
          <w:rFonts w:cs="Arial"/>
          <w:szCs w:val="22"/>
          <w:vertAlign w:val="subscript"/>
        </w:rPr>
        <w:t>10</w:t>
      </w:r>
      <w:r w:rsidR="000421C6" w:rsidRPr="00FD516E">
        <w:rPr>
          <w:rFonts w:cs="Arial"/>
          <w:szCs w:val="22"/>
        </w:rPr>
        <w:t xml:space="preserve"> / PM</w:t>
      </w:r>
      <w:r w:rsidR="000421C6" w:rsidRPr="00FD516E">
        <w:rPr>
          <w:rFonts w:cs="Arial"/>
          <w:szCs w:val="22"/>
          <w:vertAlign w:val="subscript"/>
        </w:rPr>
        <w:t>2.5</w:t>
      </w:r>
      <w:r w:rsidRPr="00FD516E">
        <w:rPr>
          <w:rFonts w:cs="Arial"/>
          <w:szCs w:val="22"/>
          <w:vertAlign w:val="subscript"/>
        </w:rPr>
        <w:t xml:space="preserve"> </w:t>
      </w:r>
      <w:r w:rsidRPr="00FD516E">
        <w:rPr>
          <w:rFonts w:cs="Arial"/>
          <w:szCs w:val="22"/>
        </w:rPr>
        <w:t>and SO</w:t>
      </w:r>
      <w:r w:rsidRPr="00FD516E">
        <w:rPr>
          <w:rFonts w:cs="Arial"/>
          <w:szCs w:val="22"/>
          <w:vertAlign w:val="subscript"/>
        </w:rPr>
        <w:t>2</w:t>
      </w:r>
      <w:r w:rsidR="00572759" w:rsidRPr="00FD516E">
        <w:rPr>
          <w:rFonts w:cs="Arial"/>
          <w:szCs w:val="22"/>
        </w:rPr>
        <w:t xml:space="preserve"> as part of the permit review for </w:t>
      </w:r>
      <w:r w:rsidR="00572759" w:rsidRPr="00FD516E">
        <w:rPr>
          <w:rFonts w:cs="Arial"/>
          <w:szCs w:val="22"/>
          <w:vertAlign w:val="superscript"/>
        </w:rPr>
        <w:t>#</w:t>
      </w:r>
      <w:r w:rsidR="00572759" w:rsidRPr="00FD516E">
        <w:rPr>
          <w:rFonts w:cs="Arial"/>
          <w:szCs w:val="22"/>
        </w:rPr>
        <w:t xml:space="preserve">AOP-14-034 and </w:t>
      </w:r>
      <w:r w:rsidR="00572759" w:rsidRPr="00FD516E">
        <w:rPr>
          <w:rFonts w:cs="Arial"/>
          <w:szCs w:val="22"/>
          <w:vertAlign w:val="superscript"/>
        </w:rPr>
        <w:t>#</w:t>
      </w:r>
      <w:r w:rsidR="00572759" w:rsidRPr="00FD516E">
        <w:rPr>
          <w:rFonts w:cs="Arial"/>
          <w:szCs w:val="22"/>
        </w:rPr>
        <w:t>AOP-15-032</w:t>
      </w:r>
      <w:r w:rsidRPr="00FD516E">
        <w:rPr>
          <w:rFonts w:cs="Arial"/>
          <w:szCs w:val="22"/>
        </w:rPr>
        <w:t xml:space="preserve">  </w:t>
      </w:r>
    </w:p>
    <w:p w14:paraId="2A265514" w14:textId="77777777" w:rsidR="00332F7D" w:rsidRPr="00FD516E" w:rsidRDefault="00332F7D" w:rsidP="003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05EC9AC7" w14:textId="29732222" w:rsidR="00332F7D" w:rsidRPr="00FD516E" w:rsidRDefault="00572759" w:rsidP="003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 xml:space="preserve">This </w:t>
      </w:r>
      <w:r w:rsidR="00332F7D" w:rsidRPr="00FD516E">
        <w:rPr>
          <w:rFonts w:cs="Arial"/>
          <w:szCs w:val="22"/>
        </w:rPr>
        <w:t>AQIE</w:t>
      </w:r>
      <w:r w:rsidR="007E0371" w:rsidRPr="00FD516E">
        <w:rPr>
          <w:rFonts w:cs="Arial"/>
          <w:szCs w:val="22"/>
        </w:rPr>
        <w:t xml:space="preserve"> was prepared</w:t>
      </w:r>
      <w:r w:rsidR="00332F7D" w:rsidRPr="00FD516E">
        <w:rPr>
          <w:rFonts w:cs="Arial"/>
          <w:szCs w:val="22"/>
        </w:rPr>
        <w:t xml:space="preserve"> for the Facility (</w:t>
      </w:r>
      <w:r w:rsidR="00332F7D" w:rsidRPr="00FD516E">
        <w:rPr>
          <w:rFonts w:cs="Arial"/>
          <w:i/>
          <w:szCs w:val="22"/>
        </w:rPr>
        <w:t>Air Dispersion Modeling Report, New England Waste Services of Vermont, Inc. Landfill, Coventry Vermont, prepared by Sanborn, Head, and Associates</w:t>
      </w:r>
      <w:r w:rsidR="00332F7D" w:rsidRPr="00FD516E">
        <w:rPr>
          <w:rFonts w:cs="Arial"/>
          <w:szCs w:val="22"/>
        </w:rPr>
        <w:t xml:space="preserve">) that was submitted to the Agency on October 1, 2014.   The AQIE evaluated emissions from two different operating scenarios for the Landfill.  Scenario A evaluated the impacts of air emissions from the combustion of 5,000 scfm of LFG containing 50 percent methane, with the gas flow divided equally between two landfill utility flares.  Scenario B evaluated the emissions from the combustion of approximately 5,000 scfm of LFG at 50 percent methane, with of approximately 2,537 scfm of LFG being combusted in five </w:t>
      </w:r>
      <w:r w:rsidR="002D0237" w:rsidRPr="00FD516E">
        <w:rPr>
          <w:rFonts w:cs="Arial"/>
          <w:szCs w:val="22"/>
        </w:rPr>
        <w:t xml:space="preserve">CAT </w:t>
      </w:r>
      <w:r w:rsidR="00332F7D" w:rsidRPr="00FD516E">
        <w:rPr>
          <w:rFonts w:cs="Arial"/>
          <w:szCs w:val="22"/>
        </w:rPr>
        <w:t xml:space="preserve">3520C LE engines at the </w:t>
      </w:r>
      <w:r w:rsidR="007B671A" w:rsidRPr="00FD516E">
        <w:rPr>
          <w:rFonts w:cs="Arial"/>
          <w:szCs w:val="22"/>
        </w:rPr>
        <w:t xml:space="preserve">LFGTE Operation </w:t>
      </w:r>
      <w:r w:rsidR="00332F7D" w:rsidRPr="00FD516E">
        <w:rPr>
          <w:rFonts w:cs="Arial"/>
          <w:szCs w:val="22"/>
        </w:rPr>
        <w:t xml:space="preserve">with the balance of the LFG being combusted in a single flare.  The emissions from Scenario B were greater than for Scenario A, and accordingly, Scenario B was used for evaluating Facility emissions.  </w:t>
      </w:r>
    </w:p>
    <w:p w14:paraId="191378CB" w14:textId="77777777" w:rsidR="00332F7D" w:rsidRPr="00FD516E" w:rsidRDefault="00332F7D" w:rsidP="003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0230FE8A" w14:textId="12F1E15C" w:rsidR="00332F7D" w:rsidRPr="00FD516E" w:rsidRDefault="00D110E5" w:rsidP="003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firstLine="0"/>
        <w:rPr>
          <w:rFonts w:cs="Arial"/>
          <w:szCs w:val="22"/>
        </w:rPr>
      </w:pPr>
      <w:r w:rsidRPr="00FD516E">
        <w:rPr>
          <w:rFonts w:cs="Arial"/>
          <w:szCs w:val="22"/>
        </w:rPr>
        <w:t>Since CO emission increases also exceed the significance threshold of fifty (50) tons per year, the Agency’s implementation procedures require</w:t>
      </w:r>
      <w:r w:rsidR="00572759" w:rsidRPr="00FD516E">
        <w:rPr>
          <w:rFonts w:cs="Arial"/>
          <w:szCs w:val="22"/>
        </w:rPr>
        <w:t>d</w:t>
      </w:r>
      <w:r w:rsidRPr="00FD516E">
        <w:rPr>
          <w:rFonts w:cs="Arial"/>
          <w:szCs w:val="22"/>
        </w:rPr>
        <w:t xml:space="preserve"> the AQIE to determine which other nearby sources, if any, must be included in the analysis.  Any other nearby source that has a significant impact area for a respective pollutant that overlaps with the proposed Facility’s significant impact area for that same pollutant must be included in the AQIE.  All other nearby sources are assumed to be included in the ambient background value for the pollutant.  The ambient background value is determined from the Agency’s ambient monitoring network throughout the State</w:t>
      </w:r>
      <w:r w:rsidR="00FB18CA" w:rsidRPr="00FD516E">
        <w:rPr>
          <w:rFonts w:cs="Arial"/>
          <w:szCs w:val="22"/>
        </w:rPr>
        <w:t xml:space="preserve">.  </w:t>
      </w:r>
      <w:r w:rsidR="00332F7D" w:rsidRPr="00FD516E">
        <w:rPr>
          <w:rFonts w:cs="Arial"/>
          <w:szCs w:val="22"/>
        </w:rPr>
        <w:t>For PM, the nearby sources potentially required to be included in the AQIE were the Columbia Forest Products facility (CFP) in Newport, Vermont and the Ethen Allen, Inc. facility (EAO) in Orleans, Vermont.  However, since the significant impact areas for CFP or EAO did not overlap with the Facility’s significant impact area for PM</w:t>
      </w:r>
      <w:r w:rsidR="00332F7D" w:rsidRPr="00FD516E">
        <w:rPr>
          <w:rFonts w:cs="Arial"/>
          <w:szCs w:val="22"/>
          <w:vertAlign w:val="subscript"/>
        </w:rPr>
        <w:t>2.5</w:t>
      </w:r>
      <w:r w:rsidR="00332F7D" w:rsidRPr="00FD516E">
        <w:rPr>
          <w:rFonts w:cs="Arial"/>
          <w:szCs w:val="22"/>
        </w:rPr>
        <w:t xml:space="preserve">, these facilities were not included in the AQIE. </w:t>
      </w:r>
    </w:p>
    <w:p w14:paraId="07D92D05" w14:textId="77777777" w:rsidR="00D110E5" w:rsidRPr="00FD516E" w:rsidRDefault="00D110E5" w:rsidP="00D11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0" w:firstLine="0"/>
        <w:rPr>
          <w:rFonts w:cs="Arial"/>
          <w:szCs w:val="22"/>
        </w:rPr>
      </w:pPr>
    </w:p>
    <w:p w14:paraId="151D12BE" w14:textId="7EAE241C" w:rsidR="00D110E5" w:rsidRPr="00FD516E" w:rsidRDefault="00572759" w:rsidP="00D110E5">
      <w:pPr>
        <w:autoSpaceDE/>
        <w:autoSpaceDN/>
        <w:adjustRightInd/>
        <w:ind w:left="720" w:firstLine="0"/>
        <w:rPr>
          <w:snapToGrid w:val="0"/>
        </w:rPr>
      </w:pPr>
      <w:r w:rsidRPr="00FD516E">
        <w:rPr>
          <w:snapToGrid w:val="0"/>
        </w:rPr>
        <w:t xml:space="preserve">Based on the results of the AQIE, modifications to the Facility required as part of </w:t>
      </w:r>
      <w:r w:rsidRPr="00FD516E">
        <w:rPr>
          <w:snapToGrid w:val="0"/>
          <w:vertAlign w:val="superscript"/>
        </w:rPr>
        <w:t>#</w:t>
      </w:r>
      <w:r w:rsidRPr="00FD516E">
        <w:rPr>
          <w:snapToGrid w:val="0"/>
        </w:rPr>
        <w:t xml:space="preserve">AOP-14-034 and </w:t>
      </w:r>
      <w:r w:rsidRPr="00FD516E">
        <w:rPr>
          <w:snapToGrid w:val="0"/>
          <w:vertAlign w:val="superscript"/>
        </w:rPr>
        <w:t>#</w:t>
      </w:r>
      <w:r w:rsidRPr="00FD516E">
        <w:rPr>
          <w:snapToGrid w:val="0"/>
        </w:rPr>
        <w:t>AOP-15-</w:t>
      </w:r>
      <w:r w:rsidR="00BF3350" w:rsidRPr="00FD516E">
        <w:rPr>
          <w:snapToGrid w:val="0"/>
        </w:rPr>
        <w:t xml:space="preserve">032.  This modification </w:t>
      </w:r>
      <w:r w:rsidRPr="00FD516E">
        <w:rPr>
          <w:snapToGrid w:val="0"/>
        </w:rPr>
        <w:t>consisted of increasing the</w:t>
      </w:r>
      <w:r w:rsidR="007E0371" w:rsidRPr="00FD516E">
        <w:rPr>
          <w:snapToGrid w:val="0"/>
        </w:rPr>
        <w:t xml:space="preserve"> stack height for the CAT 3520C engines at the </w:t>
      </w:r>
      <w:r w:rsidR="00EA1CCD" w:rsidRPr="00FD516E">
        <w:rPr>
          <w:snapToGrid w:val="0"/>
        </w:rPr>
        <w:t xml:space="preserve">LFGTE Operation </w:t>
      </w:r>
      <w:r w:rsidR="00B5180A" w:rsidRPr="00FD516E">
        <w:rPr>
          <w:snapToGrid w:val="0"/>
        </w:rPr>
        <w:t xml:space="preserve">from 28-feet to 34-feet. </w:t>
      </w:r>
      <w:r w:rsidR="007E0371" w:rsidRPr="00FD516E">
        <w:rPr>
          <w:snapToGrid w:val="0"/>
        </w:rPr>
        <w:t xml:space="preserve"> </w:t>
      </w:r>
      <w:r w:rsidR="00B5180A" w:rsidRPr="00FD516E">
        <w:rPr>
          <w:snapToGrid w:val="0"/>
        </w:rPr>
        <w:t>With this change, t</w:t>
      </w:r>
      <w:r w:rsidR="00D110E5" w:rsidRPr="00FD516E">
        <w:rPr>
          <w:snapToGrid w:val="0"/>
        </w:rPr>
        <w:t xml:space="preserve">he Facility was found to comply with all applicable ambient air quality standards and prevention of significant deterioration increments.  </w:t>
      </w:r>
      <w:r w:rsidR="004F6702" w:rsidRPr="00FD516E">
        <w:rPr>
          <w:snapToGrid w:val="0"/>
        </w:rPr>
        <w:t xml:space="preserve">The actual installed stack height for the CAT 3520C engines was 39-feet above ground level, which is five (5) feet greater than the 34-foot stack height that was modeled.  </w:t>
      </w:r>
    </w:p>
    <w:p w14:paraId="1764C8A2" w14:textId="77777777" w:rsidR="00D110E5" w:rsidRPr="00FD516E" w:rsidRDefault="00D110E5" w:rsidP="00D110E5">
      <w:pPr>
        <w:autoSpaceDE/>
        <w:autoSpaceDN/>
        <w:adjustRightInd/>
        <w:ind w:left="0" w:firstLine="0"/>
        <w:rPr>
          <w:snapToGrid w:val="0"/>
        </w:rPr>
      </w:pPr>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31"/>
        <w:gridCol w:w="1189"/>
        <w:gridCol w:w="1500"/>
        <w:gridCol w:w="1322"/>
        <w:gridCol w:w="1174"/>
        <w:gridCol w:w="1174"/>
        <w:gridCol w:w="1150"/>
      </w:tblGrid>
      <w:tr w:rsidR="00D110E5" w:rsidRPr="009F5E32" w14:paraId="76B470E9" w14:textId="77777777" w:rsidTr="003529CF">
        <w:trPr>
          <w:cantSplit/>
          <w:tblHeader/>
        </w:trPr>
        <w:tc>
          <w:tcPr>
            <w:tcW w:w="7782" w:type="dxa"/>
            <w:gridSpan w:val="7"/>
            <w:tcBorders>
              <w:top w:val="double" w:sz="4" w:space="0" w:color="auto"/>
              <w:bottom w:val="single" w:sz="4" w:space="0" w:color="auto"/>
            </w:tcBorders>
            <w:shd w:val="clear" w:color="auto" w:fill="F2F2F2" w:themeFill="background1" w:themeFillShade="F2"/>
          </w:tcPr>
          <w:p w14:paraId="1071BEE1" w14:textId="2134757F" w:rsidR="00D110E5" w:rsidRPr="00FD516E" w:rsidRDefault="00BD6F6B" w:rsidP="00322F07">
            <w:pPr>
              <w:autoSpaceDE/>
              <w:autoSpaceDN/>
              <w:adjustRightInd/>
              <w:ind w:left="0" w:firstLine="0"/>
              <w:jc w:val="center"/>
              <w:rPr>
                <w:b/>
                <w:bCs/>
                <w:snapToGrid w:val="0"/>
              </w:rPr>
            </w:pPr>
            <w:r w:rsidRPr="00FD516E">
              <w:rPr>
                <w:b/>
                <w:bCs/>
                <w:snapToGrid w:val="0"/>
              </w:rPr>
              <w:lastRenderedPageBreak/>
              <w:t xml:space="preserve">Table 6-1 </w:t>
            </w:r>
            <w:r w:rsidR="00D110E5" w:rsidRPr="00FD516E">
              <w:rPr>
                <w:b/>
                <w:bCs/>
                <w:snapToGrid w:val="0"/>
              </w:rPr>
              <w:t xml:space="preserve">NAAQS Review – AOP-14-034 </w:t>
            </w:r>
            <w:r w:rsidR="004A7C06" w:rsidRPr="00FD516E">
              <w:rPr>
                <w:b/>
                <w:bCs/>
                <w:snapToGrid w:val="0"/>
              </w:rPr>
              <w:t>/ AOP-15-032</w:t>
            </w:r>
          </w:p>
        </w:tc>
      </w:tr>
      <w:tr w:rsidR="00D110E5" w:rsidRPr="00FD516E" w14:paraId="494BB3EB" w14:textId="77777777" w:rsidTr="003529CF">
        <w:trPr>
          <w:cantSplit/>
          <w:tblHeader/>
        </w:trPr>
        <w:tc>
          <w:tcPr>
            <w:tcW w:w="1019" w:type="dxa"/>
            <w:tcBorders>
              <w:top w:val="single" w:sz="4" w:space="0" w:color="auto"/>
              <w:bottom w:val="double" w:sz="4" w:space="0" w:color="auto"/>
            </w:tcBorders>
            <w:shd w:val="clear" w:color="auto" w:fill="F2F2F2" w:themeFill="background1" w:themeFillShade="F2"/>
            <w:vAlign w:val="center"/>
          </w:tcPr>
          <w:p w14:paraId="035C9D2C" w14:textId="77777777" w:rsidR="00D110E5" w:rsidRPr="00FD516E" w:rsidRDefault="00D110E5" w:rsidP="00D110E5">
            <w:pPr>
              <w:autoSpaceDE/>
              <w:autoSpaceDN/>
              <w:adjustRightInd/>
              <w:ind w:left="0" w:firstLine="0"/>
              <w:jc w:val="left"/>
              <w:rPr>
                <w:snapToGrid w:val="0"/>
                <w:sz w:val="18"/>
              </w:rPr>
            </w:pPr>
            <w:r w:rsidRPr="00FD516E">
              <w:rPr>
                <w:snapToGrid w:val="0"/>
                <w:sz w:val="18"/>
              </w:rPr>
              <w:t>Pollutant</w:t>
            </w:r>
          </w:p>
        </w:tc>
        <w:tc>
          <w:tcPr>
            <w:tcW w:w="1071" w:type="dxa"/>
            <w:tcBorders>
              <w:top w:val="single" w:sz="4" w:space="0" w:color="auto"/>
              <w:bottom w:val="double" w:sz="4" w:space="0" w:color="auto"/>
            </w:tcBorders>
            <w:shd w:val="clear" w:color="auto" w:fill="F2F2F2" w:themeFill="background1" w:themeFillShade="F2"/>
            <w:vAlign w:val="center"/>
          </w:tcPr>
          <w:p w14:paraId="130664A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Averaging Period</w:t>
            </w:r>
          </w:p>
        </w:tc>
        <w:tc>
          <w:tcPr>
            <w:tcW w:w="1351" w:type="dxa"/>
            <w:tcBorders>
              <w:top w:val="single" w:sz="4" w:space="0" w:color="auto"/>
              <w:bottom w:val="double" w:sz="4" w:space="0" w:color="auto"/>
            </w:tcBorders>
            <w:shd w:val="clear" w:color="auto" w:fill="F2F2F2" w:themeFill="background1" w:themeFillShade="F2"/>
            <w:vAlign w:val="center"/>
          </w:tcPr>
          <w:p w14:paraId="774FE89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Modeled Concentration</w:t>
            </w:r>
          </w:p>
          <w:p w14:paraId="4F9B53E8" w14:textId="77777777" w:rsidR="00D110E5" w:rsidRPr="00FD516E" w:rsidRDefault="00D110E5" w:rsidP="00D110E5">
            <w:pPr>
              <w:autoSpaceDE/>
              <w:autoSpaceDN/>
              <w:adjustRightInd/>
              <w:ind w:left="0" w:firstLine="0"/>
              <w:jc w:val="center"/>
              <w:rPr>
                <w:snapToGrid w:val="0"/>
                <w:sz w:val="18"/>
              </w:rPr>
            </w:pPr>
            <w:r w:rsidRPr="00FD516E">
              <w:rPr>
                <w:rFonts w:cs="Arial"/>
                <w:snapToGrid w:val="0"/>
                <w:sz w:val="18"/>
              </w:rPr>
              <w:t>(µ</w:t>
            </w:r>
            <w:r w:rsidRPr="00FD516E">
              <w:rPr>
                <w:snapToGrid w:val="0"/>
                <w:sz w:val="18"/>
              </w:rPr>
              <w:t>g/m</w:t>
            </w:r>
            <w:r w:rsidRPr="00FD516E">
              <w:rPr>
                <w:snapToGrid w:val="0"/>
                <w:sz w:val="18"/>
                <w:vertAlign w:val="superscript"/>
              </w:rPr>
              <w:t>3</w:t>
            </w:r>
            <w:r w:rsidRPr="00FD516E">
              <w:rPr>
                <w:snapToGrid w:val="0"/>
                <w:sz w:val="18"/>
              </w:rPr>
              <w:t>)</w:t>
            </w:r>
          </w:p>
        </w:tc>
        <w:tc>
          <w:tcPr>
            <w:tcW w:w="1191" w:type="dxa"/>
            <w:tcBorders>
              <w:top w:val="single" w:sz="4" w:space="0" w:color="auto"/>
              <w:bottom w:val="double" w:sz="4" w:space="0" w:color="auto"/>
            </w:tcBorders>
            <w:shd w:val="clear" w:color="auto" w:fill="F2F2F2" w:themeFill="background1" w:themeFillShade="F2"/>
            <w:vAlign w:val="center"/>
          </w:tcPr>
          <w:p w14:paraId="14EEBDC8" w14:textId="77777777" w:rsidR="00D110E5" w:rsidRPr="00FD516E" w:rsidRDefault="00D110E5" w:rsidP="00D110E5">
            <w:pPr>
              <w:autoSpaceDE/>
              <w:autoSpaceDN/>
              <w:adjustRightInd/>
              <w:ind w:left="0" w:firstLine="0"/>
              <w:jc w:val="center"/>
              <w:rPr>
                <w:snapToGrid w:val="0"/>
                <w:sz w:val="18"/>
              </w:rPr>
            </w:pPr>
            <w:r w:rsidRPr="00FD516E">
              <w:rPr>
                <w:snapToGrid w:val="0"/>
                <w:sz w:val="18"/>
              </w:rPr>
              <w:t>Background</w:t>
            </w:r>
          </w:p>
          <w:p w14:paraId="25F3549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57" w:type="dxa"/>
            <w:tcBorders>
              <w:top w:val="single" w:sz="4" w:space="0" w:color="auto"/>
              <w:bottom w:val="double" w:sz="4" w:space="0" w:color="auto"/>
            </w:tcBorders>
            <w:shd w:val="clear" w:color="auto" w:fill="F2F2F2" w:themeFill="background1" w:themeFillShade="F2"/>
            <w:vAlign w:val="center"/>
          </w:tcPr>
          <w:p w14:paraId="0301ABE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Sum</w:t>
            </w:r>
          </w:p>
          <w:p w14:paraId="722D9955"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57" w:type="dxa"/>
            <w:tcBorders>
              <w:top w:val="single" w:sz="4" w:space="0" w:color="auto"/>
              <w:bottom w:val="double" w:sz="4" w:space="0" w:color="auto"/>
            </w:tcBorders>
            <w:shd w:val="clear" w:color="auto" w:fill="F2F2F2" w:themeFill="background1" w:themeFillShade="F2"/>
            <w:vAlign w:val="center"/>
          </w:tcPr>
          <w:p w14:paraId="5A6043D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AAQS</w:t>
            </w:r>
          </w:p>
          <w:p w14:paraId="3A17B0E0"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36" w:type="dxa"/>
            <w:tcBorders>
              <w:top w:val="single" w:sz="4" w:space="0" w:color="auto"/>
              <w:bottom w:val="double" w:sz="4" w:space="0" w:color="auto"/>
            </w:tcBorders>
            <w:shd w:val="clear" w:color="auto" w:fill="F2F2F2" w:themeFill="background1" w:themeFillShade="F2"/>
            <w:vAlign w:val="center"/>
          </w:tcPr>
          <w:p w14:paraId="39E9616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Pass?</w:t>
            </w:r>
          </w:p>
        </w:tc>
      </w:tr>
      <w:tr w:rsidR="00D110E5" w:rsidRPr="00FD516E" w14:paraId="7F7F14E5" w14:textId="77777777" w:rsidTr="00B5180A">
        <w:trPr>
          <w:cantSplit/>
        </w:trPr>
        <w:tc>
          <w:tcPr>
            <w:tcW w:w="1019" w:type="dxa"/>
            <w:tcBorders>
              <w:top w:val="double" w:sz="4" w:space="0" w:color="auto"/>
              <w:bottom w:val="single" w:sz="4" w:space="0" w:color="auto"/>
            </w:tcBorders>
          </w:tcPr>
          <w:p w14:paraId="78421AFB" w14:textId="77777777" w:rsidR="00D110E5" w:rsidRPr="00FD516E" w:rsidRDefault="00D110E5" w:rsidP="00D110E5">
            <w:pPr>
              <w:autoSpaceDE/>
              <w:autoSpaceDN/>
              <w:adjustRightInd/>
              <w:ind w:left="0" w:firstLine="0"/>
              <w:rPr>
                <w:snapToGrid w:val="0"/>
                <w:sz w:val="18"/>
              </w:rPr>
            </w:pPr>
            <w:r w:rsidRPr="00FD516E">
              <w:rPr>
                <w:snapToGrid w:val="0"/>
                <w:sz w:val="18"/>
              </w:rPr>
              <w:t>CO</w:t>
            </w:r>
          </w:p>
        </w:tc>
        <w:tc>
          <w:tcPr>
            <w:tcW w:w="1071" w:type="dxa"/>
            <w:tcBorders>
              <w:top w:val="double" w:sz="4" w:space="0" w:color="auto"/>
              <w:bottom w:val="single" w:sz="4" w:space="0" w:color="auto"/>
            </w:tcBorders>
            <w:shd w:val="clear" w:color="auto" w:fill="auto"/>
          </w:tcPr>
          <w:p w14:paraId="1B11FC8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8-hr</w:t>
            </w:r>
          </w:p>
        </w:tc>
        <w:tc>
          <w:tcPr>
            <w:tcW w:w="1351" w:type="dxa"/>
            <w:shd w:val="clear" w:color="auto" w:fill="auto"/>
            <w:vAlign w:val="center"/>
          </w:tcPr>
          <w:p w14:paraId="1C10BB4E" w14:textId="77777777" w:rsidR="00D110E5" w:rsidRPr="00FD516E" w:rsidRDefault="00D110E5" w:rsidP="00D110E5">
            <w:pPr>
              <w:autoSpaceDE/>
              <w:autoSpaceDN/>
              <w:adjustRightInd/>
              <w:ind w:left="0" w:firstLine="0"/>
              <w:jc w:val="center"/>
              <w:rPr>
                <w:snapToGrid w:val="0"/>
                <w:sz w:val="18"/>
              </w:rPr>
            </w:pPr>
            <w:r w:rsidRPr="00FD516E">
              <w:rPr>
                <w:snapToGrid w:val="0"/>
                <w:sz w:val="18"/>
              </w:rPr>
              <w:t>480.5</w:t>
            </w:r>
          </w:p>
        </w:tc>
        <w:tc>
          <w:tcPr>
            <w:tcW w:w="1191" w:type="dxa"/>
            <w:shd w:val="clear" w:color="auto" w:fill="auto"/>
            <w:vAlign w:val="center"/>
          </w:tcPr>
          <w:p w14:paraId="48EE5C07"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1,260</w:t>
            </w:r>
          </w:p>
        </w:tc>
        <w:tc>
          <w:tcPr>
            <w:tcW w:w="1057" w:type="dxa"/>
            <w:shd w:val="clear" w:color="auto" w:fill="auto"/>
            <w:vAlign w:val="center"/>
          </w:tcPr>
          <w:p w14:paraId="7B4D5753"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1,740.5</w:t>
            </w:r>
          </w:p>
        </w:tc>
        <w:tc>
          <w:tcPr>
            <w:tcW w:w="1057" w:type="dxa"/>
            <w:shd w:val="clear" w:color="auto" w:fill="auto"/>
            <w:vAlign w:val="center"/>
          </w:tcPr>
          <w:p w14:paraId="611C02B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10,305</w:t>
            </w:r>
          </w:p>
        </w:tc>
        <w:tc>
          <w:tcPr>
            <w:tcW w:w="1036" w:type="dxa"/>
            <w:shd w:val="clear" w:color="auto" w:fill="auto"/>
            <w:vAlign w:val="center"/>
          </w:tcPr>
          <w:p w14:paraId="0AA1E29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FD516E" w14:paraId="5683EC64" w14:textId="77777777" w:rsidTr="00B5180A">
        <w:trPr>
          <w:cantSplit/>
          <w:trHeight w:val="105"/>
        </w:trPr>
        <w:tc>
          <w:tcPr>
            <w:tcW w:w="1019" w:type="dxa"/>
            <w:vMerge w:val="restart"/>
            <w:tcBorders>
              <w:top w:val="single" w:sz="4" w:space="0" w:color="auto"/>
            </w:tcBorders>
          </w:tcPr>
          <w:p w14:paraId="4951850F" w14:textId="77777777" w:rsidR="00D110E5" w:rsidRPr="00FD516E" w:rsidRDefault="00D110E5" w:rsidP="00D110E5">
            <w:pPr>
              <w:autoSpaceDE/>
              <w:autoSpaceDN/>
              <w:adjustRightInd/>
              <w:ind w:left="0" w:firstLine="0"/>
              <w:rPr>
                <w:snapToGrid w:val="0"/>
                <w:sz w:val="18"/>
              </w:rPr>
            </w:pPr>
            <w:r w:rsidRPr="00FD516E">
              <w:rPr>
                <w:snapToGrid w:val="0"/>
                <w:sz w:val="18"/>
              </w:rPr>
              <w:t>NOx</w:t>
            </w:r>
          </w:p>
        </w:tc>
        <w:tc>
          <w:tcPr>
            <w:tcW w:w="1071" w:type="dxa"/>
            <w:tcBorders>
              <w:top w:val="single" w:sz="4" w:space="0" w:color="auto"/>
            </w:tcBorders>
            <w:shd w:val="clear" w:color="auto" w:fill="auto"/>
            <w:vAlign w:val="center"/>
          </w:tcPr>
          <w:p w14:paraId="576A71A1"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1-hr</w:t>
            </w:r>
          </w:p>
        </w:tc>
        <w:tc>
          <w:tcPr>
            <w:tcW w:w="1351" w:type="dxa"/>
            <w:tcBorders>
              <w:top w:val="single" w:sz="4" w:space="0" w:color="auto"/>
            </w:tcBorders>
            <w:shd w:val="clear" w:color="auto" w:fill="auto"/>
            <w:vAlign w:val="center"/>
          </w:tcPr>
          <w:p w14:paraId="29961DE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104.1</w:t>
            </w:r>
          </w:p>
        </w:tc>
        <w:tc>
          <w:tcPr>
            <w:tcW w:w="1191" w:type="dxa"/>
            <w:tcBorders>
              <w:top w:val="single" w:sz="4" w:space="0" w:color="auto"/>
            </w:tcBorders>
            <w:shd w:val="clear" w:color="auto" w:fill="auto"/>
            <w:vAlign w:val="center"/>
          </w:tcPr>
          <w:p w14:paraId="7F052C4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65.8</w:t>
            </w:r>
          </w:p>
        </w:tc>
        <w:tc>
          <w:tcPr>
            <w:tcW w:w="1057" w:type="dxa"/>
            <w:tcBorders>
              <w:top w:val="single" w:sz="4" w:space="0" w:color="auto"/>
            </w:tcBorders>
            <w:shd w:val="clear" w:color="auto" w:fill="auto"/>
            <w:vAlign w:val="center"/>
          </w:tcPr>
          <w:p w14:paraId="047FD2E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169.9</w:t>
            </w:r>
          </w:p>
        </w:tc>
        <w:tc>
          <w:tcPr>
            <w:tcW w:w="1057" w:type="dxa"/>
            <w:tcBorders>
              <w:top w:val="single" w:sz="4" w:space="0" w:color="auto"/>
            </w:tcBorders>
            <w:shd w:val="clear" w:color="auto" w:fill="auto"/>
            <w:vAlign w:val="center"/>
          </w:tcPr>
          <w:p w14:paraId="36CB4D6D"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188</w:t>
            </w:r>
          </w:p>
        </w:tc>
        <w:tc>
          <w:tcPr>
            <w:tcW w:w="1036" w:type="dxa"/>
            <w:tcBorders>
              <w:top w:val="single" w:sz="4" w:space="0" w:color="auto"/>
            </w:tcBorders>
            <w:shd w:val="clear" w:color="auto" w:fill="auto"/>
            <w:vAlign w:val="center"/>
          </w:tcPr>
          <w:p w14:paraId="3066101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9F5E32" w14:paraId="0009AB99" w14:textId="77777777" w:rsidTr="00B5180A">
        <w:trPr>
          <w:cantSplit/>
          <w:trHeight w:val="105"/>
        </w:trPr>
        <w:tc>
          <w:tcPr>
            <w:tcW w:w="1019" w:type="dxa"/>
            <w:vMerge/>
          </w:tcPr>
          <w:p w14:paraId="1E108E59" w14:textId="77777777" w:rsidR="00D110E5" w:rsidRPr="00133B3D" w:rsidRDefault="00D110E5" w:rsidP="00D110E5">
            <w:pPr>
              <w:autoSpaceDE/>
              <w:autoSpaceDN/>
              <w:adjustRightInd/>
              <w:ind w:left="0" w:firstLine="0"/>
              <w:rPr>
                <w:snapToGrid w:val="0"/>
                <w:sz w:val="18"/>
              </w:rPr>
            </w:pPr>
          </w:p>
        </w:tc>
        <w:tc>
          <w:tcPr>
            <w:tcW w:w="1071" w:type="dxa"/>
            <w:tcBorders>
              <w:top w:val="single" w:sz="4" w:space="0" w:color="auto"/>
            </w:tcBorders>
            <w:shd w:val="clear" w:color="auto" w:fill="auto"/>
            <w:vAlign w:val="center"/>
          </w:tcPr>
          <w:p w14:paraId="7C31B3E3" w14:textId="77777777" w:rsidR="00D110E5" w:rsidRPr="00133B3D" w:rsidRDefault="00D110E5" w:rsidP="00D110E5">
            <w:pPr>
              <w:autoSpaceDE/>
              <w:autoSpaceDN/>
              <w:adjustRightInd/>
              <w:ind w:left="0" w:firstLine="0"/>
              <w:jc w:val="center"/>
              <w:rPr>
                <w:snapToGrid w:val="0"/>
                <w:sz w:val="18"/>
              </w:rPr>
            </w:pPr>
            <w:r w:rsidRPr="00133B3D">
              <w:rPr>
                <w:snapToGrid w:val="0"/>
                <w:sz w:val="18"/>
              </w:rPr>
              <w:t>Annual</w:t>
            </w:r>
          </w:p>
        </w:tc>
        <w:tc>
          <w:tcPr>
            <w:tcW w:w="1351" w:type="dxa"/>
            <w:tcBorders>
              <w:top w:val="single" w:sz="4" w:space="0" w:color="auto"/>
            </w:tcBorders>
            <w:shd w:val="clear" w:color="auto" w:fill="auto"/>
            <w:vAlign w:val="center"/>
          </w:tcPr>
          <w:p w14:paraId="19CEF737" w14:textId="77777777" w:rsidR="00D110E5" w:rsidRPr="00133B3D" w:rsidRDefault="00D110E5" w:rsidP="00D110E5">
            <w:pPr>
              <w:autoSpaceDE/>
              <w:autoSpaceDN/>
              <w:adjustRightInd/>
              <w:ind w:left="0" w:firstLine="0"/>
              <w:jc w:val="center"/>
              <w:rPr>
                <w:snapToGrid w:val="0"/>
                <w:sz w:val="18"/>
              </w:rPr>
            </w:pPr>
            <w:r w:rsidRPr="00133B3D">
              <w:rPr>
                <w:snapToGrid w:val="0"/>
                <w:sz w:val="18"/>
              </w:rPr>
              <w:t>2.1</w:t>
            </w:r>
          </w:p>
        </w:tc>
        <w:tc>
          <w:tcPr>
            <w:tcW w:w="1191" w:type="dxa"/>
            <w:tcBorders>
              <w:top w:val="single" w:sz="4" w:space="0" w:color="auto"/>
            </w:tcBorders>
            <w:shd w:val="clear" w:color="auto" w:fill="auto"/>
            <w:vAlign w:val="center"/>
          </w:tcPr>
          <w:p w14:paraId="33EEB440"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13.4</w:t>
            </w:r>
          </w:p>
        </w:tc>
        <w:tc>
          <w:tcPr>
            <w:tcW w:w="1057" w:type="dxa"/>
            <w:tcBorders>
              <w:top w:val="single" w:sz="4" w:space="0" w:color="auto"/>
            </w:tcBorders>
            <w:shd w:val="clear" w:color="auto" w:fill="auto"/>
            <w:vAlign w:val="center"/>
          </w:tcPr>
          <w:p w14:paraId="6785C8B9"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15.5</w:t>
            </w:r>
          </w:p>
        </w:tc>
        <w:tc>
          <w:tcPr>
            <w:tcW w:w="1057" w:type="dxa"/>
            <w:tcBorders>
              <w:top w:val="single" w:sz="4" w:space="0" w:color="auto"/>
            </w:tcBorders>
            <w:shd w:val="clear" w:color="auto" w:fill="auto"/>
            <w:vAlign w:val="center"/>
          </w:tcPr>
          <w:p w14:paraId="12725A5F"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100</w:t>
            </w:r>
          </w:p>
        </w:tc>
        <w:tc>
          <w:tcPr>
            <w:tcW w:w="1036" w:type="dxa"/>
            <w:tcBorders>
              <w:top w:val="single" w:sz="4" w:space="0" w:color="auto"/>
            </w:tcBorders>
            <w:shd w:val="clear" w:color="auto" w:fill="auto"/>
          </w:tcPr>
          <w:p w14:paraId="480196F9" w14:textId="77777777" w:rsidR="00D110E5" w:rsidRPr="00133B3D" w:rsidRDefault="00D110E5" w:rsidP="00D110E5">
            <w:pPr>
              <w:autoSpaceDE/>
              <w:autoSpaceDN/>
              <w:adjustRightInd/>
              <w:ind w:left="0" w:firstLine="0"/>
              <w:jc w:val="center"/>
              <w:rPr>
                <w:snapToGrid w:val="0"/>
                <w:sz w:val="18"/>
              </w:rPr>
            </w:pPr>
            <w:r w:rsidRPr="00133B3D">
              <w:rPr>
                <w:snapToGrid w:val="0"/>
                <w:sz w:val="18"/>
              </w:rPr>
              <w:t>Yes</w:t>
            </w:r>
          </w:p>
        </w:tc>
      </w:tr>
      <w:tr w:rsidR="00D110E5" w:rsidRPr="00FD516E" w14:paraId="126EE5E0" w14:textId="77777777" w:rsidTr="00B5180A">
        <w:trPr>
          <w:cantSplit/>
          <w:trHeight w:val="105"/>
        </w:trPr>
        <w:tc>
          <w:tcPr>
            <w:tcW w:w="1019" w:type="dxa"/>
            <w:vMerge w:val="restart"/>
          </w:tcPr>
          <w:p w14:paraId="0E08B798" w14:textId="77777777" w:rsidR="00D110E5" w:rsidRPr="00FD516E" w:rsidRDefault="00D110E5" w:rsidP="00D110E5">
            <w:pPr>
              <w:autoSpaceDE/>
              <w:autoSpaceDN/>
              <w:adjustRightInd/>
              <w:ind w:left="0" w:firstLine="0"/>
              <w:rPr>
                <w:snapToGrid w:val="0"/>
                <w:sz w:val="18"/>
              </w:rPr>
            </w:pPr>
            <w:r w:rsidRPr="00FD516E">
              <w:rPr>
                <w:snapToGrid w:val="0"/>
                <w:sz w:val="18"/>
              </w:rPr>
              <w:t>PM</w:t>
            </w:r>
            <w:r w:rsidRPr="00FD516E">
              <w:rPr>
                <w:snapToGrid w:val="0"/>
                <w:sz w:val="18"/>
                <w:vertAlign w:val="subscript"/>
              </w:rPr>
              <w:t>2.5</w:t>
            </w:r>
          </w:p>
        </w:tc>
        <w:tc>
          <w:tcPr>
            <w:tcW w:w="1071" w:type="dxa"/>
            <w:shd w:val="clear" w:color="auto" w:fill="auto"/>
            <w:vAlign w:val="center"/>
          </w:tcPr>
          <w:p w14:paraId="7F77FFB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24-hr</w:t>
            </w:r>
          </w:p>
        </w:tc>
        <w:tc>
          <w:tcPr>
            <w:tcW w:w="1351" w:type="dxa"/>
            <w:shd w:val="clear" w:color="auto" w:fill="auto"/>
            <w:vAlign w:val="center"/>
          </w:tcPr>
          <w:p w14:paraId="399ABBA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7.5</w:t>
            </w:r>
          </w:p>
        </w:tc>
        <w:tc>
          <w:tcPr>
            <w:tcW w:w="1191" w:type="dxa"/>
            <w:shd w:val="clear" w:color="auto" w:fill="auto"/>
            <w:vAlign w:val="center"/>
          </w:tcPr>
          <w:p w14:paraId="001E2D7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18.0</w:t>
            </w:r>
          </w:p>
        </w:tc>
        <w:tc>
          <w:tcPr>
            <w:tcW w:w="1057" w:type="dxa"/>
            <w:shd w:val="clear" w:color="auto" w:fill="auto"/>
            <w:vAlign w:val="center"/>
          </w:tcPr>
          <w:p w14:paraId="20C31DB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25.5</w:t>
            </w:r>
          </w:p>
        </w:tc>
        <w:tc>
          <w:tcPr>
            <w:tcW w:w="1057" w:type="dxa"/>
            <w:shd w:val="clear" w:color="auto" w:fill="auto"/>
            <w:vAlign w:val="center"/>
          </w:tcPr>
          <w:p w14:paraId="785826D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35</w:t>
            </w:r>
          </w:p>
        </w:tc>
        <w:tc>
          <w:tcPr>
            <w:tcW w:w="1036" w:type="dxa"/>
            <w:shd w:val="clear" w:color="auto" w:fill="auto"/>
          </w:tcPr>
          <w:p w14:paraId="68D6C5C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9F5E32" w14:paraId="38FE4764" w14:textId="77777777" w:rsidTr="00B5180A">
        <w:trPr>
          <w:cantSplit/>
          <w:trHeight w:val="105"/>
        </w:trPr>
        <w:tc>
          <w:tcPr>
            <w:tcW w:w="1019" w:type="dxa"/>
            <w:vMerge/>
          </w:tcPr>
          <w:p w14:paraId="43756FC8" w14:textId="77777777" w:rsidR="00D110E5" w:rsidRPr="00133B3D" w:rsidRDefault="00D110E5" w:rsidP="00D110E5">
            <w:pPr>
              <w:autoSpaceDE/>
              <w:autoSpaceDN/>
              <w:adjustRightInd/>
              <w:ind w:left="0" w:firstLine="0"/>
              <w:rPr>
                <w:snapToGrid w:val="0"/>
                <w:sz w:val="18"/>
              </w:rPr>
            </w:pPr>
          </w:p>
        </w:tc>
        <w:tc>
          <w:tcPr>
            <w:tcW w:w="1071" w:type="dxa"/>
            <w:shd w:val="clear" w:color="auto" w:fill="auto"/>
            <w:vAlign w:val="center"/>
          </w:tcPr>
          <w:p w14:paraId="0B4E2859" w14:textId="77777777" w:rsidR="00D110E5" w:rsidRPr="00133B3D" w:rsidRDefault="00D110E5" w:rsidP="00D110E5">
            <w:pPr>
              <w:autoSpaceDE/>
              <w:autoSpaceDN/>
              <w:adjustRightInd/>
              <w:ind w:left="0" w:firstLine="0"/>
              <w:jc w:val="center"/>
              <w:rPr>
                <w:snapToGrid w:val="0"/>
                <w:sz w:val="18"/>
              </w:rPr>
            </w:pPr>
            <w:r w:rsidRPr="00133B3D">
              <w:rPr>
                <w:snapToGrid w:val="0"/>
                <w:sz w:val="18"/>
              </w:rPr>
              <w:t>Annual</w:t>
            </w:r>
          </w:p>
        </w:tc>
        <w:tc>
          <w:tcPr>
            <w:tcW w:w="1351" w:type="dxa"/>
            <w:shd w:val="clear" w:color="auto" w:fill="auto"/>
            <w:vAlign w:val="center"/>
          </w:tcPr>
          <w:p w14:paraId="506E85E5" w14:textId="77777777" w:rsidR="00D110E5" w:rsidRPr="00133B3D" w:rsidRDefault="00D110E5" w:rsidP="00D110E5">
            <w:pPr>
              <w:autoSpaceDE/>
              <w:autoSpaceDN/>
              <w:adjustRightInd/>
              <w:ind w:left="0" w:firstLine="0"/>
              <w:jc w:val="center"/>
              <w:rPr>
                <w:snapToGrid w:val="0"/>
                <w:sz w:val="18"/>
              </w:rPr>
            </w:pPr>
            <w:r w:rsidRPr="00133B3D">
              <w:rPr>
                <w:snapToGrid w:val="0"/>
                <w:sz w:val="18"/>
              </w:rPr>
              <w:t>0.86</w:t>
            </w:r>
          </w:p>
        </w:tc>
        <w:tc>
          <w:tcPr>
            <w:tcW w:w="1191" w:type="dxa"/>
            <w:shd w:val="clear" w:color="auto" w:fill="auto"/>
            <w:vAlign w:val="center"/>
          </w:tcPr>
          <w:p w14:paraId="3B13786F" w14:textId="77777777" w:rsidR="00D110E5" w:rsidRPr="00133B3D" w:rsidRDefault="00D110E5" w:rsidP="00D110E5">
            <w:pPr>
              <w:autoSpaceDE/>
              <w:autoSpaceDN/>
              <w:adjustRightInd/>
              <w:ind w:left="0" w:firstLine="0"/>
              <w:jc w:val="center"/>
              <w:rPr>
                <w:snapToGrid w:val="0"/>
                <w:sz w:val="18"/>
              </w:rPr>
            </w:pPr>
            <w:r w:rsidRPr="00133B3D">
              <w:rPr>
                <w:snapToGrid w:val="0"/>
                <w:sz w:val="18"/>
              </w:rPr>
              <w:t>6.8</w:t>
            </w:r>
          </w:p>
        </w:tc>
        <w:tc>
          <w:tcPr>
            <w:tcW w:w="1057" w:type="dxa"/>
            <w:shd w:val="clear" w:color="auto" w:fill="auto"/>
            <w:vAlign w:val="center"/>
          </w:tcPr>
          <w:p w14:paraId="750016C8" w14:textId="77777777" w:rsidR="00D110E5" w:rsidRPr="00133B3D" w:rsidRDefault="00D110E5" w:rsidP="00D110E5">
            <w:pPr>
              <w:autoSpaceDE/>
              <w:autoSpaceDN/>
              <w:adjustRightInd/>
              <w:ind w:left="0" w:firstLine="0"/>
              <w:jc w:val="center"/>
              <w:rPr>
                <w:snapToGrid w:val="0"/>
                <w:sz w:val="18"/>
              </w:rPr>
            </w:pPr>
            <w:r w:rsidRPr="00133B3D">
              <w:rPr>
                <w:snapToGrid w:val="0"/>
                <w:sz w:val="18"/>
              </w:rPr>
              <w:t>7.7</w:t>
            </w:r>
          </w:p>
        </w:tc>
        <w:tc>
          <w:tcPr>
            <w:tcW w:w="1057" w:type="dxa"/>
            <w:shd w:val="clear" w:color="auto" w:fill="auto"/>
            <w:vAlign w:val="center"/>
          </w:tcPr>
          <w:p w14:paraId="1F76FC68"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15</w:t>
            </w:r>
          </w:p>
        </w:tc>
        <w:tc>
          <w:tcPr>
            <w:tcW w:w="1036" w:type="dxa"/>
            <w:shd w:val="clear" w:color="auto" w:fill="auto"/>
          </w:tcPr>
          <w:p w14:paraId="32BDDE1A" w14:textId="77777777" w:rsidR="00D110E5" w:rsidRPr="00133B3D" w:rsidRDefault="00D110E5" w:rsidP="00D110E5">
            <w:pPr>
              <w:autoSpaceDE/>
              <w:autoSpaceDN/>
              <w:adjustRightInd/>
              <w:ind w:left="0" w:firstLine="0"/>
              <w:jc w:val="center"/>
              <w:rPr>
                <w:snapToGrid w:val="0"/>
                <w:sz w:val="18"/>
              </w:rPr>
            </w:pPr>
            <w:r w:rsidRPr="00133B3D">
              <w:rPr>
                <w:snapToGrid w:val="0"/>
                <w:sz w:val="18"/>
              </w:rPr>
              <w:t>Yes</w:t>
            </w:r>
          </w:p>
        </w:tc>
      </w:tr>
      <w:tr w:rsidR="00D110E5" w:rsidRPr="00FD516E" w14:paraId="001AA5BF" w14:textId="77777777" w:rsidTr="00B5180A">
        <w:trPr>
          <w:cantSplit/>
        </w:trPr>
        <w:tc>
          <w:tcPr>
            <w:tcW w:w="1019" w:type="dxa"/>
          </w:tcPr>
          <w:p w14:paraId="0E0586CC" w14:textId="77777777" w:rsidR="00D110E5" w:rsidRPr="00FD516E" w:rsidRDefault="00D110E5" w:rsidP="00D110E5">
            <w:pPr>
              <w:autoSpaceDE/>
              <w:autoSpaceDN/>
              <w:adjustRightInd/>
              <w:ind w:left="0" w:firstLine="0"/>
              <w:rPr>
                <w:snapToGrid w:val="0"/>
                <w:sz w:val="18"/>
              </w:rPr>
            </w:pPr>
            <w:r w:rsidRPr="00FD516E">
              <w:rPr>
                <w:snapToGrid w:val="0"/>
                <w:sz w:val="18"/>
              </w:rPr>
              <w:t>PM</w:t>
            </w:r>
            <w:r w:rsidRPr="00FD516E">
              <w:rPr>
                <w:snapToGrid w:val="0"/>
                <w:sz w:val="18"/>
                <w:vertAlign w:val="subscript"/>
              </w:rPr>
              <w:t>10</w:t>
            </w:r>
          </w:p>
        </w:tc>
        <w:tc>
          <w:tcPr>
            <w:tcW w:w="1071" w:type="dxa"/>
            <w:shd w:val="clear" w:color="auto" w:fill="auto"/>
            <w:vAlign w:val="center"/>
          </w:tcPr>
          <w:p w14:paraId="0510EDD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24-hr</w:t>
            </w:r>
          </w:p>
        </w:tc>
        <w:tc>
          <w:tcPr>
            <w:tcW w:w="1351" w:type="dxa"/>
            <w:shd w:val="clear" w:color="auto" w:fill="auto"/>
            <w:vAlign w:val="center"/>
          </w:tcPr>
          <w:p w14:paraId="75803D1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8.3</w:t>
            </w:r>
          </w:p>
        </w:tc>
        <w:tc>
          <w:tcPr>
            <w:tcW w:w="1191" w:type="dxa"/>
            <w:shd w:val="clear" w:color="auto" w:fill="auto"/>
            <w:vAlign w:val="center"/>
          </w:tcPr>
          <w:p w14:paraId="53B5B211" w14:textId="77777777" w:rsidR="00D110E5" w:rsidRPr="00FD516E" w:rsidRDefault="00D110E5" w:rsidP="00D110E5">
            <w:pPr>
              <w:autoSpaceDE/>
              <w:autoSpaceDN/>
              <w:adjustRightInd/>
              <w:ind w:left="0" w:firstLine="0"/>
              <w:jc w:val="center"/>
              <w:rPr>
                <w:snapToGrid w:val="0"/>
                <w:sz w:val="18"/>
              </w:rPr>
            </w:pPr>
            <w:r w:rsidRPr="00FD516E">
              <w:rPr>
                <w:snapToGrid w:val="0"/>
                <w:sz w:val="18"/>
              </w:rPr>
              <w:t>34.0</w:t>
            </w:r>
          </w:p>
        </w:tc>
        <w:tc>
          <w:tcPr>
            <w:tcW w:w="1057" w:type="dxa"/>
            <w:shd w:val="clear" w:color="auto" w:fill="auto"/>
            <w:vAlign w:val="center"/>
          </w:tcPr>
          <w:p w14:paraId="7C7D0DE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42.3</w:t>
            </w:r>
          </w:p>
        </w:tc>
        <w:tc>
          <w:tcPr>
            <w:tcW w:w="1057" w:type="dxa"/>
            <w:shd w:val="clear" w:color="auto" w:fill="auto"/>
            <w:vAlign w:val="center"/>
          </w:tcPr>
          <w:p w14:paraId="648BBEB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150</w:t>
            </w:r>
          </w:p>
        </w:tc>
        <w:tc>
          <w:tcPr>
            <w:tcW w:w="1036" w:type="dxa"/>
            <w:shd w:val="clear" w:color="auto" w:fill="auto"/>
          </w:tcPr>
          <w:p w14:paraId="60217F3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FD516E" w14:paraId="0B42B727" w14:textId="77777777" w:rsidTr="00B5180A">
        <w:trPr>
          <w:cantSplit/>
          <w:trHeight w:val="105"/>
        </w:trPr>
        <w:tc>
          <w:tcPr>
            <w:tcW w:w="1019" w:type="dxa"/>
            <w:vMerge w:val="restart"/>
          </w:tcPr>
          <w:p w14:paraId="1955436A" w14:textId="77777777" w:rsidR="00D110E5" w:rsidRPr="00FD516E" w:rsidRDefault="00D110E5" w:rsidP="00D110E5">
            <w:pPr>
              <w:autoSpaceDE/>
              <w:autoSpaceDN/>
              <w:adjustRightInd/>
              <w:ind w:left="0" w:firstLine="0"/>
              <w:rPr>
                <w:snapToGrid w:val="0"/>
                <w:sz w:val="18"/>
              </w:rPr>
            </w:pPr>
            <w:r w:rsidRPr="00FD516E">
              <w:rPr>
                <w:snapToGrid w:val="0"/>
                <w:sz w:val="18"/>
              </w:rPr>
              <w:t>SO</w:t>
            </w:r>
            <w:r w:rsidRPr="00FD516E">
              <w:rPr>
                <w:snapToGrid w:val="0"/>
                <w:sz w:val="18"/>
                <w:vertAlign w:val="subscript"/>
              </w:rPr>
              <w:t>2</w:t>
            </w:r>
          </w:p>
        </w:tc>
        <w:tc>
          <w:tcPr>
            <w:tcW w:w="1071" w:type="dxa"/>
            <w:shd w:val="clear" w:color="auto" w:fill="auto"/>
            <w:vAlign w:val="center"/>
          </w:tcPr>
          <w:p w14:paraId="770807B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1-hr</w:t>
            </w:r>
          </w:p>
        </w:tc>
        <w:tc>
          <w:tcPr>
            <w:tcW w:w="1351" w:type="dxa"/>
            <w:shd w:val="clear" w:color="auto" w:fill="auto"/>
            <w:vAlign w:val="center"/>
          </w:tcPr>
          <w:p w14:paraId="0A1D916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139.8</w:t>
            </w:r>
          </w:p>
        </w:tc>
        <w:tc>
          <w:tcPr>
            <w:tcW w:w="1191" w:type="dxa"/>
            <w:shd w:val="clear" w:color="auto" w:fill="auto"/>
            <w:vAlign w:val="center"/>
          </w:tcPr>
          <w:p w14:paraId="2B6084E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47.1</w:t>
            </w:r>
          </w:p>
        </w:tc>
        <w:tc>
          <w:tcPr>
            <w:tcW w:w="1057" w:type="dxa"/>
            <w:shd w:val="clear" w:color="auto" w:fill="auto"/>
            <w:vAlign w:val="center"/>
          </w:tcPr>
          <w:p w14:paraId="30D81D6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186.9</w:t>
            </w:r>
          </w:p>
        </w:tc>
        <w:tc>
          <w:tcPr>
            <w:tcW w:w="1057" w:type="dxa"/>
            <w:shd w:val="clear" w:color="auto" w:fill="auto"/>
            <w:vAlign w:val="center"/>
          </w:tcPr>
          <w:p w14:paraId="6DED3084"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196</w:t>
            </w:r>
          </w:p>
        </w:tc>
        <w:tc>
          <w:tcPr>
            <w:tcW w:w="1036" w:type="dxa"/>
            <w:shd w:val="clear" w:color="auto" w:fill="auto"/>
          </w:tcPr>
          <w:p w14:paraId="3F6B1CF5"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9F5E32" w14:paraId="5770553A" w14:textId="77777777" w:rsidTr="00B5180A">
        <w:trPr>
          <w:cantSplit/>
          <w:trHeight w:val="105"/>
        </w:trPr>
        <w:tc>
          <w:tcPr>
            <w:tcW w:w="1019" w:type="dxa"/>
            <w:vMerge/>
          </w:tcPr>
          <w:p w14:paraId="197905F9" w14:textId="77777777" w:rsidR="00D110E5" w:rsidRPr="00133B3D" w:rsidRDefault="00D110E5" w:rsidP="00D110E5">
            <w:pPr>
              <w:autoSpaceDE/>
              <w:autoSpaceDN/>
              <w:adjustRightInd/>
              <w:ind w:left="0" w:firstLine="0"/>
              <w:rPr>
                <w:snapToGrid w:val="0"/>
                <w:sz w:val="18"/>
              </w:rPr>
            </w:pPr>
          </w:p>
        </w:tc>
        <w:tc>
          <w:tcPr>
            <w:tcW w:w="1071" w:type="dxa"/>
            <w:shd w:val="clear" w:color="auto" w:fill="auto"/>
            <w:vAlign w:val="center"/>
          </w:tcPr>
          <w:p w14:paraId="52E6DAC7" w14:textId="77777777" w:rsidR="00D110E5" w:rsidRPr="00133B3D" w:rsidRDefault="00D110E5" w:rsidP="00D110E5">
            <w:pPr>
              <w:autoSpaceDE/>
              <w:autoSpaceDN/>
              <w:adjustRightInd/>
              <w:ind w:left="0" w:firstLine="0"/>
              <w:jc w:val="center"/>
              <w:rPr>
                <w:snapToGrid w:val="0"/>
                <w:sz w:val="18"/>
              </w:rPr>
            </w:pPr>
            <w:r w:rsidRPr="00133B3D">
              <w:rPr>
                <w:snapToGrid w:val="0"/>
                <w:sz w:val="18"/>
              </w:rPr>
              <w:t>3-hr</w:t>
            </w:r>
          </w:p>
        </w:tc>
        <w:tc>
          <w:tcPr>
            <w:tcW w:w="1351" w:type="dxa"/>
            <w:shd w:val="clear" w:color="auto" w:fill="auto"/>
            <w:vAlign w:val="center"/>
          </w:tcPr>
          <w:p w14:paraId="7D63DC68"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103.3</w:t>
            </w:r>
          </w:p>
        </w:tc>
        <w:tc>
          <w:tcPr>
            <w:tcW w:w="1191" w:type="dxa"/>
            <w:shd w:val="clear" w:color="auto" w:fill="auto"/>
            <w:vAlign w:val="center"/>
          </w:tcPr>
          <w:p w14:paraId="7B0B72FF" w14:textId="77777777" w:rsidR="00D110E5" w:rsidRPr="00133B3D" w:rsidRDefault="00D110E5" w:rsidP="00D110E5">
            <w:pPr>
              <w:autoSpaceDE/>
              <w:autoSpaceDN/>
              <w:adjustRightInd/>
              <w:ind w:left="0" w:firstLine="0"/>
              <w:jc w:val="center"/>
              <w:rPr>
                <w:snapToGrid w:val="0"/>
                <w:sz w:val="18"/>
              </w:rPr>
            </w:pPr>
            <w:r w:rsidRPr="00133B3D">
              <w:rPr>
                <w:snapToGrid w:val="0"/>
                <w:sz w:val="18"/>
              </w:rPr>
              <w:t>47.1</w:t>
            </w:r>
          </w:p>
        </w:tc>
        <w:tc>
          <w:tcPr>
            <w:tcW w:w="1057" w:type="dxa"/>
            <w:shd w:val="clear" w:color="auto" w:fill="auto"/>
            <w:vAlign w:val="center"/>
          </w:tcPr>
          <w:p w14:paraId="01478C2A"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150.4</w:t>
            </w:r>
          </w:p>
        </w:tc>
        <w:tc>
          <w:tcPr>
            <w:tcW w:w="1057" w:type="dxa"/>
            <w:shd w:val="clear" w:color="auto" w:fill="auto"/>
            <w:vAlign w:val="center"/>
          </w:tcPr>
          <w:p w14:paraId="30D8CD8C"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1,309</w:t>
            </w:r>
          </w:p>
        </w:tc>
        <w:tc>
          <w:tcPr>
            <w:tcW w:w="1036" w:type="dxa"/>
            <w:shd w:val="clear" w:color="auto" w:fill="auto"/>
            <w:vAlign w:val="center"/>
          </w:tcPr>
          <w:p w14:paraId="085246BC" w14:textId="77777777" w:rsidR="00D110E5" w:rsidRPr="00133B3D" w:rsidRDefault="00D110E5" w:rsidP="00D110E5">
            <w:pPr>
              <w:autoSpaceDE/>
              <w:autoSpaceDN/>
              <w:adjustRightInd/>
              <w:ind w:left="0" w:firstLine="0"/>
              <w:jc w:val="center"/>
              <w:rPr>
                <w:snapToGrid w:val="0"/>
                <w:sz w:val="18"/>
              </w:rPr>
            </w:pPr>
            <w:r w:rsidRPr="00133B3D">
              <w:rPr>
                <w:snapToGrid w:val="0"/>
                <w:sz w:val="18"/>
              </w:rPr>
              <w:t>Yes</w:t>
            </w:r>
          </w:p>
        </w:tc>
      </w:tr>
    </w:tbl>
    <w:p w14:paraId="0B8279BD" w14:textId="77777777" w:rsidR="00D110E5" w:rsidRPr="00FD516E" w:rsidRDefault="00D110E5" w:rsidP="00D110E5">
      <w:pPr>
        <w:autoSpaceDE/>
        <w:autoSpaceDN/>
        <w:adjustRightInd/>
        <w:ind w:left="0" w:firstLine="0"/>
        <w:rPr>
          <w:snapToGrid w:val="0"/>
        </w:rPr>
      </w:pPr>
    </w:p>
    <w:tbl>
      <w:tblPr>
        <w:tblW w:w="864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4"/>
        <w:gridCol w:w="1182"/>
        <w:gridCol w:w="1492"/>
        <w:gridCol w:w="1315"/>
        <w:gridCol w:w="1216"/>
        <w:gridCol w:w="1167"/>
        <w:gridCol w:w="1144"/>
      </w:tblGrid>
      <w:tr w:rsidR="00D110E5" w:rsidRPr="00FD516E" w14:paraId="327B2CB5" w14:textId="77777777" w:rsidTr="003529CF">
        <w:trPr>
          <w:cantSplit/>
          <w:tblHeader/>
        </w:trPr>
        <w:tc>
          <w:tcPr>
            <w:tcW w:w="7782" w:type="dxa"/>
            <w:gridSpan w:val="7"/>
            <w:tcBorders>
              <w:top w:val="double" w:sz="4" w:space="0" w:color="auto"/>
              <w:bottom w:val="single" w:sz="4" w:space="0" w:color="auto"/>
            </w:tcBorders>
            <w:shd w:val="clear" w:color="auto" w:fill="F2F2F2" w:themeFill="background1" w:themeFillShade="F2"/>
          </w:tcPr>
          <w:p w14:paraId="2784F36C" w14:textId="77B3BD7C" w:rsidR="00D110E5" w:rsidRPr="00FD516E" w:rsidRDefault="00BD6F6B" w:rsidP="00322F07">
            <w:pPr>
              <w:autoSpaceDE/>
              <w:autoSpaceDN/>
              <w:adjustRightInd/>
              <w:ind w:left="0" w:firstLine="0"/>
              <w:jc w:val="center"/>
              <w:rPr>
                <w:b/>
                <w:bCs/>
                <w:snapToGrid w:val="0"/>
              </w:rPr>
            </w:pPr>
            <w:r w:rsidRPr="00FD516E">
              <w:rPr>
                <w:b/>
                <w:bCs/>
                <w:snapToGrid w:val="0"/>
              </w:rPr>
              <w:t xml:space="preserve">Table 6-2 </w:t>
            </w:r>
            <w:r w:rsidR="00D110E5" w:rsidRPr="00FD516E">
              <w:rPr>
                <w:b/>
                <w:bCs/>
                <w:snapToGrid w:val="0"/>
              </w:rPr>
              <w:t xml:space="preserve">PSD Increment Review – </w:t>
            </w:r>
            <w:r w:rsidR="004A7C06" w:rsidRPr="00FD516E">
              <w:rPr>
                <w:b/>
                <w:bCs/>
                <w:snapToGrid w:val="0"/>
              </w:rPr>
              <w:t>AOP-14-034 / AOP-15-032</w:t>
            </w:r>
          </w:p>
        </w:tc>
      </w:tr>
      <w:tr w:rsidR="00D110E5" w:rsidRPr="00FD516E" w14:paraId="27960A84" w14:textId="77777777" w:rsidTr="003529CF">
        <w:trPr>
          <w:cantSplit/>
          <w:tblHeader/>
        </w:trPr>
        <w:tc>
          <w:tcPr>
            <w:tcW w:w="1019" w:type="dxa"/>
            <w:tcBorders>
              <w:top w:val="single" w:sz="4" w:space="0" w:color="auto"/>
              <w:bottom w:val="double" w:sz="4" w:space="0" w:color="auto"/>
            </w:tcBorders>
            <w:shd w:val="clear" w:color="auto" w:fill="F2F2F2" w:themeFill="background1" w:themeFillShade="F2"/>
            <w:vAlign w:val="center"/>
          </w:tcPr>
          <w:p w14:paraId="3A6EF79E" w14:textId="77777777" w:rsidR="00D110E5" w:rsidRPr="00FD516E" w:rsidRDefault="00D110E5" w:rsidP="00D110E5">
            <w:pPr>
              <w:autoSpaceDE/>
              <w:autoSpaceDN/>
              <w:adjustRightInd/>
              <w:ind w:left="0" w:firstLine="0"/>
              <w:jc w:val="left"/>
              <w:rPr>
                <w:snapToGrid w:val="0"/>
                <w:sz w:val="18"/>
              </w:rPr>
            </w:pPr>
            <w:r w:rsidRPr="00FD516E">
              <w:rPr>
                <w:snapToGrid w:val="0"/>
                <w:sz w:val="18"/>
              </w:rPr>
              <w:t>Pollutant</w:t>
            </w:r>
          </w:p>
        </w:tc>
        <w:tc>
          <w:tcPr>
            <w:tcW w:w="1071" w:type="dxa"/>
            <w:tcBorders>
              <w:top w:val="single" w:sz="4" w:space="0" w:color="auto"/>
              <w:bottom w:val="double" w:sz="4" w:space="0" w:color="auto"/>
            </w:tcBorders>
            <w:shd w:val="clear" w:color="auto" w:fill="F2F2F2" w:themeFill="background1" w:themeFillShade="F2"/>
            <w:vAlign w:val="center"/>
          </w:tcPr>
          <w:p w14:paraId="4E1E366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Averaging Period</w:t>
            </w:r>
          </w:p>
        </w:tc>
        <w:tc>
          <w:tcPr>
            <w:tcW w:w="1351" w:type="dxa"/>
            <w:tcBorders>
              <w:top w:val="single" w:sz="4" w:space="0" w:color="auto"/>
              <w:bottom w:val="double" w:sz="4" w:space="0" w:color="auto"/>
            </w:tcBorders>
            <w:shd w:val="clear" w:color="auto" w:fill="F2F2F2" w:themeFill="background1" w:themeFillShade="F2"/>
            <w:vAlign w:val="center"/>
          </w:tcPr>
          <w:p w14:paraId="7819C443" w14:textId="77777777" w:rsidR="00D110E5" w:rsidRPr="00FD516E" w:rsidRDefault="00D110E5" w:rsidP="00D110E5">
            <w:pPr>
              <w:autoSpaceDE/>
              <w:autoSpaceDN/>
              <w:adjustRightInd/>
              <w:ind w:left="0" w:firstLine="0"/>
              <w:jc w:val="center"/>
              <w:rPr>
                <w:snapToGrid w:val="0"/>
                <w:sz w:val="18"/>
              </w:rPr>
            </w:pPr>
            <w:r w:rsidRPr="00FD516E">
              <w:rPr>
                <w:snapToGrid w:val="0"/>
                <w:sz w:val="18"/>
              </w:rPr>
              <w:t>Modeled Concentration</w:t>
            </w:r>
          </w:p>
          <w:p w14:paraId="0F8B3D0C" w14:textId="77777777" w:rsidR="00D110E5" w:rsidRPr="00FD516E" w:rsidRDefault="00D110E5" w:rsidP="00D110E5">
            <w:pPr>
              <w:autoSpaceDE/>
              <w:autoSpaceDN/>
              <w:adjustRightInd/>
              <w:ind w:left="0" w:firstLine="0"/>
              <w:jc w:val="center"/>
              <w:rPr>
                <w:snapToGrid w:val="0"/>
                <w:sz w:val="18"/>
              </w:rPr>
            </w:pPr>
            <w:r w:rsidRPr="00FD516E">
              <w:rPr>
                <w:rFonts w:cs="Arial"/>
                <w:snapToGrid w:val="0"/>
                <w:sz w:val="18"/>
              </w:rPr>
              <w:t>(µ</w:t>
            </w:r>
            <w:r w:rsidRPr="00FD516E">
              <w:rPr>
                <w:snapToGrid w:val="0"/>
                <w:sz w:val="18"/>
              </w:rPr>
              <w:t>g/m</w:t>
            </w:r>
            <w:r w:rsidRPr="00FD516E">
              <w:rPr>
                <w:snapToGrid w:val="0"/>
                <w:sz w:val="18"/>
                <w:vertAlign w:val="superscript"/>
              </w:rPr>
              <w:t>3</w:t>
            </w:r>
            <w:r w:rsidRPr="00FD516E">
              <w:rPr>
                <w:snapToGrid w:val="0"/>
                <w:sz w:val="18"/>
              </w:rPr>
              <w:t>)</w:t>
            </w:r>
          </w:p>
        </w:tc>
        <w:tc>
          <w:tcPr>
            <w:tcW w:w="1191" w:type="dxa"/>
            <w:tcBorders>
              <w:top w:val="single" w:sz="4" w:space="0" w:color="auto"/>
              <w:bottom w:val="double" w:sz="4" w:space="0" w:color="auto"/>
            </w:tcBorders>
            <w:shd w:val="clear" w:color="auto" w:fill="F2F2F2" w:themeFill="background1" w:themeFillShade="F2"/>
            <w:vAlign w:val="center"/>
          </w:tcPr>
          <w:p w14:paraId="6BB1AED4" w14:textId="77777777" w:rsidR="00D110E5" w:rsidRPr="00FD516E" w:rsidRDefault="00D110E5" w:rsidP="00D110E5">
            <w:pPr>
              <w:autoSpaceDE/>
              <w:autoSpaceDN/>
              <w:adjustRightInd/>
              <w:ind w:left="0" w:firstLine="0"/>
              <w:jc w:val="center"/>
              <w:rPr>
                <w:snapToGrid w:val="0"/>
                <w:sz w:val="18"/>
              </w:rPr>
            </w:pPr>
            <w:r w:rsidRPr="00FD516E">
              <w:rPr>
                <w:snapToGrid w:val="0"/>
                <w:sz w:val="18"/>
              </w:rPr>
              <w:t>Maximum Allowable Class II PSD Increment Standard</w:t>
            </w:r>
          </w:p>
          <w:p w14:paraId="1A8CE11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57" w:type="dxa"/>
            <w:tcBorders>
              <w:top w:val="single" w:sz="4" w:space="0" w:color="auto"/>
              <w:bottom w:val="double" w:sz="4" w:space="0" w:color="auto"/>
            </w:tcBorders>
            <w:shd w:val="clear" w:color="auto" w:fill="F2F2F2" w:themeFill="background1" w:themeFillShade="F2"/>
            <w:vAlign w:val="center"/>
          </w:tcPr>
          <w:p w14:paraId="29A3324D" w14:textId="77777777" w:rsidR="00D110E5" w:rsidRPr="00FD516E" w:rsidRDefault="00D110E5" w:rsidP="00D110E5">
            <w:pPr>
              <w:autoSpaceDE/>
              <w:autoSpaceDN/>
              <w:adjustRightInd/>
              <w:ind w:left="0" w:firstLine="0"/>
              <w:jc w:val="center"/>
              <w:rPr>
                <w:snapToGrid w:val="0"/>
                <w:sz w:val="18"/>
              </w:rPr>
            </w:pPr>
            <w:r w:rsidRPr="00FD516E">
              <w:rPr>
                <w:snapToGrid w:val="0"/>
                <w:sz w:val="18"/>
              </w:rPr>
              <w:t>Previously Consumed Class II PSD Increment</w:t>
            </w:r>
          </w:p>
          <w:p w14:paraId="74CD87BD"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57" w:type="dxa"/>
            <w:tcBorders>
              <w:top w:val="single" w:sz="4" w:space="0" w:color="auto"/>
              <w:bottom w:val="double" w:sz="4" w:space="0" w:color="auto"/>
            </w:tcBorders>
            <w:shd w:val="clear" w:color="auto" w:fill="F2F2F2" w:themeFill="background1" w:themeFillShade="F2"/>
            <w:vAlign w:val="center"/>
          </w:tcPr>
          <w:p w14:paraId="0BDD60B7" w14:textId="77777777" w:rsidR="00D110E5" w:rsidRPr="00FD516E" w:rsidRDefault="00D110E5" w:rsidP="00D110E5">
            <w:pPr>
              <w:autoSpaceDE/>
              <w:autoSpaceDN/>
              <w:adjustRightInd/>
              <w:ind w:left="0" w:firstLine="0"/>
              <w:jc w:val="center"/>
              <w:rPr>
                <w:snapToGrid w:val="0"/>
                <w:sz w:val="18"/>
              </w:rPr>
            </w:pPr>
            <w:r w:rsidRPr="00FD516E">
              <w:rPr>
                <w:snapToGrid w:val="0"/>
                <w:sz w:val="18"/>
              </w:rPr>
              <w:t>Class II PSD Increment Available</w:t>
            </w:r>
          </w:p>
          <w:p w14:paraId="46D3F41E" w14:textId="77777777" w:rsidR="00D110E5" w:rsidRPr="00FD516E" w:rsidRDefault="00D110E5" w:rsidP="00D110E5">
            <w:pPr>
              <w:autoSpaceDE/>
              <w:autoSpaceDN/>
              <w:adjustRightInd/>
              <w:ind w:left="0" w:firstLine="0"/>
              <w:jc w:val="center"/>
              <w:rPr>
                <w:snapToGrid w:val="0"/>
                <w:sz w:val="18"/>
              </w:rPr>
            </w:pPr>
            <w:r w:rsidRPr="00FD516E">
              <w:rPr>
                <w:snapToGrid w:val="0"/>
                <w:sz w:val="18"/>
              </w:rPr>
              <w:t>(µg/m</w:t>
            </w:r>
            <w:r w:rsidRPr="00FD516E">
              <w:rPr>
                <w:snapToGrid w:val="0"/>
                <w:sz w:val="18"/>
                <w:vertAlign w:val="superscript"/>
              </w:rPr>
              <w:t>3</w:t>
            </w:r>
            <w:r w:rsidRPr="00FD516E">
              <w:rPr>
                <w:snapToGrid w:val="0"/>
                <w:sz w:val="18"/>
              </w:rPr>
              <w:t>)</w:t>
            </w:r>
          </w:p>
        </w:tc>
        <w:tc>
          <w:tcPr>
            <w:tcW w:w="1036" w:type="dxa"/>
            <w:tcBorders>
              <w:top w:val="single" w:sz="4" w:space="0" w:color="auto"/>
              <w:bottom w:val="double" w:sz="4" w:space="0" w:color="auto"/>
            </w:tcBorders>
            <w:shd w:val="clear" w:color="auto" w:fill="F2F2F2" w:themeFill="background1" w:themeFillShade="F2"/>
            <w:vAlign w:val="center"/>
          </w:tcPr>
          <w:p w14:paraId="4C49001C" w14:textId="77777777" w:rsidR="00D110E5" w:rsidRPr="00FD516E" w:rsidRDefault="00D110E5" w:rsidP="00D110E5">
            <w:pPr>
              <w:autoSpaceDE/>
              <w:autoSpaceDN/>
              <w:adjustRightInd/>
              <w:ind w:left="0" w:firstLine="0"/>
              <w:jc w:val="center"/>
              <w:rPr>
                <w:snapToGrid w:val="0"/>
                <w:sz w:val="18"/>
              </w:rPr>
            </w:pPr>
            <w:r w:rsidRPr="00FD516E">
              <w:rPr>
                <w:snapToGrid w:val="0"/>
                <w:sz w:val="18"/>
              </w:rPr>
              <w:t>Pass?</w:t>
            </w:r>
          </w:p>
        </w:tc>
      </w:tr>
      <w:tr w:rsidR="00D110E5" w:rsidRPr="00FD516E" w14:paraId="1056C64E" w14:textId="77777777" w:rsidTr="00B5180A">
        <w:trPr>
          <w:cantSplit/>
        </w:trPr>
        <w:tc>
          <w:tcPr>
            <w:tcW w:w="1019" w:type="dxa"/>
            <w:tcBorders>
              <w:top w:val="single" w:sz="4" w:space="0" w:color="auto"/>
            </w:tcBorders>
          </w:tcPr>
          <w:p w14:paraId="421E2359" w14:textId="77777777" w:rsidR="00D110E5" w:rsidRPr="00FD516E" w:rsidRDefault="00D110E5" w:rsidP="00D110E5">
            <w:pPr>
              <w:autoSpaceDE/>
              <w:autoSpaceDN/>
              <w:adjustRightInd/>
              <w:ind w:left="0" w:firstLine="0"/>
              <w:rPr>
                <w:snapToGrid w:val="0"/>
                <w:sz w:val="18"/>
              </w:rPr>
            </w:pPr>
            <w:r w:rsidRPr="00FD516E">
              <w:rPr>
                <w:snapToGrid w:val="0"/>
                <w:sz w:val="18"/>
              </w:rPr>
              <w:t>NOx</w:t>
            </w:r>
          </w:p>
        </w:tc>
        <w:tc>
          <w:tcPr>
            <w:tcW w:w="1071" w:type="dxa"/>
            <w:tcBorders>
              <w:top w:val="single" w:sz="4" w:space="0" w:color="auto"/>
            </w:tcBorders>
            <w:vAlign w:val="center"/>
          </w:tcPr>
          <w:p w14:paraId="193EEC6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Annual</w:t>
            </w:r>
          </w:p>
        </w:tc>
        <w:tc>
          <w:tcPr>
            <w:tcW w:w="1351" w:type="dxa"/>
            <w:shd w:val="clear" w:color="auto" w:fill="auto"/>
            <w:vAlign w:val="center"/>
          </w:tcPr>
          <w:p w14:paraId="1E008B9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2.1</w:t>
            </w:r>
          </w:p>
        </w:tc>
        <w:tc>
          <w:tcPr>
            <w:tcW w:w="1191" w:type="dxa"/>
            <w:shd w:val="clear" w:color="auto" w:fill="auto"/>
            <w:vAlign w:val="center"/>
          </w:tcPr>
          <w:p w14:paraId="15F87EC5"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25</w:t>
            </w:r>
          </w:p>
        </w:tc>
        <w:tc>
          <w:tcPr>
            <w:tcW w:w="1057" w:type="dxa"/>
            <w:shd w:val="clear" w:color="auto" w:fill="auto"/>
            <w:vAlign w:val="center"/>
          </w:tcPr>
          <w:p w14:paraId="79240DA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7.4</w:t>
            </w:r>
          </w:p>
        </w:tc>
        <w:tc>
          <w:tcPr>
            <w:tcW w:w="1057" w:type="dxa"/>
            <w:shd w:val="clear" w:color="auto" w:fill="auto"/>
            <w:vAlign w:val="center"/>
          </w:tcPr>
          <w:p w14:paraId="772CA172"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11.8</w:t>
            </w:r>
          </w:p>
        </w:tc>
        <w:tc>
          <w:tcPr>
            <w:tcW w:w="1036" w:type="dxa"/>
            <w:shd w:val="clear" w:color="auto" w:fill="auto"/>
            <w:vAlign w:val="center"/>
          </w:tcPr>
          <w:p w14:paraId="063A9445"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FD516E" w14:paraId="66B6770F" w14:textId="77777777" w:rsidTr="00B5180A">
        <w:trPr>
          <w:cantSplit/>
          <w:trHeight w:val="105"/>
        </w:trPr>
        <w:tc>
          <w:tcPr>
            <w:tcW w:w="1019" w:type="dxa"/>
            <w:vMerge w:val="restart"/>
          </w:tcPr>
          <w:p w14:paraId="6C024A64" w14:textId="77777777" w:rsidR="00D110E5" w:rsidRPr="00FD516E" w:rsidRDefault="00D110E5" w:rsidP="00D110E5">
            <w:pPr>
              <w:autoSpaceDE/>
              <w:autoSpaceDN/>
              <w:adjustRightInd/>
              <w:ind w:left="0" w:firstLine="0"/>
              <w:rPr>
                <w:snapToGrid w:val="0"/>
                <w:sz w:val="18"/>
              </w:rPr>
            </w:pPr>
            <w:r w:rsidRPr="00FD516E">
              <w:rPr>
                <w:snapToGrid w:val="0"/>
                <w:sz w:val="18"/>
              </w:rPr>
              <w:t>PM</w:t>
            </w:r>
            <w:r w:rsidRPr="00FD516E">
              <w:rPr>
                <w:snapToGrid w:val="0"/>
                <w:sz w:val="18"/>
                <w:vertAlign w:val="subscript"/>
              </w:rPr>
              <w:t>2.5</w:t>
            </w:r>
          </w:p>
        </w:tc>
        <w:tc>
          <w:tcPr>
            <w:tcW w:w="1071" w:type="dxa"/>
            <w:vAlign w:val="center"/>
          </w:tcPr>
          <w:p w14:paraId="2EECD70A"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24-hr</w:t>
            </w:r>
          </w:p>
        </w:tc>
        <w:tc>
          <w:tcPr>
            <w:tcW w:w="1351" w:type="dxa"/>
            <w:shd w:val="clear" w:color="auto" w:fill="auto"/>
            <w:vAlign w:val="center"/>
          </w:tcPr>
          <w:p w14:paraId="4F02661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6.4</w:t>
            </w:r>
          </w:p>
        </w:tc>
        <w:tc>
          <w:tcPr>
            <w:tcW w:w="1191" w:type="dxa"/>
            <w:shd w:val="clear" w:color="auto" w:fill="auto"/>
            <w:vAlign w:val="center"/>
          </w:tcPr>
          <w:p w14:paraId="2A133076" w14:textId="77777777" w:rsidR="00D110E5" w:rsidRPr="00FD516E" w:rsidRDefault="00D110E5" w:rsidP="00D110E5">
            <w:pPr>
              <w:autoSpaceDE/>
              <w:autoSpaceDN/>
              <w:adjustRightInd/>
              <w:ind w:left="0" w:firstLine="0"/>
              <w:jc w:val="center"/>
              <w:rPr>
                <w:snapToGrid w:val="0"/>
                <w:sz w:val="18"/>
              </w:rPr>
            </w:pPr>
            <w:r w:rsidRPr="00FD516E">
              <w:rPr>
                <w:snapToGrid w:val="0"/>
                <w:sz w:val="18"/>
              </w:rPr>
              <w:t>9</w:t>
            </w:r>
          </w:p>
        </w:tc>
        <w:tc>
          <w:tcPr>
            <w:tcW w:w="1057" w:type="dxa"/>
            <w:shd w:val="clear" w:color="auto" w:fill="auto"/>
            <w:vAlign w:val="center"/>
          </w:tcPr>
          <w:p w14:paraId="3D36E9D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0</w:t>
            </w:r>
          </w:p>
        </w:tc>
        <w:tc>
          <w:tcPr>
            <w:tcW w:w="1057" w:type="dxa"/>
            <w:shd w:val="clear" w:color="auto" w:fill="auto"/>
            <w:vAlign w:val="center"/>
          </w:tcPr>
          <w:p w14:paraId="7EB6E307" w14:textId="77777777" w:rsidR="00D110E5" w:rsidRPr="00FD516E" w:rsidRDefault="00D110E5" w:rsidP="00D110E5">
            <w:pPr>
              <w:autoSpaceDE/>
              <w:autoSpaceDN/>
              <w:adjustRightInd/>
              <w:ind w:left="0" w:firstLine="0"/>
              <w:jc w:val="center"/>
              <w:rPr>
                <w:snapToGrid w:val="0"/>
                <w:sz w:val="18"/>
              </w:rPr>
            </w:pPr>
            <w:r w:rsidRPr="00FD516E">
              <w:rPr>
                <w:snapToGrid w:val="0"/>
                <w:sz w:val="18"/>
              </w:rPr>
              <w:t>6.8</w:t>
            </w:r>
          </w:p>
        </w:tc>
        <w:tc>
          <w:tcPr>
            <w:tcW w:w="1036" w:type="dxa"/>
            <w:shd w:val="clear" w:color="auto" w:fill="auto"/>
            <w:vAlign w:val="center"/>
          </w:tcPr>
          <w:p w14:paraId="49308DA3"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9F5E32" w14:paraId="44501CF2" w14:textId="77777777" w:rsidTr="00B5180A">
        <w:trPr>
          <w:cantSplit/>
          <w:trHeight w:val="105"/>
        </w:trPr>
        <w:tc>
          <w:tcPr>
            <w:tcW w:w="1019" w:type="dxa"/>
            <w:vMerge/>
          </w:tcPr>
          <w:p w14:paraId="01027A48" w14:textId="77777777" w:rsidR="00D110E5" w:rsidRPr="00133B3D" w:rsidRDefault="00D110E5" w:rsidP="00D110E5">
            <w:pPr>
              <w:autoSpaceDE/>
              <w:autoSpaceDN/>
              <w:adjustRightInd/>
              <w:ind w:left="0" w:firstLine="0"/>
              <w:rPr>
                <w:snapToGrid w:val="0"/>
                <w:sz w:val="18"/>
              </w:rPr>
            </w:pPr>
          </w:p>
        </w:tc>
        <w:tc>
          <w:tcPr>
            <w:tcW w:w="1071" w:type="dxa"/>
            <w:vAlign w:val="center"/>
          </w:tcPr>
          <w:p w14:paraId="5719CAFC" w14:textId="77777777" w:rsidR="00D110E5" w:rsidRPr="00133B3D" w:rsidRDefault="00D110E5" w:rsidP="00D110E5">
            <w:pPr>
              <w:autoSpaceDE/>
              <w:autoSpaceDN/>
              <w:adjustRightInd/>
              <w:ind w:left="0" w:firstLine="0"/>
              <w:jc w:val="center"/>
              <w:rPr>
                <w:snapToGrid w:val="0"/>
                <w:sz w:val="18"/>
              </w:rPr>
            </w:pPr>
            <w:r w:rsidRPr="00133B3D">
              <w:rPr>
                <w:snapToGrid w:val="0"/>
                <w:sz w:val="18"/>
              </w:rPr>
              <w:t>Annual</w:t>
            </w:r>
          </w:p>
        </w:tc>
        <w:tc>
          <w:tcPr>
            <w:tcW w:w="1351" w:type="dxa"/>
            <w:shd w:val="clear" w:color="auto" w:fill="auto"/>
            <w:vAlign w:val="center"/>
          </w:tcPr>
          <w:p w14:paraId="138D138C" w14:textId="77777777" w:rsidR="00D110E5" w:rsidRPr="00133B3D" w:rsidRDefault="00D110E5" w:rsidP="00D110E5">
            <w:pPr>
              <w:autoSpaceDE/>
              <w:autoSpaceDN/>
              <w:adjustRightInd/>
              <w:ind w:left="0" w:firstLine="0"/>
              <w:jc w:val="center"/>
              <w:rPr>
                <w:snapToGrid w:val="0"/>
                <w:sz w:val="18"/>
              </w:rPr>
            </w:pPr>
            <w:r w:rsidRPr="00133B3D">
              <w:rPr>
                <w:snapToGrid w:val="0"/>
                <w:sz w:val="18"/>
              </w:rPr>
              <w:t>0.64</w:t>
            </w:r>
          </w:p>
        </w:tc>
        <w:tc>
          <w:tcPr>
            <w:tcW w:w="1191" w:type="dxa"/>
            <w:shd w:val="clear" w:color="auto" w:fill="auto"/>
            <w:vAlign w:val="center"/>
          </w:tcPr>
          <w:p w14:paraId="26339350" w14:textId="77777777" w:rsidR="00D110E5" w:rsidRPr="00133B3D" w:rsidRDefault="00D110E5" w:rsidP="00D110E5">
            <w:pPr>
              <w:autoSpaceDE/>
              <w:autoSpaceDN/>
              <w:adjustRightInd/>
              <w:ind w:left="0" w:firstLine="0"/>
              <w:jc w:val="center"/>
              <w:rPr>
                <w:snapToGrid w:val="0"/>
                <w:sz w:val="18"/>
              </w:rPr>
            </w:pPr>
            <w:r w:rsidRPr="00133B3D">
              <w:rPr>
                <w:snapToGrid w:val="0"/>
                <w:sz w:val="18"/>
              </w:rPr>
              <w:t>4</w:t>
            </w:r>
          </w:p>
        </w:tc>
        <w:tc>
          <w:tcPr>
            <w:tcW w:w="1057" w:type="dxa"/>
            <w:shd w:val="clear" w:color="auto" w:fill="auto"/>
            <w:vAlign w:val="center"/>
          </w:tcPr>
          <w:p w14:paraId="23A73968" w14:textId="77777777" w:rsidR="00D110E5" w:rsidRPr="00133B3D" w:rsidRDefault="00D110E5" w:rsidP="00D110E5">
            <w:pPr>
              <w:autoSpaceDE/>
              <w:autoSpaceDN/>
              <w:adjustRightInd/>
              <w:ind w:left="0" w:firstLine="0"/>
              <w:jc w:val="center"/>
              <w:rPr>
                <w:snapToGrid w:val="0"/>
                <w:sz w:val="18"/>
              </w:rPr>
            </w:pPr>
            <w:r w:rsidRPr="00133B3D">
              <w:rPr>
                <w:snapToGrid w:val="0"/>
                <w:sz w:val="18"/>
              </w:rPr>
              <w:t>0</w:t>
            </w:r>
          </w:p>
        </w:tc>
        <w:tc>
          <w:tcPr>
            <w:tcW w:w="1057" w:type="dxa"/>
            <w:shd w:val="clear" w:color="auto" w:fill="auto"/>
            <w:vAlign w:val="center"/>
          </w:tcPr>
          <w:p w14:paraId="61522059" w14:textId="77777777" w:rsidR="00D110E5" w:rsidRPr="00133B3D" w:rsidRDefault="00D110E5" w:rsidP="00D110E5">
            <w:pPr>
              <w:autoSpaceDE/>
              <w:autoSpaceDN/>
              <w:adjustRightInd/>
              <w:ind w:left="0" w:firstLine="0"/>
              <w:jc w:val="center"/>
              <w:rPr>
                <w:snapToGrid w:val="0"/>
                <w:sz w:val="18"/>
              </w:rPr>
            </w:pPr>
            <w:r w:rsidRPr="00133B3D">
              <w:rPr>
                <w:snapToGrid w:val="0"/>
                <w:sz w:val="18"/>
              </w:rPr>
              <w:t>1.0</w:t>
            </w:r>
          </w:p>
        </w:tc>
        <w:tc>
          <w:tcPr>
            <w:tcW w:w="1036" w:type="dxa"/>
            <w:shd w:val="clear" w:color="auto" w:fill="auto"/>
            <w:vAlign w:val="center"/>
          </w:tcPr>
          <w:p w14:paraId="26AFE0CF" w14:textId="77777777" w:rsidR="00D110E5" w:rsidRPr="00133B3D" w:rsidRDefault="00D110E5" w:rsidP="00D110E5">
            <w:pPr>
              <w:autoSpaceDE/>
              <w:autoSpaceDN/>
              <w:adjustRightInd/>
              <w:ind w:left="0" w:firstLine="0"/>
              <w:jc w:val="center"/>
              <w:rPr>
                <w:snapToGrid w:val="0"/>
                <w:sz w:val="18"/>
              </w:rPr>
            </w:pPr>
            <w:r w:rsidRPr="00133B3D">
              <w:rPr>
                <w:snapToGrid w:val="0"/>
                <w:sz w:val="18"/>
              </w:rPr>
              <w:t>Yes</w:t>
            </w:r>
          </w:p>
        </w:tc>
      </w:tr>
      <w:tr w:rsidR="00D110E5" w:rsidRPr="00FD516E" w14:paraId="76FD9358" w14:textId="77777777" w:rsidTr="00B5180A">
        <w:trPr>
          <w:cantSplit/>
        </w:trPr>
        <w:tc>
          <w:tcPr>
            <w:tcW w:w="1019" w:type="dxa"/>
          </w:tcPr>
          <w:p w14:paraId="50734F26" w14:textId="77777777" w:rsidR="00D110E5" w:rsidRPr="00FD516E" w:rsidRDefault="00D110E5" w:rsidP="00D110E5">
            <w:pPr>
              <w:autoSpaceDE/>
              <w:autoSpaceDN/>
              <w:adjustRightInd/>
              <w:ind w:left="0" w:firstLine="0"/>
              <w:rPr>
                <w:snapToGrid w:val="0"/>
                <w:sz w:val="18"/>
              </w:rPr>
            </w:pPr>
            <w:r w:rsidRPr="00FD516E">
              <w:rPr>
                <w:snapToGrid w:val="0"/>
                <w:sz w:val="18"/>
              </w:rPr>
              <w:t>PM</w:t>
            </w:r>
            <w:r w:rsidRPr="00FD516E">
              <w:rPr>
                <w:snapToGrid w:val="0"/>
                <w:sz w:val="18"/>
                <w:vertAlign w:val="subscript"/>
              </w:rPr>
              <w:t>10</w:t>
            </w:r>
          </w:p>
        </w:tc>
        <w:tc>
          <w:tcPr>
            <w:tcW w:w="1071" w:type="dxa"/>
            <w:vAlign w:val="center"/>
          </w:tcPr>
          <w:p w14:paraId="72B0397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24-hr</w:t>
            </w:r>
          </w:p>
        </w:tc>
        <w:tc>
          <w:tcPr>
            <w:tcW w:w="1351" w:type="dxa"/>
            <w:shd w:val="clear" w:color="auto" w:fill="auto"/>
            <w:vAlign w:val="center"/>
          </w:tcPr>
          <w:p w14:paraId="6D99BA8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8.3</w:t>
            </w:r>
          </w:p>
        </w:tc>
        <w:tc>
          <w:tcPr>
            <w:tcW w:w="1191" w:type="dxa"/>
            <w:shd w:val="clear" w:color="auto" w:fill="auto"/>
            <w:vAlign w:val="center"/>
          </w:tcPr>
          <w:p w14:paraId="3D96030B" w14:textId="77777777" w:rsidR="00D110E5" w:rsidRPr="00FD516E" w:rsidRDefault="00D110E5" w:rsidP="00D110E5">
            <w:pPr>
              <w:autoSpaceDE/>
              <w:autoSpaceDN/>
              <w:adjustRightInd/>
              <w:ind w:left="0" w:firstLine="0"/>
              <w:jc w:val="center"/>
              <w:rPr>
                <w:snapToGrid w:val="0"/>
                <w:sz w:val="18"/>
              </w:rPr>
            </w:pPr>
            <w:r w:rsidRPr="00FD516E">
              <w:rPr>
                <w:snapToGrid w:val="0"/>
                <w:sz w:val="18"/>
              </w:rPr>
              <w:t>30</w:t>
            </w:r>
          </w:p>
        </w:tc>
        <w:tc>
          <w:tcPr>
            <w:tcW w:w="1057" w:type="dxa"/>
            <w:shd w:val="clear" w:color="auto" w:fill="auto"/>
            <w:vAlign w:val="center"/>
          </w:tcPr>
          <w:p w14:paraId="3EFF9EC7" w14:textId="77777777" w:rsidR="00D110E5" w:rsidRPr="00FD516E" w:rsidRDefault="00D110E5" w:rsidP="00D110E5">
            <w:pPr>
              <w:autoSpaceDE/>
              <w:autoSpaceDN/>
              <w:adjustRightInd/>
              <w:ind w:left="0" w:firstLine="0"/>
              <w:jc w:val="center"/>
              <w:rPr>
                <w:snapToGrid w:val="0"/>
                <w:sz w:val="18"/>
              </w:rPr>
            </w:pPr>
            <w:r w:rsidRPr="00FD516E">
              <w:rPr>
                <w:snapToGrid w:val="0"/>
                <w:sz w:val="18"/>
              </w:rPr>
              <w:t>0</w:t>
            </w:r>
          </w:p>
        </w:tc>
        <w:tc>
          <w:tcPr>
            <w:tcW w:w="1057" w:type="dxa"/>
            <w:shd w:val="clear" w:color="auto" w:fill="auto"/>
            <w:vAlign w:val="center"/>
          </w:tcPr>
          <w:p w14:paraId="6F7B13B4" w14:textId="77777777" w:rsidR="00D110E5" w:rsidRPr="00FD516E" w:rsidRDefault="00D110E5" w:rsidP="00D110E5">
            <w:pPr>
              <w:autoSpaceDE/>
              <w:autoSpaceDN/>
              <w:adjustRightInd/>
              <w:ind w:left="0" w:firstLine="0"/>
              <w:jc w:val="center"/>
              <w:rPr>
                <w:snapToGrid w:val="0"/>
                <w:sz w:val="18"/>
              </w:rPr>
            </w:pPr>
            <w:r w:rsidRPr="00FD516E">
              <w:rPr>
                <w:snapToGrid w:val="0"/>
                <w:sz w:val="18"/>
              </w:rPr>
              <w:t>22.5</w:t>
            </w:r>
          </w:p>
        </w:tc>
        <w:tc>
          <w:tcPr>
            <w:tcW w:w="1036" w:type="dxa"/>
            <w:shd w:val="clear" w:color="auto" w:fill="auto"/>
            <w:vAlign w:val="center"/>
          </w:tcPr>
          <w:p w14:paraId="5FAFD14E"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r w:rsidR="00D110E5" w:rsidRPr="00FD516E" w14:paraId="08A6F6ED" w14:textId="77777777" w:rsidTr="00B5180A">
        <w:trPr>
          <w:cantSplit/>
        </w:trPr>
        <w:tc>
          <w:tcPr>
            <w:tcW w:w="1019" w:type="dxa"/>
          </w:tcPr>
          <w:p w14:paraId="790A9A64" w14:textId="77777777" w:rsidR="00D110E5" w:rsidRPr="00FD516E" w:rsidRDefault="00D110E5" w:rsidP="00D110E5">
            <w:pPr>
              <w:autoSpaceDE/>
              <w:autoSpaceDN/>
              <w:adjustRightInd/>
              <w:ind w:left="0" w:firstLine="0"/>
              <w:rPr>
                <w:snapToGrid w:val="0"/>
                <w:sz w:val="18"/>
              </w:rPr>
            </w:pPr>
            <w:r w:rsidRPr="00FD516E">
              <w:rPr>
                <w:snapToGrid w:val="0"/>
                <w:sz w:val="18"/>
              </w:rPr>
              <w:t>SO</w:t>
            </w:r>
            <w:r w:rsidRPr="00FD516E">
              <w:rPr>
                <w:snapToGrid w:val="0"/>
                <w:sz w:val="18"/>
                <w:vertAlign w:val="subscript"/>
              </w:rPr>
              <w:t>2</w:t>
            </w:r>
          </w:p>
        </w:tc>
        <w:tc>
          <w:tcPr>
            <w:tcW w:w="1071" w:type="dxa"/>
            <w:vAlign w:val="center"/>
          </w:tcPr>
          <w:p w14:paraId="26D1DF3F" w14:textId="77777777" w:rsidR="00D110E5" w:rsidRPr="00FD516E" w:rsidRDefault="00D110E5" w:rsidP="00D110E5">
            <w:pPr>
              <w:autoSpaceDE/>
              <w:autoSpaceDN/>
              <w:adjustRightInd/>
              <w:ind w:left="0" w:firstLine="0"/>
              <w:jc w:val="center"/>
              <w:rPr>
                <w:snapToGrid w:val="0"/>
                <w:sz w:val="18"/>
              </w:rPr>
            </w:pPr>
            <w:r w:rsidRPr="00FD516E">
              <w:rPr>
                <w:snapToGrid w:val="0"/>
                <w:sz w:val="18"/>
              </w:rPr>
              <w:t>3-hr</w:t>
            </w:r>
          </w:p>
        </w:tc>
        <w:tc>
          <w:tcPr>
            <w:tcW w:w="1351" w:type="dxa"/>
            <w:shd w:val="clear" w:color="auto" w:fill="auto"/>
            <w:vAlign w:val="center"/>
          </w:tcPr>
          <w:p w14:paraId="5C6E4389" w14:textId="77777777" w:rsidR="00D110E5" w:rsidRPr="00FD516E" w:rsidRDefault="00D110E5" w:rsidP="00D110E5">
            <w:pPr>
              <w:autoSpaceDE/>
              <w:autoSpaceDN/>
              <w:adjustRightInd/>
              <w:ind w:left="0" w:firstLine="0"/>
              <w:jc w:val="center"/>
              <w:rPr>
                <w:snapToGrid w:val="0"/>
                <w:sz w:val="18"/>
              </w:rPr>
            </w:pPr>
            <w:r w:rsidRPr="00FD516E">
              <w:rPr>
                <w:snapToGrid w:val="0"/>
                <w:sz w:val="18"/>
              </w:rPr>
              <w:t>103.3</w:t>
            </w:r>
          </w:p>
        </w:tc>
        <w:tc>
          <w:tcPr>
            <w:tcW w:w="1191" w:type="dxa"/>
            <w:shd w:val="clear" w:color="auto" w:fill="auto"/>
            <w:vAlign w:val="center"/>
          </w:tcPr>
          <w:p w14:paraId="0D21BBD5" w14:textId="77777777" w:rsidR="00D110E5" w:rsidRPr="00FD516E" w:rsidRDefault="00D110E5" w:rsidP="00D110E5">
            <w:pPr>
              <w:autoSpaceDE/>
              <w:autoSpaceDN/>
              <w:adjustRightInd/>
              <w:ind w:left="0" w:firstLine="0"/>
              <w:jc w:val="center"/>
              <w:rPr>
                <w:snapToGrid w:val="0"/>
                <w:sz w:val="18"/>
              </w:rPr>
            </w:pPr>
            <w:r w:rsidRPr="00FD516E">
              <w:rPr>
                <w:snapToGrid w:val="0"/>
                <w:sz w:val="18"/>
              </w:rPr>
              <w:t>512</w:t>
            </w:r>
          </w:p>
        </w:tc>
        <w:tc>
          <w:tcPr>
            <w:tcW w:w="1057" w:type="dxa"/>
            <w:shd w:val="clear" w:color="auto" w:fill="auto"/>
            <w:vAlign w:val="center"/>
          </w:tcPr>
          <w:p w14:paraId="622FA4C8" w14:textId="77777777" w:rsidR="00D110E5" w:rsidRPr="00FD516E" w:rsidRDefault="00D110E5" w:rsidP="00D110E5">
            <w:pPr>
              <w:autoSpaceDE/>
              <w:autoSpaceDN/>
              <w:adjustRightInd/>
              <w:ind w:left="0" w:firstLine="0"/>
              <w:jc w:val="center"/>
              <w:rPr>
                <w:snapToGrid w:val="0"/>
                <w:sz w:val="18"/>
              </w:rPr>
            </w:pPr>
            <w:r w:rsidRPr="00FD516E">
              <w:rPr>
                <w:snapToGrid w:val="0"/>
                <w:sz w:val="18"/>
              </w:rPr>
              <w:t>0</w:t>
            </w:r>
          </w:p>
        </w:tc>
        <w:tc>
          <w:tcPr>
            <w:tcW w:w="1057" w:type="dxa"/>
            <w:shd w:val="clear" w:color="auto" w:fill="auto"/>
            <w:vAlign w:val="center"/>
          </w:tcPr>
          <w:p w14:paraId="58D174A8" w14:textId="77777777" w:rsidR="00D110E5" w:rsidRPr="00FD516E" w:rsidRDefault="00D110E5" w:rsidP="00D110E5">
            <w:pPr>
              <w:autoSpaceDE/>
              <w:autoSpaceDN/>
              <w:adjustRightInd/>
              <w:ind w:left="0" w:firstLine="0"/>
              <w:jc w:val="center"/>
              <w:rPr>
                <w:snapToGrid w:val="0"/>
                <w:sz w:val="18"/>
              </w:rPr>
            </w:pPr>
            <w:r w:rsidRPr="00FD516E">
              <w:rPr>
                <w:snapToGrid w:val="0"/>
                <w:sz w:val="18"/>
              </w:rPr>
              <w:t>512</w:t>
            </w:r>
          </w:p>
        </w:tc>
        <w:tc>
          <w:tcPr>
            <w:tcW w:w="1036" w:type="dxa"/>
            <w:shd w:val="clear" w:color="auto" w:fill="auto"/>
            <w:vAlign w:val="center"/>
          </w:tcPr>
          <w:p w14:paraId="76752F5D" w14:textId="77777777" w:rsidR="00D110E5" w:rsidRPr="00FD516E" w:rsidRDefault="00D110E5" w:rsidP="00D110E5">
            <w:pPr>
              <w:autoSpaceDE/>
              <w:autoSpaceDN/>
              <w:adjustRightInd/>
              <w:ind w:left="0" w:firstLine="0"/>
              <w:jc w:val="center"/>
              <w:rPr>
                <w:snapToGrid w:val="0"/>
                <w:sz w:val="18"/>
              </w:rPr>
            </w:pPr>
            <w:r w:rsidRPr="00FD516E">
              <w:rPr>
                <w:snapToGrid w:val="0"/>
                <w:sz w:val="18"/>
              </w:rPr>
              <w:t>Yes</w:t>
            </w:r>
          </w:p>
        </w:tc>
      </w:tr>
    </w:tbl>
    <w:p w14:paraId="4D129A58" w14:textId="77777777" w:rsidR="005E20C5" w:rsidRPr="00FD516E" w:rsidRDefault="005E20C5" w:rsidP="00BF5A8D">
      <w:pPr>
        <w:rPr>
          <w:szCs w:val="22"/>
        </w:rPr>
      </w:pPr>
    </w:p>
    <w:p w14:paraId="46B1C5B2" w14:textId="77777777" w:rsidR="001919B1" w:rsidRPr="00FD516E" w:rsidRDefault="001919B1" w:rsidP="00BF5A8D">
      <w:pPr>
        <w:rPr>
          <w:szCs w:val="22"/>
        </w:rPr>
      </w:pPr>
    </w:p>
    <w:p w14:paraId="5DB7ED7F" w14:textId="77777777" w:rsidR="005E20C5" w:rsidRPr="00FD516E" w:rsidRDefault="005E20C5" w:rsidP="00BF5A8D">
      <w:pPr>
        <w:rPr>
          <w:b/>
          <w:szCs w:val="22"/>
        </w:rPr>
      </w:pPr>
      <w:r w:rsidRPr="00FD516E">
        <w:rPr>
          <w:b/>
          <w:szCs w:val="22"/>
        </w:rPr>
        <w:t>7.0</w:t>
      </w:r>
      <w:r w:rsidRPr="00FD516E">
        <w:rPr>
          <w:b/>
          <w:szCs w:val="22"/>
        </w:rPr>
        <w:tab/>
      </w:r>
      <w:r w:rsidRPr="00FD516E">
        <w:rPr>
          <w:b/>
          <w:szCs w:val="22"/>
        </w:rPr>
        <w:tab/>
        <w:t>HAZARDOUS AIR CONTAMINANTS</w:t>
      </w:r>
    </w:p>
    <w:p w14:paraId="741EFE92" w14:textId="77777777" w:rsidR="005E20C5" w:rsidRPr="00FD516E" w:rsidRDefault="005E20C5" w:rsidP="00777B9B">
      <w:pPr>
        <w:ind w:left="0" w:firstLine="0"/>
        <w:rPr>
          <w:rFonts w:cs="Arial"/>
          <w:szCs w:val="22"/>
        </w:rPr>
      </w:pPr>
    </w:p>
    <w:p w14:paraId="64191448" w14:textId="77777777" w:rsidR="005E20C5" w:rsidRPr="00FD516E" w:rsidRDefault="005E20C5" w:rsidP="005C17F5">
      <w:pPr>
        <w:ind w:left="720" w:firstLine="0"/>
        <w:rPr>
          <w:rFonts w:cs="Arial"/>
          <w:szCs w:val="22"/>
        </w:rPr>
      </w:pPr>
      <w:r w:rsidRPr="00FD516E">
        <w:rPr>
          <w:rFonts w:cs="Arial"/>
          <w:szCs w:val="22"/>
        </w:rPr>
        <w:t xml:space="preserve">Pursuant to §5-261 of the </w:t>
      </w:r>
      <w:r w:rsidRPr="00FD516E">
        <w:rPr>
          <w:rFonts w:cs="Arial"/>
          <w:i/>
          <w:iCs/>
          <w:szCs w:val="22"/>
        </w:rPr>
        <w:t>Regulations</w:t>
      </w:r>
      <w:r w:rsidRPr="00FD516E">
        <w:rPr>
          <w:rFonts w:cs="Arial"/>
          <w:szCs w:val="22"/>
        </w:rPr>
        <w:t>, any stationary source whose current or proposed actual emission rate of a hazardous air contaminant (“HAC”) is equal to or</w:t>
      </w:r>
      <w:r w:rsidR="009204EC" w:rsidRPr="00FD516E">
        <w:rPr>
          <w:rFonts w:cs="Arial"/>
          <w:szCs w:val="22"/>
        </w:rPr>
        <w:t xml:space="preserve"> greater than the respective Action Level (found in Appendix C of the </w:t>
      </w:r>
      <w:r w:rsidR="009204EC" w:rsidRPr="00FD516E">
        <w:rPr>
          <w:rFonts w:cs="Arial"/>
          <w:i/>
          <w:iCs/>
          <w:szCs w:val="22"/>
        </w:rPr>
        <w:t>Regulations</w:t>
      </w:r>
      <w:r w:rsidR="009204EC" w:rsidRPr="00FD516E">
        <w:rPr>
          <w:rFonts w:cs="Arial"/>
          <w:szCs w:val="22"/>
        </w:rPr>
        <w:t xml:space="preserve">) shall achieve the Hazardous Most Stringent Emission Rate ("HMSER") for the respective HAC.  </w:t>
      </w:r>
    </w:p>
    <w:p w14:paraId="312C0811" w14:textId="77777777" w:rsidR="005E20C5" w:rsidRPr="00FD516E" w:rsidRDefault="005E20C5" w:rsidP="005C17F5">
      <w:pPr>
        <w:ind w:left="0" w:firstLine="0"/>
        <w:rPr>
          <w:rFonts w:cs="Arial"/>
          <w:szCs w:val="22"/>
        </w:rPr>
      </w:pPr>
    </w:p>
    <w:p w14:paraId="6B640C85" w14:textId="0AB057B1" w:rsidR="004F0C87" w:rsidRPr="00FD516E" w:rsidRDefault="009204EC" w:rsidP="005C0511">
      <w:pPr>
        <w:ind w:left="720" w:firstLine="0"/>
        <w:rPr>
          <w:rFonts w:cs="Arial"/>
          <w:szCs w:val="22"/>
        </w:rPr>
      </w:pPr>
      <w:r w:rsidRPr="00FD516E">
        <w:rPr>
          <w:rFonts w:cs="Arial"/>
          <w:szCs w:val="22"/>
        </w:rPr>
        <w:t xml:space="preserve">The </w:t>
      </w:r>
      <w:r w:rsidR="003A1DFD" w:rsidRPr="00FD516E">
        <w:rPr>
          <w:rFonts w:cs="Arial"/>
          <w:szCs w:val="22"/>
        </w:rPr>
        <w:t xml:space="preserve">Facility </w:t>
      </w:r>
      <w:r w:rsidRPr="00FD516E">
        <w:rPr>
          <w:rFonts w:cs="Arial"/>
          <w:szCs w:val="22"/>
        </w:rPr>
        <w:t>is anticipated to have emissions of several hazardous air contaminants (HACs)</w:t>
      </w:r>
      <w:r w:rsidR="001919B1" w:rsidRPr="00FD516E">
        <w:rPr>
          <w:rFonts w:cs="Arial"/>
          <w:szCs w:val="22"/>
        </w:rPr>
        <w:t>.  Some HACS</w:t>
      </w:r>
      <w:r w:rsidR="00A20D2D" w:rsidRPr="00FD516E">
        <w:rPr>
          <w:rFonts w:cs="Arial"/>
          <w:szCs w:val="22"/>
        </w:rPr>
        <w:t xml:space="preserve"> are present as NMOCs in the LFG</w:t>
      </w:r>
      <w:r w:rsidR="001919B1" w:rsidRPr="00FD516E">
        <w:rPr>
          <w:rFonts w:cs="Arial"/>
          <w:szCs w:val="22"/>
        </w:rPr>
        <w:t>, and t</w:t>
      </w:r>
      <w:r w:rsidR="00A20D2D" w:rsidRPr="00FD516E">
        <w:rPr>
          <w:rFonts w:cs="Arial"/>
          <w:szCs w:val="22"/>
        </w:rPr>
        <w:t>hese HACS are emitted as fugitive emission from the Landfill</w:t>
      </w:r>
      <w:r w:rsidR="003A1DFD" w:rsidRPr="00FD516E">
        <w:rPr>
          <w:rFonts w:cs="Arial"/>
          <w:szCs w:val="22"/>
        </w:rPr>
        <w:t xml:space="preserve"> Operation</w:t>
      </w:r>
      <w:r w:rsidR="001919B1" w:rsidRPr="00FD516E">
        <w:rPr>
          <w:rFonts w:cs="Arial"/>
          <w:szCs w:val="22"/>
        </w:rPr>
        <w:t xml:space="preserve">.  Some </w:t>
      </w:r>
      <w:r w:rsidR="00A20D2D" w:rsidRPr="00FD516E">
        <w:rPr>
          <w:rFonts w:cs="Arial"/>
          <w:szCs w:val="22"/>
        </w:rPr>
        <w:t xml:space="preserve">fraction of these NMOCs are </w:t>
      </w:r>
      <w:r w:rsidR="001919B1" w:rsidRPr="00FD516E">
        <w:rPr>
          <w:rFonts w:cs="Arial"/>
          <w:szCs w:val="22"/>
        </w:rPr>
        <w:t xml:space="preserve">also </w:t>
      </w:r>
      <w:r w:rsidR="00A20D2D" w:rsidRPr="00FD516E">
        <w:rPr>
          <w:rFonts w:cs="Arial"/>
          <w:szCs w:val="22"/>
        </w:rPr>
        <w:t xml:space="preserve">emitted from the control devices (flares and </w:t>
      </w:r>
      <w:r w:rsidR="003A1DFD" w:rsidRPr="00FD516E">
        <w:rPr>
          <w:rFonts w:cs="Arial"/>
          <w:szCs w:val="22"/>
        </w:rPr>
        <w:t xml:space="preserve">CAT </w:t>
      </w:r>
      <w:r w:rsidR="00A20D2D" w:rsidRPr="00FD516E">
        <w:rPr>
          <w:rFonts w:cs="Arial"/>
          <w:szCs w:val="22"/>
        </w:rPr>
        <w:t>3520C engines) at the Facility, as these control d</w:t>
      </w:r>
      <w:r w:rsidR="00237DDB" w:rsidRPr="00FD516E">
        <w:rPr>
          <w:rFonts w:cs="Arial"/>
          <w:szCs w:val="22"/>
        </w:rPr>
        <w:t xml:space="preserve">evices </w:t>
      </w:r>
      <w:r w:rsidR="005121B9" w:rsidRPr="00FD516E">
        <w:rPr>
          <w:rFonts w:cs="Arial"/>
          <w:szCs w:val="22"/>
        </w:rPr>
        <w:t>are assumed to destroy approximately</w:t>
      </w:r>
      <w:r w:rsidR="00237DDB" w:rsidRPr="00FD516E">
        <w:rPr>
          <w:rFonts w:cs="Arial"/>
          <w:szCs w:val="22"/>
        </w:rPr>
        <w:t xml:space="preserve"> 98 percent of the NMOCs contained in </w:t>
      </w:r>
      <w:r w:rsidR="004F0C87" w:rsidRPr="00FD516E">
        <w:rPr>
          <w:rFonts w:cs="Arial"/>
          <w:szCs w:val="22"/>
        </w:rPr>
        <w:t xml:space="preserve">the </w:t>
      </w:r>
      <w:r w:rsidR="00237DDB" w:rsidRPr="00FD516E">
        <w:rPr>
          <w:rFonts w:cs="Arial"/>
          <w:szCs w:val="22"/>
        </w:rPr>
        <w:t xml:space="preserve">LFG.  </w:t>
      </w:r>
      <w:r w:rsidR="00C506AB" w:rsidRPr="00FD516E">
        <w:rPr>
          <w:rFonts w:cs="Arial"/>
          <w:szCs w:val="22"/>
        </w:rPr>
        <w:t xml:space="preserve">The estimated HACs emitted from the operation of the Facility, and </w:t>
      </w:r>
      <w:r w:rsidR="00C506AB" w:rsidRPr="00FD516E">
        <w:rPr>
          <w:rFonts w:cs="Arial"/>
          <w:szCs w:val="22"/>
        </w:rPr>
        <w:lastRenderedPageBreak/>
        <w:t>those HACs that were identified as having estimated emissions in excess of their respective Action Levels are presented in Table 7-1.</w:t>
      </w:r>
    </w:p>
    <w:p w14:paraId="7881C857" w14:textId="77777777" w:rsidR="004F0C87" w:rsidRPr="00FD516E" w:rsidRDefault="004F0C87" w:rsidP="004F0C87">
      <w:pPr>
        <w:ind w:left="0" w:firstLine="0"/>
        <w:rPr>
          <w:rFonts w:cs="Arial"/>
          <w:szCs w:val="22"/>
        </w:rPr>
      </w:pPr>
    </w:p>
    <w:p w14:paraId="454879C9" w14:textId="67C80908" w:rsidR="00144EEB" w:rsidRPr="00FD516E" w:rsidRDefault="004F0C87" w:rsidP="003409BD">
      <w:pPr>
        <w:ind w:left="720" w:firstLine="0"/>
        <w:rPr>
          <w:rFonts w:cs="Arial"/>
          <w:szCs w:val="22"/>
        </w:rPr>
      </w:pPr>
      <w:r w:rsidRPr="00FD516E">
        <w:rPr>
          <w:rFonts w:cs="Arial"/>
          <w:szCs w:val="22"/>
        </w:rPr>
        <w:t xml:space="preserve">The </w:t>
      </w:r>
      <w:r w:rsidR="003A1DFD" w:rsidRPr="00FD516E">
        <w:rPr>
          <w:rFonts w:cs="Arial"/>
          <w:szCs w:val="22"/>
        </w:rPr>
        <w:t xml:space="preserve">CAT </w:t>
      </w:r>
      <w:r w:rsidRPr="00FD516E">
        <w:rPr>
          <w:rFonts w:cs="Arial"/>
          <w:szCs w:val="22"/>
        </w:rPr>
        <w:t xml:space="preserve">3520C engines also create formaldehyde </w:t>
      </w:r>
      <w:r w:rsidR="00500E56" w:rsidRPr="00FD516E">
        <w:rPr>
          <w:rFonts w:cs="Arial"/>
          <w:szCs w:val="22"/>
        </w:rPr>
        <w:t xml:space="preserve">and acetaldehyde </w:t>
      </w:r>
      <w:r w:rsidRPr="00FD516E">
        <w:rPr>
          <w:rFonts w:cs="Arial"/>
          <w:szCs w:val="22"/>
        </w:rPr>
        <w:t xml:space="preserve">as a combustion byproduct. </w:t>
      </w:r>
      <w:r w:rsidR="008F0C61" w:rsidRPr="00FD516E">
        <w:rPr>
          <w:rFonts w:cs="Arial"/>
          <w:szCs w:val="22"/>
        </w:rPr>
        <w:t xml:space="preserve"> During the review for</w:t>
      </w:r>
      <w:r w:rsidRPr="00FD516E">
        <w:rPr>
          <w:rFonts w:cs="Arial"/>
          <w:szCs w:val="22"/>
        </w:rPr>
        <w:t xml:space="preserve"> </w:t>
      </w:r>
      <w:r w:rsidR="008F0C61" w:rsidRPr="00FD516E">
        <w:rPr>
          <w:rFonts w:cs="Arial"/>
          <w:szCs w:val="22"/>
          <w:vertAlign w:val="superscript"/>
        </w:rPr>
        <w:t>#</w:t>
      </w:r>
      <w:r w:rsidR="008F0C61" w:rsidRPr="00FD516E">
        <w:rPr>
          <w:rFonts w:cs="Arial"/>
          <w:szCs w:val="22"/>
        </w:rPr>
        <w:t xml:space="preserve">AOP-14-034 and </w:t>
      </w:r>
      <w:r w:rsidR="008F0C61" w:rsidRPr="00FD516E">
        <w:rPr>
          <w:rFonts w:cs="Arial"/>
          <w:szCs w:val="22"/>
          <w:vertAlign w:val="superscript"/>
        </w:rPr>
        <w:t>#</w:t>
      </w:r>
      <w:r w:rsidR="008F0C61" w:rsidRPr="00FD516E">
        <w:rPr>
          <w:rFonts w:cs="Arial"/>
          <w:szCs w:val="22"/>
        </w:rPr>
        <w:t xml:space="preserve">AOP-15-032, </w:t>
      </w:r>
      <w:r w:rsidR="007356CF" w:rsidRPr="00FD516E">
        <w:rPr>
          <w:rFonts w:cs="Arial"/>
          <w:szCs w:val="22"/>
        </w:rPr>
        <w:t xml:space="preserve">emissions </w:t>
      </w:r>
      <w:r w:rsidR="004C229C" w:rsidRPr="00FD516E">
        <w:rPr>
          <w:rFonts w:cs="Arial"/>
          <w:szCs w:val="22"/>
        </w:rPr>
        <w:t xml:space="preserve">of </w:t>
      </w:r>
      <w:r w:rsidR="00500E56" w:rsidRPr="00FD516E">
        <w:rPr>
          <w:rFonts w:cs="Arial"/>
          <w:szCs w:val="22"/>
        </w:rPr>
        <w:t xml:space="preserve">acetaldehyde were assumed to be negligible and emissions </w:t>
      </w:r>
      <w:r w:rsidR="007356CF" w:rsidRPr="00FD516E">
        <w:rPr>
          <w:rFonts w:cs="Arial"/>
          <w:szCs w:val="22"/>
        </w:rPr>
        <w:t>of formaldehyde were estimated based on a formaldehyde emission factor of 0.</w:t>
      </w:r>
      <w:r w:rsidR="00A653C1" w:rsidRPr="00FD516E">
        <w:rPr>
          <w:rFonts w:cs="Arial"/>
          <w:szCs w:val="22"/>
        </w:rPr>
        <w:t>164</w:t>
      </w:r>
      <w:r w:rsidR="007356CF" w:rsidRPr="00FD516E">
        <w:rPr>
          <w:rFonts w:cs="Arial"/>
          <w:szCs w:val="22"/>
        </w:rPr>
        <w:t xml:space="preserve"> g/bhp-hr </w:t>
      </w:r>
      <w:r w:rsidR="00A653C1" w:rsidRPr="00FD516E">
        <w:rPr>
          <w:rFonts w:cs="Arial"/>
          <w:szCs w:val="22"/>
        </w:rPr>
        <w:t>as discussed in Section 3.2.2</w:t>
      </w:r>
      <w:r w:rsidR="008F0C61" w:rsidRPr="00FD516E">
        <w:rPr>
          <w:rFonts w:cs="Arial"/>
          <w:szCs w:val="22"/>
        </w:rPr>
        <w:t xml:space="preserve"> of this document.  Emissions </w:t>
      </w:r>
      <w:r w:rsidR="003A1DFD" w:rsidRPr="00FD516E">
        <w:rPr>
          <w:rFonts w:cs="Arial"/>
          <w:szCs w:val="22"/>
        </w:rPr>
        <w:t xml:space="preserve">testing </w:t>
      </w:r>
      <w:r w:rsidR="008F0C61" w:rsidRPr="00FD516E">
        <w:rPr>
          <w:rFonts w:cs="Arial"/>
          <w:szCs w:val="22"/>
        </w:rPr>
        <w:t>was</w:t>
      </w:r>
      <w:r w:rsidR="003A1DFD" w:rsidRPr="00FD516E">
        <w:rPr>
          <w:rFonts w:cs="Arial"/>
          <w:szCs w:val="22"/>
        </w:rPr>
        <w:t xml:space="preserve"> performed at the </w:t>
      </w:r>
      <w:r w:rsidR="00EA1CCD" w:rsidRPr="00FD516E">
        <w:rPr>
          <w:rFonts w:cs="Arial"/>
          <w:szCs w:val="22"/>
        </w:rPr>
        <w:t>LFGTE Operation</w:t>
      </w:r>
      <w:r w:rsidR="008F0C61" w:rsidRPr="00FD516E">
        <w:rPr>
          <w:rFonts w:cs="Arial"/>
          <w:szCs w:val="22"/>
        </w:rPr>
        <w:t xml:space="preserve"> on </w:t>
      </w:r>
      <w:r w:rsidR="00A303B6" w:rsidRPr="00FD516E">
        <w:rPr>
          <w:rFonts w:cs="Arial"/>
          <w:szCs w:val="22"/>
        </w:rPr>
        <w:t>February 8</w:t>
      </w:r>
      <w:r w:rsidR="008F0C61" w:rsidRPr="00FD516E">
        <w:rPr>
          <w:rFonts w:cs="Arial"/>
          <w:szCs w:val="22"/>
        </w:rPr>
        <w:t>, 201</w:t>
      </w:r>
      <w:r w:rsidR="00A303B6" w:rsidRPr="00FD516E">
        <w:rPr>
          <w:rFonts w:cs="Arial"/>
          <w:szCs w:val="22"/>
        </w:rPr>
        <w:t>7</w:t>
      </w:r>
      <w:r w:rsidR="00EA1CCD" w:rsidRPr="00FD516E">
        <w:rPr>
          <w:rFonts w:cs="Arial"/>
          <w:szCs w:val="22"/>
        </w:rPr>
        <w:t xml:space="preserve"> </w:t>
      </w:r>
      <w:r w:rsidR="003A1DFD" w:rsidRPr="00FD516E">
        <w:rPr>
          <w:rFonts w:cs="Arial"/>
          <w:szCs w:val="22"/>
        </w:rPr>
        <w:t xml:space="preserve">to provide a site-specific emission factor </w:t>
      </w:r>
      <w:r w:rsidR="004A7C06" w:rsidRPr="00FD516E">
        <w:rPr>
          <w:rFonts w:cs="Arial"/>
          <w:szCs w:val="22"/>
        </w:rPr>
        <w:t xml:space="preserve">for </w:t>
      </w:r>
      <w:r w:rsidR="003A1DFD" w:rsidRPr="00FD516E">
        <w:rPr>
          <w:rFonts w:cs="Arial"/>
          <w:szCs w:val="22"/>
        </w:rPr>
        <w:t>VOC emissions</w:t>
      </w:r>
      <w:r w:rsidR="006E7A34" w:rsidRPr="00FD516E">
        <w:rPr>
          <w:rFonts w:cs="Arial"/>
          <w:szCs w:val="22"/>
        </w:rPr>
        <w:t>, including aldehydes,</w:t>
      </w:r>
      <w:r w:rsidR="003A1DFD" w:rsidRPr="00FD516E">
        <w:rPr>
          <w:rFonts w:cs="Arial"/>
          <w:szCs w:val="22"/>
        </w:rPr>
        <w:t xml:space="preserve"> from the CAT 3520C engines</w:t>
      </w:r>
      <w:r w:rsidR="007356CF" w:rsidRPr="00FD516E">
        <w:rPr>
          <w:rFonts w:cs="Arial"/>
          <w:szCs w:val="22"/>
        </w:rPr>
        <w:t xml:space="preserve">.  </w:t>
      </w:r>
      <w:r w:rsidR="0077365A" w:rsidRPr="00FD516E">
        <w:rPr>
          <w:rFonts w:cs="Arial"/>
          <w:szCs w:val="22"/>
        </w:rPr>
        <w:t xml:space="preserve">This stack testing indicated that the formaldehyde emission factor for these engines was approximately </w:t>
      </w:r>
      <w:r w:rsidR="00A303B6" w:rsidRPr="00FD516E">
        <w:rPr>
          <w:rFonts w:cs="Arial"/>
          <w:szCs w:val="22"/>
        </w:rPr>
        <w:t xml:space="preserve">0.302 g/bhp-hr, and the acetaldehyde emission factor was approximately 0.005 g/bhp-hr.  </w:t>
      </w:r>
    </w:p>
    <w:p w14:paraId="07465493" w14:textId="77777777" w:rsidR="00144EEB" w:rsidRPr="00FD516E" w:rsidRDefault="00144EEB" w:rsidP="00474261">
      <w:pPr>
        <w:ind w:left="0" w:firstLine="0"/>
        <w:rPr>
          <w:rFonts w:cs="Arial"/>
          <w:szCs w:val="22"/>
        </w:rPr>
      </w:pPr>
    </w:p>
    <w:p w14:paraId="156C8D04" w14:textId="6CC0A31A" w:rsidR="00C506AB" w:rsidRPr="00FD516E" w:rsidRDefault="004611FC" w:rsidP="003409BD">
      <w:pPr>
        <w:ind w:left="720" w:firstLine="0"/>
        <w:rPr>
          <w:rFonts w:cs="Arial"/>
          <w:szCs w:val="22"/>
        </w:rPr>
      </w:pPr>
      <w:r w:rsidRPr="00FD516E">
        <w:rPr>
          <w:rFonts w:cs="Arial"/>
          <w:szCs w:val="22"/>
        </w:rPr>
        <w:t>Another combustion byproduct is silicon dioxide (SiO</w:t>
      </w:r>
      <w:r w:rsidRPr="00FD516E">
        <w:rPr>
          <w:rFonts w:cs="Arial"/>
          <w:szCs w:val="22"/>
          <w:vertAlign w:val="subscript"/>
        </w:rPr>
        <w:t>2</w:t>
      </w:r>
      <w:r w:rsidRPr="00FD516E">
        <w:rPr>
          <w:rFonts w:cs="Arial"/>
          <w:szCs w:val="22"/>
        </w:rPr>
        <w:t xml:space="preserve">) that is emitted from the engines and flares from the combustion of siloxanes contained in the LFG.  </w:t>
      </w:r>
      <w:r w:rsidR="00C506AB" w:rsidRPr="00FD516E">
        <w:rPr>
          <w:rFonts w:cs="Arial"/>
          <w:szCs w:val="22"/>
        </w:rPr>
        <w:t>It is unclear at this time if the u</w:t>
      </w:r>
      <w:r w:rsidR="00C04E98" w:rsidRPr="00FD516E">
        <w:rPr>
          <w:rFonts w:cs="Arial"/>
          <w:szCs w:val="22"/>
        </w:rPr>
        <w:t>ncontrolled emissions of SiO</w:t>
      </w:r>
      <w:r w:rsidR="00C04E98" w:rsidRPr="00FD516E">
        <w:rPr>
          <w:rFonts w:cs="Arial"/>
          <w:szCs w:val="22"/>
          <w:vertAlign w:val="subscript"/>
        </w:rPr>
        <w:t>2</w:t>
      </w:r>
      <w:r w:rsidR="00C04E98" w:rsidRPr="00FD516E">
        <w:rPr>
          <w:rFonts w:cs="Arial"/>
          <w:szCs w:val="22"/>
        </w:rPr>
        <w:t xml:space="preserve"> </w:t>
      </w:r>
      <w:r w:rsidR="00C506AB" w:rsidRPr="00FD516E">
        <w:rPr>
          <w:rFonts w:cs="Arial"/>
          <w:szCs w:val="22"/>
        </w:rPr>
        <w:t>will</w:t>
      </w:r>
      <w:r w:rsidR="00C04E98" w:rsidRPr="00FD516E">
        <w:rPr>
          <w:rFonts w:cs="Arial"/>
          <w:szCs w:val="22"/>
        </w:rPr>
        <w:t xml:space="preserve"> exceed the Action Level</w:t>
      </w:r>
      <w:r w:rsidR="00C506AB" w:rsidRPr="00FD516E">
        <w:rPr>
          <w:rFonts w:cs="Arial"/>
          <w:szCs w:val="22"/>
        </w:rPr>
        <w:t>, as the</w:t>
      </w:r>
      <w:r w:rsidR="006A7161" w:rsidRPr="00FD516E">
        <w:rPr>
          <w:rFonts w:cs="Arial"/>
          <w:szCs w:val="22"/>
        </w:rPr>
        <w:t xml:space="preserve"> crystallographic structure and particle size of SiO</w:t>
      </w:r>
      <w:r w:rsidR="006A7161" w:rsidRPr="00FD516E">
        <w:rPr>
          <w:rFonts w:cs="Arial"/>
          <w:szCs w:val="22"/>
          <w:vertAlign w:val="subscript"/>
        </w:rPr>
        <w:t>2</w:t>
      </w:r>
      <w:r w:rsidR="006A7161" w:rsidRPr="00FD516E">
        <w:rPr>
          <w:rFonts w:cs="Arial"/>
          <w:szCs w:val="22"/>
        </w:rPr>
        <w:t xml:space="preserve"> </w:t>
      </w:r>
      <w:r w:rsidR="000E2192" w:rsidRPr="00FD516E">
        <w:rPr>
          <w:rFonts w:cs="Arial"/>
          <w:szCs w:val="22"/>
        </w:rPr>
        <w:t xml:space="preserve">particles </w:t>
      </w:r>
      <w:r w:rsidR="006A7161" w:rsidRPr="00FD516E">
        <w:rPr>
          <w:rFonts w:cs="Arial"/>
          <w:szCs w:val="22"/>
        </w:rPr>
        <w:t>affect</w:t>
      </w:r>
      <w:r w:rsidR="000F5E3F" w:rsidRPr="00FD516E">
        <w:rPr>
          <w:rFonts w:cs="Arial"/>
          <w:szCs w:val="22"/>
        </w:rPr>
        <w:t>s</w:t>
      </w:r>
      <w:r w:rsidR="006A7161" w:rsidRPr="00FD516E">
        <w:rPr>
          <w:rFonts w:cs="Arial"/>
          <w:szCs w:val="22"/>
        </w:rPr>
        <w:t xml:space="preserve"> </w:t>
      </w:r>
      <w:r w:rsidR="000E2192" w:rsidRPr="00FD516E">
        <w:rPr>
          <w:rFonts w:cs="Arial"/>
          <w:szCs w:val="22"/>
        </w:rPr>
        <w:t>their toxicity</w:t>
      </w:r>
      <w:r w:rsidR="00C04E98" w:rsidRPr="00FD516E">
        <w:rPr>
          <w:rFonts w:cs="Arial"/>
          <w:szCs w:val="22"/>
        </w:rPr>
        <w:t xml:space="preserve">.  </w:t>
      </w:r>
      <w:r w:rsidR="000E2192" w:rsidRPr="00FD516E">
        <w:rPr>
          <w:rFonts w:cs="Arial"/>
          <w:szCs w:val="22"/>
        </w:rPr>
        <w:t>If the SiO</w:t>
      </w:r>
      <w:r w:rsidR="000E2192" w:rsidRPr="00FD516E">
        <w:rPr>
          <w:rFonts w:cs="Arial"/>
          <w:szCs w:val="22"/>
          <w:vertAlign w:val="subscript"/>
        </w:rPr>
        <w:t>2</w:t>
      </w:r>
      <w:r w:rsidR="000E2192" w:rsidRPr="00FD516E">
        <w:rPr>
          <w:rFonts w:cs="Arial"/>
          <w:szCs w:val="22"/>
        </w:rPr>
        <w:t xml:space="preserve"> particles are crystalline silica </w:t>
      </w:r>
      <w:r w:rsidR="009909B5" w:rsidRPr="00FD516E">
        <w:rPr>
          <w:rFonts w:cs="Arial"/>
          <w:szCs w:val="22"/>
        </w:rPr>
        <w:t xml:space="preserve">(CAS # 14808-60-7) </w:t>
      </w:r>
      <w:r w:rsidR="000E2192" w:rsidRPr="00FD516E">
        <w:rPr>
          <w:rFonts w:cs="Arial"/>
          <w:szCs w:val="22"/>
        </w:rPr>
        <w:t xml:space="preserve">or </w:t>
      </w:r>
      <w:r w:rsidR="009909B5" w:rsidRPr="00FD516E">
        <w:rPr>
          <w:rFonts w:cs="Arial"/>
          <w:szCs w:val="22"/>
        </w:rPr>
        <w:t>fused silica (CAS # 60676-86-0)</w:t>
      </w:r>
      <w:r w:rsidR="000E2192" w:rsidRPr="00FD516E">
        <w:rPr>
          <w:rFonts w:cs="Arial"/>
          <w:szCs w:val="22"/>
        </w:rPr>
        <w:t xml:space="preserve">, then estimated </w:t>
      </w:r>
      <w:r w:rsidR="000F5E3F" w:rsidRPr="00FD516E">
        <w:rPr>
          <w:rFonts w:cs="Arial"/>
          <w:szCs w:val="22"/>
        </w:rPr>
        <w:t>SiO</w:t>
      </w:r>
      <w:r w:rsidR="000F5E3F" w:rsidRPr="00FD516E">
        <w:rPr>
          <w:rFonts w:cs="Arial"/>
          <w:szCs w:val="22"/>
          <w:vertAlign w:val="subscript"/>
        </w:rPr>
        <w:t>2</w:t>
      </w:r>
      <w:r w:rsidR="000F5E3F" w:rsidRPr="00FD516E">
        <w:rPr>
          <w:rFonts w:cs="Arial"/>
          <w:szCs w:val="22"/>
        </w:rPr>
        <w:t xml:space="preserve"> </w:t>
      </w:r>
      <w:r w:rsidR="000E2192" w:rsidRPr="00FD516E">
        <w:rPr>
          <w:rFonts w:cs="Arial"/>
          <w:szCs w:val="22"/>
        </w:rPr>
        <w:t xml:space="preserve">emissions </w:t>
      </w:r>
      <w:r w:rsidR="000F5E3F" w:rsidRPr="00FD516E">
        <w:rPr>
          <w:rFonts w:cs="Arial"/>
          <w:szCs w:val="22"/>
        </w:rPr>
        <w:t>likely</w:t>
      </w:r>
      <w:r w:rsidR="000E2192" w:rsidRPr="00FD516E">
        <w:rPr>
          <w:rFonts w:cs="Arial"/>
          <w:szCs w:val="22"/>
        </w:rPr>
        <w:t xml:space="preserve"> will exceed the AL</w:t>
      </w:r>
      <w:r w:rsidR="009909B5" w:rsidRPr="00FD516E">
        <w:rPr>
          <w:rFonts w:cs="Arial"/>
          <w:szCs w:val="22"/>
        </w:rPr>
        <w:t xml:space="preserve">s for these </w:t>
      </w:r>
      <w:r w:rsidR="000F5E3F" w:rsidRPr="00FD516E">
        <w:rPr>
          <w:rFonts w:cs="Arial"/>
          <w:szCs w:val="22"/>
        </w:rPr>
        <w:t>forms of SiO</w:t>
      </w:r>
      <w:r w:rsidR="000F5E3F" w:rsidRPr="00FD516E">
        <w:rPr>
          <w:rFonts w:cs="Arial"/>
          <w:szCs w:val="22"/>
          <w:vertAlign w:val="subscript"/>
        </w:rPr>
        <w:t>2</w:t>
      </w:r>
      <w:r w:rsidR="009909B5" w:rsidRPr="00FD516E">
        <w:rPr>
          <w:rFonts w:cs="Arial"/>
          <w:szCs w:val="22"/>
        </w:rPr>
        <w:t xml:space="preserve">, which are 0.010 lb/8-hr and 0.007 lb-8 hr respectively </w:t>
      </w:r>
      <w:r w:rsidR="000E2192" w:rsidRPr="00FD516E">
        <w:rPr>
          <w:rFonts w:cs="Arial"/>
          <w:szCs w:val="22"/>
        </w:rPr>
        <w:t>.  If the SiO</w:t>
      </w:r>
      <w:r w:rsidR="000E2192" w:rsidRPr="00FD516E">
        <w:rPr>
          <w:rFonts w:cs="Arial"/>
          <w:szCs w:val="22"/>
          <w:vertAlign w:val="subscript"/>
        </w:rPr>
        <w:t>2</w:t>
      </w:r>
      <w:r w:rsidR="000E2192" w:rsidRPr="00FD516E">
        <w:rPr>
          <w:rFonts w:cs="Arial"/>
          <w:szCs w:val="22"/>
        </w:rPr>
        <w:t xml:space="preserve"> particles are amorphous silica</w:t>
      </w:r>
      <w:r w:rsidR="009909B5" w:rsidRPr="00FD516E">
        <w:rPr>
          <w:rFonts w:cs="Arial"/>
          <w:szCs w:val="22"/>
        </w:rPr>
        <w:t xml:space="preserve"> (CAS # 61790-53-2)</w:t>
      </w:r>
      <w:r w:rsidR="000E2192" w:rsidRPr="00FD516E">
        <w:rPr>
          <w:rFonts w:cs="Arial"/>
          <w:szCs w:val="22"/>
        </w:rPr>
        <w:t>, it is likely that SiO</w:t>
      </w:r>
      <w:r w:rsidR="000E2192" w:rsidRPr="00FD516E">
        <w:rPr>
          <w:rFonts w:cs="Arial"/>
          <w:szCs w:val="22"/>
          <w:vertAlign w:val="subscript"/>
        </w:rPr>
        <w:t>2</w:t>
      </w:r>
      <w:r w:rsidR="000E2192" w:rsidRPr="00FD516E">
        <w:rPr>
          <w:rFonts w:cs="Arial"/>
          <w:szCs w:val="22"/>
        </w:rPr>
        <w:t xml:space="preserve"> emissions will remain below the AL</w:t>
      </w:r>
      <w:r w:rsidR="009909B5" w:rsidRPr="00FD516E">
        <w:rPr>
          <w:rFonts w:cs="Arial"/>
          <w:szCs w:val="22"/>
        </w:rPr>
        <w:t xml:space="preserve"> of </w:t>
      </w:r>
      <w:r w:rsidR="000F5E3F" w:rsidRPr="00FD516E">
        <w:rPr>
          <w:rFonts w:cs="Arial"/>
          <w:szCs w:val="22"/>
        </w:rPr>
        <w:t>2.0 lb/8 hr</w:t>
      </w:r>
      <w:r w:rsidR="000E2192" w:rsidRPr="00FD516E">
        <w:rPr>
          <w:rFonts w:cs="Arial"/>
          <w:szCs w:val="22"/>
        </w:rPr>
        <w:t xml:space="preserve">.  </w:t>
      </w:r>
      <w:r w:rsidR="002F7B29" w:rsidRPr="00FD516E">
        <w:rPr>
          <w:rFonts w:cs="Arial"/>
          <w:szCs w:val="22"/>
        </w:rPr>
        <w:t xml:space="preserve">A condition </w:t>
      </w:r>
      <w:r w:rsidR="008F0C61" w:rsidRPr="00FD516E">
        <w:rPr>
          <w:rFonts w:cs="Arial"/>
          <w:szCs w:val="22"/>
        </w:rPr>
        <w:t>was included in</w:t>
      </w:r>
      <w:r w:rsidR="002F7B29" w:rsidRPr="00FD516E">
        <w:rPr>
          <w:rFonts w:cs="Arial"/>
          <w:szCs w:val="22"/>
        </w:rPr>
        <w:t xml:space="preserve"> the PM testing for the </w:t>
      </w:r>
      <w:r w:rsidR="00EA1CCD" w:rsidRPr="00FD516E">
        <w:rPr>
          <w:rFonts w:cs="Arial"/>
          <w:szCs w:val="22"/>
        </w:rPr>
        <w:t xml:space="preserve">CAT 3520C </w:t>
      </w:r>
      <w:r w:rsidR="002F7B29" w:rsidRPr="00FD516E">
        <w:rPr>
          <w:rFonts w:cs="Arial"/>
          <w:szCs w:val="22"/>
        </w:rPr>
        <w:t xml:space="preserve">engines at the </w:t>
      </w:r>
      <w:r w:rsidR="00EA1CCD" w:rsidRPr="00FD516E">
        <w:rPr>
          <w:rFonts w:cs="Arial"/>
          <w:szCs w:val="22"/>
        </w:rPr>
        <w:t xml:space="preserve">LFGTE Operation </w:t>
      </w:r>
      <w:r w:rsidR="008F0C61" w:rsidRPr="00FD516E">
        <w:rPr>
          <w:rFonts w:cs="Arial"/>
          <w:szCs w:val="22"/>
        </w:rPr>
        <w:t xml:space="preserve">as part of </w:t>
      </w:r>
      <w:r w:rsidR="008F0C61" w:rsidRPr="00FD516E">
        <w:rPr>
          <w:rFonts w:cs="Arial"/>
          <w:szCs w:val="22"/>
          <w:vertAlign w:val="superscript"/>
        </w:rPr>
        <w:t>#</w:t>
      </w:r>
      <w:r w:rsidR="008F0C61" w:rsidRPr="00FD516E">
        <w:rPr>
          <w:rFonts w:cs="Arial"/>
          <w:szCs w:val="22"/>
        </w:rPr>
        <w:t xml:space="preserve">AOP-15-032 </w:t>
      </w:r>
      <w:r w:rsidR="002F7B29" w:rsidRPr="00FD516E">
        <w:rPr>
          <w:rFonts w:cs="Arial"/>
          <w:szCs w:val="22"/>
        </w:rPr>
        <w:t xml:space="preserve">to evaluate the composition of PM found in the exhaust from the CAT 3520C engines to provide further insight into the particle composition emitted from these engines.  </w:t>
      </w:r>
      <w:r w:rsidR="008F0C61" w:rsidRPr="00FD516E">
        <w:rPr>
          <w:rFonts w:cs="Arial"/>
          <w:szCs w:val="22"/>
        </w:rPr>
        <w:t xml:space="preserve">It was not </w:t>
      </w:r>
      <w:r w:rsidR="00133B3D">
        <w:rPr>
          <w:rFonts w:cs="Arial"/>
          <w:szCs w:val="22"/>
        </w:rPr>
        <w:t>practicable</w:t>
      </w:r>
      <w:r w:rsidR="008F0C61" w:rsidRPr="00FD516E">
        <w:rPr>
          <w:rFonts w:cs="Arial"/>
          <w:szCs w:val="22"/>
        </w:rPr>
        <w:t xml:space="preserve"> to perform this testing, due to physical limitations associated with the stack geometry at the LFGTE operation.  </w:t>
      </w:r>
    </w:p>
    <w:p w14:paraId="13BA54F4" w14:textId="77777777" w:rsidR="00C506AB" w:rsidRPr="00FD516E" w:rsidRDefault="00C506AB" w:rsidP="00C506AB">
      <w:pPr>
        <w:ind w:left="0" w:firstLine="0"/>
        <w:rPr>
          <w:rFonts w:cs="Arial"/>
          <w:szCs w:val="22"/>
        </w:rPr>
      </w:pPr>
    </w:p>
    <w:p w14:paraId="30273BCF" w14:textId="23A989BA" w:rsidR="00144EEB" w:rsidRPr="009F5E32" w:rsidRDefault="00C04E98" w:rsidP="003409BD">
      <w:pPr>
        <w:ind w:left="720" w:firstLine="0"/>
        <w:rPr>
          <w:rFonts w:cs="Arial"/>
          <w:szCs w:val="22"/>
        </w:rPr>
      </w:pPr>
      <w:r w:rsidRPr="00FD516E">
        <w:rPr>
          <w:rFonts w:cs="Arial"/>
          <w:szCs w:val="22"/>
        </w:rPr>
        <w:t>Emissions of SiO</w:t>
      </w:r>
      <w:r w:rsidRPr="00FD516E">
        <w:rPr>
          <w:rFonts w:cs="Arial"/>
          <w:szCs w:val="22"/>
          <w:vertAlign w:val="subscript"/>
        </w:rPr>
        <w:t>2</w:t>
      </w:r>
      <w:r w:rsidRPr="00FD516E">
        <w:rPr>
          <w:rFonts w:cs="Arial"/>
          <w:szCs w:val="22"/>
        </w:rPr>
        <w:t xml:space="preserve"> from the </w:t>
      </w:r>
      <w:r w:rsidR="002D0237" w:rsidRPr="00FD516E">
        <w:rPr>
          <w:rFonts w:cs="Arial"/>
          <w:szCs w:val="22"/>
        </w:rPr>
        <w:t xml:space="preserve">CAT </w:t>
      </w:r>
      <w:r w:rsidRPr="00FD516E">
        <w:rPr>
          <w:rFonts w:cs="Arial"/>
          <w:szCs w:val="22"/>
        </w:rPr>
        <w:t xml:space="preserve">3520C LE engines and/or flares may be controlled by removing the siloxanes from the LFG </w:t>
      </w:r>
      <w:r w:rsidR="000F5E3F" w:rsidRPr="00FD516E">
        <w:rPr>
          <w:rFonts w:cs="Arial"/>
          <w:szCs w:val="22"/>
        </w:rPr>
        <w:t xml:space="preserve">with the SRS </w:t>
      </w:r>
      <w:r w:rsidRPr="00FD516E">
        <w:rPr>
          <w:rFonts w:cs="Arial"/>
          <w:szCs w:val="22"/>
        </w:rPr>
        <w:t>before combusti</w:t>
      </w:r>
      <w:r w:rsidR="000F5E3F" w:rsidRPr="00FD516E">
        <w:rPr>
          <w:rFonts w:cs="Arial"/>
          <w:szCs w:val="22"/>
        </w:rPr>
        <w:t>ng the LFG</w:t>
      </w:r>
      <w:r w:rsidRPr="00FD516E">
        <w:rPr>
          <w:rFonts w:cs="Arial"/>
          <w:szCs w:val="22"/>
        </w:rPr>
        <w:t>.  The siloxanes removed from the LFG will include some percentage of H</w:t>
      </w:r>
      <w:r w:rsidRPr="00FD516E">
        <w:rPr>
          <w:rFonts w:cs="Arial"/>
          <w:szCs w:val="22"/>
          <w:vertAlign w:val="subscript"/>
        </w:rPr>
        <w:t>2</w:t>
      </w:r>
      <w:r w:rsidRPr="00FD516E">
        <w:rPr>
          <w:rFonts w:cs="Arial"/>
          <w:szCs w:val="22"/>
        </w:rPr>
        <w:t>S and other NMOCs, and this gas mixture will</w:t>
      </w:r>
      <w:r w:rsidR="00144EEB" w:rsidRPr="00FD516E">
        <w:rPr>
          <w:rFonts w:cs="Arial"/>
          <w:szCs w:val="22"/>
        </w:rPr>
        <w:t>.</w:t>
      </w:r>
      <w:r w:rsidRPr="00FD516E">
        <w:rPr>
          <w:rFonts w:cs="Arial"/>
          <w:szCs w:val="22"/>
        </w:rPr>
        <w:t>be flared to provide for destruction of the H</w:t>
      </w:r>
      <w:r w:rsidRPr="00FD516E">
        <w:rPr>
          <w:rFonts w:cs="Arial"/>
          <w:szCs w:val="22"/>
          <w:vertAlign w:val="subscript"/>
        </w:rPr>
        <w:t>2</w:t>
      </w:r>
      <w:r w:rsidRPr="00FD516E">
        <w:rPr>
          <w:rFonts w:cs="Arial"/>
          <w:szCs w:val="22"/>
        </w:rPr>
        <w:t xml:space="preserve">S and other NMOCs.  </w:t>
      </w:r>
      <w:r w:rsidR="006A7161" w:rsidRPr="00FD516E">
        <w:rPr>
          <w:rFonts w:cs="Arial"/>
          <w:szCs w:val="22"/>
        </w:rPr>
        <w:t>Unfortunately, flaring of the offgas from the SRS will also result in the formation of SiO</w:t>
      </w:r>
      <w:r w:rsidR="006A7161" w:rsidRPr="00FD516E">
        <w:rPr>
          <w:rFonts w:cs="Arial"/>
          <w:szCs w:val="22"/>
          <w:vertAlign w:val="subscript"/>
        </w:rPr>
        <w:t xml:space="preserve">2 </w:t>
      </w:r>
      <w:r w:rsidR="006A7161" w:rsidRPr="00FD516E">
        <w:rPr>
          <w:rFonts w:cs="Arial"/>
          <w:szCs w:val="22"/>
        </w:rPr>
        <w:t>particles</w:t>
      </w:r>
      <w:r w:rsidR="000F5E3F" w:rsidRPr="00FD516E">
        <w:rPr>
          <w:rFonts w:cs="Arial"/>
          <w:szCs w:val="22"/>
        </w:rPr>
        <w:t>, and it is unlikely that there will be any reduction in the emission of SiO</w:t>
      </w:r>
      <w:r w:rsidR="000F5E3F" w:rsidRPr="00FD516E">
        <w:rPr>
          <w:rFonts w:cs="Arial"/>
          <w:szCs w:val="22"/>
          <w:vertAlign w:val="subscript"/>
        </w:rPr>
        <w:t>2</w:t>
      </w:r>
      <w:r w:rsidR="000F5E3F" w:rsidRPr="00FD516E">
        <w:rPr>
          <w:rFonts w:cs="Arial"/>
          <w:szCs w:val="22"/>
        </w:rPr>
        <w:t xml:space="preserve"> particles </w:t>
      </w:r>
      <w:r w:rsidR="00EC6791" w:rsidRPr="00FD516E">
        <w:rPr>
          <w:rFonts w:cs="Arial"/>
          <w:szCs w:val="22"/>
        </w:rPr>
        <w:t xml:space="preserve">with the installation and </w:t>
      </w:r>
      <w:r w:rsidR="000F5E3F" w:rsidRPr="00FD516E">
        <w:rPr>
          <w:rFonts w:cs="Arial"/>
          <w:szCs w:val="22"/>
        </w:rPr>
        <w:t>operation of the SRS</w:t>
      </w:r>
      <w:r w:rsidR="006A7161" w:rsidRPr="009F5E32">
        <w:rPr>
          <w:rFonts w:cs="Arial"/>
          <w:szCs w:val="22"/>
        </w:rPr>
        <w:t xml:space="preserve">  </w:t>
      </w:r>
    </w:p>
    <w:p w14:paraId="6C2E34B6" w14:textId="77777777" w:rsidR="00144EEB" w:rsidRPr="009F5E32" w:rsidRDefault="00144EEB" w:rsidP="00474261">
      <w:pPr>
        <w:ind w:left="0" w:firstLine="0"/>
        <w:rPr>
          <w:rFonts w:cs="Arial"/>
          <w:szCs w:val="22"/>
        </w:rPr>
      </w:pPr>
    </w:p>
    <w:p w14:paraId="0AB4AC22" w14:textId="0874E372" w:rsidR="00BB09B9" w:rsidRPr="009F5E32" w:rsidRDefault="00A653C1" w:rsidP="003409BD">
      <w:pPr>
        <w:ind w:left="720" w:firstLine="0"/>
        <w:rPr>
          <w:rFonts w:cs="Arial"/>
          <w:szCs w:val="22"/>
        </w:rPr>
        <w:sectPr w:rsidR="00BB09B9" w:rsidRPr="009F5E32" w:rsidSect="00F47C3B">
          <w:footnotePr>
            <w:numRestart w:val="eachSect"/>
          </w:footnotePr>
          <w:endnotePr>
            <w:numFmt w:val="decimal"/>
          </w:endnotePr>
          <w:pgSz w:w="12240" w:h="15840"/>
          <w:pgMar w:top="1440" w:right="1440" w:bottom="1440" w:left="1440" w:header="1440" w:footer="720" w:gutter="0"/>
          <w:cols w:space="720"/>
          <w:noEndnote/>
          <w:docGrid w:linePitch="360"/>
        </w:sectPr>
      </w:pPr>
      <w:r w:rsidRPr="009F5E32">
        <w:rPr>
          <w:rFonts w:cs="Arial"/>
          <w:szCs w:val="22"/>
        </w:rPr>
        <w:t xml:space="preserve"> </w:t>
      </w:r>
      <w:r w:rsidR="007356CF" w:rsidRPr="009F5E32">
        <w:rPr>
          <w:rFonts w:cs="Arial"/>
          <w:szCs w:val="22"/>
        </w:rPr>
        <w:t xml:space="preserve"> </w:t>
      </w:r>
    </w:p>
    <w:tbl>
      <w:tblPr>
        <w:tblW w:w="13104" w:type="dxa"/>
        <w:tblInd w:w="864" w:type="dxa"/>
        <w:tblLayout w:type="fixed"/>
        <w:tblLook w:val="04A0" w:firstRow="1" w:lastRow="0" w:firstColumn="1" w:lastColumn="0" w:noHBand="0" w:noVBand="1"/>
      </w:tblPr>
      <w:tblGrid>
        <w:gridCol w:w="2124"/>
        <w:gridCol w:w="630"/>
        <w:gridCol w:w="630"/>
        <w:gridCol w:w="630"/>
        <w:gridCol w:w="3330"/>
        <w:gridCol w:w="900"/>
        <w:gridCol w:w="990"/>
        <w:gridCol w:w="810"/>
        <w:gridCol w:w="1080"/>
        <w:gridCol w:w="990"/>
        <w:gridCol w:w="990"/>
      </w:tblGrid>
      <w:tr w:rsidR="00F0283E" w:rsidRPr="009F5E32" w14:paraId="37734D76" w14:textId="77777777" w:rsidTr="003529CF">
        <w:trPr>
          <w:cantSplit/>
          <w:trHeight w:val="225"/>
        </w:trPr>
        <w:tc>
          <w:tcPr>
            <w:tcW w:w="13104" w:type="dxa"/>
            <w:gridSpan w:val="11"/>
            <w:tcBorders>
              <w:top w:val="double" w:sz="4" w:space="0" w:color="auto"/>
              <w:left w:val="double" w:sz="4" w:space="0" w:color="auto"/>
              <w:bottom w:val="nil"/>
              <w:right w:val="double" w:sz="4" w:space="0" w:color="auto"/>
            </w:tcBorders>
            <w:shd w:val="clear" w:color="auto" w:fill="auto"/>
            <w:vAlign w:val="bottom"/>
            <w:hideMark/>
          </w:tcPr>
          <w:p w14:paraId="79E3E91F" w14:textId="0F5DB146" w:rsidR="00F0283E" w:rsidRPr="009F5E32" w:rsidRDefault="00BD6F6B" w:rsidP="00F0283E">
            <w:pPr>
              <w:widowControl/>
              <w:autoSpaceDE/>
              <w:autoSpaceDN/>
              <w:adjustRightInd/>
              <w:ind w:left="0" w:firstLine="0"/>
              <w:jc w:val="center"/>
              <w:rPr>
                <w:rFonts w:cs="Arial"/>
                <w:b/>
                <w:color w:val="000000"/>
                <w:sz w:val="20"/>
              </w:rPr>
            </w:pPr>
            <w:r w:rsidRPr="009F5E32">
              <w:rPr>
                <w:rFonts w:cs="Arial"/>
                <w:b/>
                <w:color w:val="000000"/>
                <w:sz w:val="20"/>
              </w:rPr>
              <w:lastRenderedPageBreak/>
              <w:t xml:space="preserve">Table 7-1 </w:t>
            </w:r>
            <w:r w:rsidR="00F0283E" w:rsidRPr="009F5E32">
              <w:rPr>
                <w:rFonts w:cs="Arial"/>
                <w:b/>
                <w:color w:val="000000"/>
                <w:sz w:val="20"/>
              </w:rPr>
              <w:t>HAC Emissions from Facility Operation</w:t>
            </w:r>
          </w:p>
        </w:tc>
      </w:tr>
      <w:tr w:rsidR="005E2B67" w:rsidRPr="009F5E32" w14:paraId="7A67C73E" w14:textId="77777777" w:rsidTr="003529CF">
        <w:trPr>
          <w:cantSplit/>
          <w:trHeight w:val="480"/>
        </w:trPr>
        <w:tc>
          <w:tcPr>
            <w:tcW w:w="7344" w:type="dxa"/>
            <w:gridSpan w:val="5"/>
            <w:vMerge w:val="restart"/>
            <w:tcBorders>
              <w:top w:val="single" w:sz="4" w:space="0" w:color="auto"/>
              <w:left w:val="double" w:sz="4" w:space="0" w:color="auto"/>
              <w:right w:val="single" w:sz="4" w:space="0" w:color="auto"/>
            </w:tcBorders>
            <w:shd w:val="clear" w:color="auto" w:fill="auto"/>
            <w:vAlign w:val="center"/>
            <w:hideMark/>
          </w:tcPr>
          <w:p w14:paraId="5D6F83CD" w14:textId="77777777" w:rsidR="00F0283E" w:rsidRPr="009F5E32" w:rsidRDefault="00F0283E" w:rsidP="00F0283E">
            <w:pPr>
              <w:widowControl/>
              <w:autoSpaceDE/>
              <w:autoSpaceDN/>
              <w:adjustRightInd/>
              <w:ind w:left="0" w:firstLine="0"/>
              <w:jc w:val="left"/>
              <w:rPr>
                <w:rFonts w:cs="Arial"/>
                <w:color w:val="000000"/>
                <w:sz w:val="16"/>
                <w:szCs w:val="16"/>
              </w:rPr>
            </w:pPr>
            <w:r w:rsidRPr="009F5E32">
              <w:rPr>
                <w:rFonts w:cs="Arial"/>
                <w:b/>
                <w:bCs/>
                <w:sz w:val="16"/>
                <w:szCs w:val="16"/>
              </w:rPr>
              <w:t>Parameter</w:t>
            </w:r>
          </w:p>
        </w:tc>
        <w:tc>
          <w:tcPr>
            <w:tcW w:w="2700"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14:paraId="1A204ACF" w14:textId="312868A9" w:rsidR="00F0283E" w:rsidRPr="009F5E32" w:rsidRDefault="00F0283E" w:rsidP="005E2B67">
            <w:pPr>
              <w:widowControl/>
              <w:autoSpaceDE/>
              <w:autoSpaceDN/>
              <w:adjustRightInd/>
              <w:ind w:left="0" w:firstLine="0"/>
              <w:jc w:val="center"/>
              <w:rPr>
                <w:rFonts w:cs="Arial"/>
                <w:b/>
                <w:bCs/>
                <w:sz w:val="14"/>
                <w:szCs w:val="14"/>
              </w:rPr>
            </w:pPr>
            <w:r w:rsidRPr="009F5E32">
              <w:rPr>
                <w:rFonts w:cs="Arial"/>
                <w:b/>
                <w:bCs/>
                <w:sz w:val="14"/>
                <w:szCs w:val="14"/>
              </w:rPr>
              <w:t>Total Emissions (Fugitive + One Flare + All Engines)</w:t>
            </w:r>
          </w:p>
        </w:tc>
        <w:tc>
          <w:tcPr>
            <w:tcW w:w="1080"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63E299EC" w14:textId="77777777" w:rsidR="00F0283E" w:rsidRPr="009F5E32" w:rsidRDefault="00F0283E" w:rsidP="00F0283E">
            <w:pPr>
              <w:widowControl/>
              <w:autoSpaceDE/>
              <w:autoSpaceDN/>
              <w:adjustRightInd/>
              <w:ind w:left="0" w:firstLine="0"/>
              <w:jc w:val="center"/>
              <w:rPr>
                <w:rFonts w:cs="Arial"/>
                <w:b/>
                <w:bCs/>
                <w:sz w:val="14"/>
                <w:szCs w:val="14"/>
              </w:rPr>
            </w:pPr>
            <w:r w:rsidRPr="009F5E32">
              <w:rPr>
                <w:rFonts w:cs="Arial"/>
                <w:b/>
                <w:bCs/>
                <w:sz w:val="14"/>
                <w:szCs w:val="14"/>
              </w:rPr>
              <w:t xml:space="preserve">VT HAC Action Level </w:t>
            </w:r>
          </w:p>
          <w:p w14:paraId="0737F1D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b/>
                <w:bCs/>
                <w:sz w:val="14"/>
                <w:szCs w:val="14"/>
              </w:rPr>
              <w:t>(lbs/8-hr)</w:t>
            </w:r>
          </w:p>
        </w:tc>
        <w:tc>
          <w:tcPr>
            <w:tcW w:w="990" w:type="dxa"/>
            <w:vMerge w:val="restart"/>
            <w:tcBorders>
              <w:top w:val="single" w:sz="4" w:space="0" w:color="auto"/>
              <w:left w:val="single" w:sz="4" w:space="0" w:color="000000"/>
              <w:bottom w:val="double" w:sz="6" w:space="0" w:color="000000"/>
              <w:right w:val="single" w:sz="4" w:space="0" w:color="000000"/>
            </w:tcBorders>
            <w:shd w:val="clear" w:color="auto" w:fill="auto"/>
            <w:vAlign w:val="center"/>
            <w:hideMark/>
          </w:tcPr>
          <w:p w14:paraId="084494CE" w14:textId="77777777" w:rsidR="00F0283E" w:rsidRPr="009F5E32" w:rsidRDefault="00F0283E" w:rsidP="00F0283E">
            <w:pPr>
              <w:widowControl/>
              <w:autoSpaceDE/>
              <w:autoSpaceDN/>
              <w:adjustRightInd/>
              <w:ind w:left="0" w:firstLine="0"/>
              <w:jc w:val="center"/>
              <w:rPr>
                <w:rFonts w:cs="Arial"/>
                <w:b/>
                <w:bCs/>
                <w:sz w:val="14"/>
                <w:szCs w:val="14"/>
              </w:rPr>
            </w:pPr>
            <w:r w:rsidRPr="009F5E32">
              <w:rPr>
                <w:rFonts w:cs="Arial"/>
                <w:b/>
                <w:bCs/>
                <w:sz w:val="14"/>
                <w:szCs w:val="14"/>
              </w:rPr>
              <w:t>Percentage of VT HAC Action Level</w:t>
            </w:r>
          </w:p>
        </w:tc>
        <w:tc>
          <w:tcPr>
            <w:tcW w:w="990" w:type="dxa"/>
            <w:vMerge w:val="restart"/>
            <w:tcBorders>
              <w:top w:val="single" w:sz="4" w:space="0" w:color="auto"/>
              <w:left w:val="single" w:sz="4" w:space="0" w:color="000000"/>
              <w:bottom w:val="double" w:sz="6" w:space="0" w:color="000000"/>
              <w:right w:val="double" w:sz="4" w:space="0" w:color="auto"/>
            </w:tcBorders>
            <w:shd w:val="clear" w:color="auto" w:fill="auto"/>
            <w:vAlign w:val="center"/>
            <w:hideMark/>
          </w:tcPr>
          <w:p w14:paraId="4A0D46F3" w14:textId="77777777" w:rsidR="00F0283E" w:rsidRPr="009F5E32" w:rsidRDefault="00F0283E" w:rsidP="00F0283E">
            <w:pPr>
              <w:widowControl/>
              <w:autoSpaceDE/>
              <w:autoSpaceDN/>
              <w:adjustRightInd/>
              <w:ind w:left="0" w:firstLine="0"/>
              <w:jc w:val="center"/>
              <w:rPr>
                <w:rFonts w:cs="Arial"/>
                <w:b/>
                <w:bCs/>
                <w:sz w:val="14"/>
                <w:szCs w:val="14"/>
              </w:rPr>
            </w:pPr>
            <w:r w:rsidRPr="009F5E32">
              <w:rPr>
                <w:rFonts w:cs="Arial"/>
                <w:b/>
                <w:bCs/>
                <w:sz w:val="14"/>
                <w:szCs w:val="14"/>
              </w:rPr>
              <w:t>VT HAC Action Level Exceeded?</w:t>
            </w:r>
          </w:p>
        </w:tc>
      </w:tr>
      <w:tr w:rsidR="005E2B67" w:rsidRPr="009F5E32" w14:paraId="1B55568F" w14:textId="77777777" w:rsidTr="003529CF">
        <w:trPr>
          <w:cantSplit/>
          <w:trHeight w:val="189"/>
        </w:trPr>
        <w:tc>
          <w:tcPr>
            <w:tcW w:w="7344" w:type="dxa"/>
            <w:gridSpan w:val="5"/>
            <w:vMerge/>
            <w:tcBorders>
              <w:left w:val="double" w:sz="4" w:space="0" w:color="auto"/>
              <w:bottom w:val="double" w:sz="4" w:space="0" w:color="auto"/>
              <w:right w:val="single" w:sz="4" w:space="0" w:color="auto"/>
            </w:tcBorders>
            <w:shd w:val="clear" w:color="auto" w:fill="auto"/>
            <w:vAlign w:val="center"/>
            <w:hideMark/>
          </w:tcPr>
          <w:p w14:paraId="7A539619" w14:textId="77777777" w:rsidR="00F0283E" w:rsidRPr="009F5E32" w:rsidRDefault="00F0283E" w:rsidP="00F0283E">
            <w:pPr>
              <w:widowControl/>
              <w:autoSpaceDE/>
              <w:autoSpaceDN/>
              <w:adjustRightInd/>
              <w:ind w:left="0" w:firstLine="0"/>
              <w:jc w:val="left"/>
              <w:rPr>
                <w:rFonts w:cs="Arial"/>
                <w:color w:val="000000"/>
                <w:sz w:val="20"/>
              </w:rPr>
            </w:pPr>
          </w:p>
        </w:tc>
        <w:tc>
          <w:tcPr>
            <w:tcW w:w="900" w:type="dxa"/>
            <w:tcBorders>
              <w:top w:val="nil"/>
              <w:left w:val="single" w:sz="4" w:space="0" w:color="auto"/>
              <w:bottom w:val="double" w:sz="4" w:space="0" w:color="auto"/>
              <w:right w:val="single" w:sz="4" w:space="0" w:color="000000"/>
            </w:tcBorders>
            <w:shd w:val="clear" w:color="auto" w:fill="auto"/>
            <w:vAlign w:val="bottom"/>
            <w:hideMark/>
          </w:tcPr>
          <w:p w14:paraId="73B2319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b/>
                <w:bCs/>
                <w:sz w:val="14"/>
                <w:szCs w:val="14"/>
              </w:rPr>
              <w:t>(lb/hr)</w:t>
            </w:r>
          </w:p>
        </w:tc>
        <w:tc>
          <w:tcPr>
            <w:tcW w:w="990" w:type="dxa"/>
            <w:tcBorders>
              <w:top w:val="nil"/>
              <w:left w:val="nil"/>
              <w:bottom w:val="double" w:sz="4" w:space="0" w:color="auto"/>
              <w:right w:val="single" w:sz="4" w:space="0" w:color="000000"/>
            </w:tcBorders>
            <w:shd w:val="clear" w:color="auto" w:fill="auto"/>
            <w:vAlign w:val="bottom"/>
            <w:hideMark/>
          </w:tcPr>
          <w:p w14:paraId="16257F7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b/>
                <w:bCs/>
                <w:sz w:val="14"/>
                <w:szCs w:val="14"/>
              </w:rPr>
              <w:t>(lb/8-hr)</w:t>
            </w:r>
          </w:p>
        </w:tc>
        <w:tc>
          <w:tcPr>
            <w:tcW w:w="810" w:type="dxa"/>
            <w:tcBorders>
              <w:top w:val="nil"/>
              <w:left w:val="nil"/>
              <w:bottom w:val="double" w:sz="4" w:space="0" w:color="auto"/>
              <w:right w:val="single" w:sz="4" w:space="0" w:color="auto"/>
            </w:tcBorders>
            <w:shd w:val="clear" w:color="auto" w:fill="auto"/>
            <w:vAlign w:val="bottom"/>
            <w:hideMark/>
          </w:tcPr>
          <w:p w14:paraId="3796E93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b/>
                <w:bCs/>
                <w:sz w:val="14"/>
                <w:szCs w:val="14"/>
              </w:rPr>
              <w:t>(ton/yr)</w:t>
            </w:r>
          </w:p>
        </w:tc>
        <w:tc>
          <w:tcPr>
            <w:tcW w:w="1080" w:type="dxa"/>
            <w:vMerge/>
            <w:tcBorders>
              <w:top w:val="nil"/>
              <w:left w:val="single" w:sz="4" w:space="0" w:color="auto"/>
              <w:bottom w:val="double" w:sz="4" w:space="0" w:color="auto"/>
              <w:right w:val="single" w:sz="4" w:space="0" w:color="000000"/>
            </w:tcBorders>
            <w:shd w:val="clear" w:color="auto" w:fill="auto"/>
            <w:vAlign w:val="center"/>
            <w:hideMark/>
          </w:tcPr>
          <w:p w14:paraId="337CE028" w14:textId="77777777" w:rsidR="00F0283E" w:rsidRPr="009F5E32" w:rsidRDefault="00F0283E" w:rsidP="00F0283E">
            <w:pPr>
              <w:widowControl/>
              <w:autoSpaceDE/>
              <w:autoSpaceDN/>
              <w:adjustRightInd/>
              <w:ind w:left="0" w:firstLine="0"/>
              <w:jc w:val="left"/>
              <w:rPr>
                <w:rFonts w:cs="Arial"/>
                <w:color w:val="000000"/>
                <w:sz w:val="20"/>
              </w:rPr>
            </w:pPr>
          </w:p>
        </w:tc>
        <w:tc>
          <w:tcPr>
            <w:tcW w:w="990" w:type="dxa"/>
            <w:vMerge/>
            <w:tcBorders>
              <w:top w:val="nil"/>
              <w:left w:val="single" w:sz="4" w:space="0" w:color="000000"/>
              <w:bottom w:val="double" w:sz="4" w:space="0" w:color="auto"/>
              <w:right w:val="single" w:sz="4" w:space="0" w:color="000000"/>
            </w:tcBorders>
            <w:shd w:val="clear" w:color="auto" w:fill="auto"/>
            <w:vAlign w:val="center"/>
            <w:hideMark/>
          </w:tcPr>
          <w:p w14:paraId="58B032D3" w14:textId="77777777" w:rsidR="00F0283E" w:rsidRPr="009F5E32" w:rsidRDefault="00F0283E" w:rsidP="00F0283E">
            <w:pPr>
              <w:widowControl/>
              <w:autoSpaceDE/>
              <w:autoSpaceDN/>
              <w:adjustRightInd/>
              <w:ind w:left="0" w:firstLine="0"/>
              <w:jc w:val="left"/>
              <w:rPr>
                <w:rFonts w:cs="Arial"/>
                <w:b/>
                <w:bCs/>
                <w:sz w:val="10"/>
                <w:szCs w:val="10"/>
              </w:rPr>
            </w:pPr>
          </w:p>
        </w:tc>
        <w:tc>
          <w:tcPr>
            <w:tcW w:w="990" w:type="dxa"/>
            <w:vMerge/>
            <w:tcBorders>
              <w:top w:val="nil"/>
              <w:left w:val="single" w:sz="4" w:space="0" w:color="000000"/>
              <w:bottom w:val="double" w:sz="4" w:space="0" w:color="auto"/>
              <w:right w:val="double" w:sz="4" w:space="0" w:color="auto"/>
            </w:tcBorders>
            <w:shd w:val="clear" w:color="auto" w:fill="auto"/>
            <w:vAlign w:val="center"/>
            <w:hideMark/>
          </w:tcPr>
          <w:p w14:paraId="7A9AAFC0" w14:textId="77777777" w:rsidR="00F0283E" w:rsidRPr="009F5E32" w:rsidRDefault="00F0283E" w:rsidP="00F0283E">
            <w:pPr>
              <w:widowControl/>
              <w:autoSpaceDE/>
              <w:autoSpaceDN/>
              <w:adjustRightInd/>
              <w:ind w:left="0" w:firstLine="0"/>
              <w:jc w:val="left"/>
              <w:rPr>
                <w:rFonts w:cs="Arial"/>
                <w:b/>
                <w:bCs/>
                <w:sz w:val="10"/>
                <w:szCs w:val="10"/>
              </w:rPr>
            </w:pPr>
          </w:p>
        </w:tc>
      </w:tr>
      <w:tr w:rsidR="00BD6F6B" w:rsidRPr="009F5E32" w14:paraId="3C01361D" w14:textId="77777777" w:rsidTr="003529CF">
        <w:trPr>
          <w:cantSplit/>
          <w:trHeight w:val="162"/>
        </w:trPr>
        <w:tc>
          <w:tcPr>
            <w:tcW w:w="7344" w:type="dxa"/>
            <w:gridSpan w:val="5"/>
            <w:tcBorders>
              <w:top w:val="double" w:sz="4" w:space="0" w:color="auto"/>
              <w:left w:val="double" w:sz="4" w:space="0" w:color="auto"/>
              <w:bottom w:val="single" w:sz="4" w:space="0" w:color="000000"/>
              <w:right w:val="single" w:sz="4" w:space="0" w:color="auto"/>
            </w:tcBorders>
            <w:shd w:val="clear" w:color="auto" w:fill="auto"/>
            <w:vAlign w:val="bottom"/>
            <w:hideMark/>
          </w:tcPr>
          <w:p w14:paraId="33E65E87"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NMOC (Flare / Fugitive)</w:t>
            </w:r>
          </w:p>
        </w:tc>
        <w:tc>
          <w:tcPr>
            <w:tcW w:w="900" w:type="dxa"/>
            <w:tcBorders>
              <w:top w:val="double" w:sz="4" w:space="0" w:color="auto"/>
              <w:left w:val="single" w:sz="4" w:space="0" w:color="auto"/>
              <w:bottom w:val="single" w:sz="4" w:space="0" w:color="000000"/>
              <w:right w:val="single" w:sz="4" w:space="0" w:color="000000"/>
            </w:tcBorders>
            <w:shd w:val="clear" w:color="auto" w:fill="auto"/>
            <w:vAlign w:val="bottom"/>
            <w:hideMark/>
          </w:tcPr>
          <w:p w14:paraId="27C52BD3" w14:textId="5906BD6D" w:rsidR="00F0283E" w:rsidRPr="009F5E32" w:rsidRDefault="00F0283E" w:rsidP="00BD6F6B">
            <w:pPr>
              <w:widowControl/>
              <w:autoSpaceDE/>
              <w:autoSpaceDN/>
              <w:adjustRightInd/>
              <w:ind w:left="0" w:firstLine="0"/>
              <w:jc w:val="center"/>
              <w:rPr>
                <w:rFonts w:cs="Arial"/>
                <w:color w:val="000000"/>
                <w:sz w:val="14"/>
                <w:szCs w:val="14"/>
              </w:rPr>
            </w:pPr>
            <w:r w:rsidRPr="009F5E32">
              <w:rPr>
                <w:rFonts w:cs="Arial"/>
                <w:color w:val="000000"/>
                <w:sz w:val="14"/>
                <w:szCs w:val="14"/>
              </w:rPr>
              <w:t>7.15</w:t>
            </w:r>
          </w:p>
        </w:tc>
        <w:tc>
          <w:tcPr>
            <w:tcW w:w="990"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hideMark/>
          </w:tcPr>
          <w:p w14:paraId="522EFBC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Not Applicable</w:t>
            </w:r>
          </w:p>
        </w:tc>
        <w:tc>
          <w:tcPr>
            <w:tcW w:w="810" w:type="dxa"/>
            <w:tcBorders>
              <w:top w:val="double" w:sz="4" w:space="0" w:color="auto"/>
              <w:left w:val="nil"/>
              <w:bottom w:val="single" w:sz="4" w:space="0" w:color="000000"/>
              <w:right w:val="single" w:sz="4" w:space="0" w:color="auto"/>
            </w:tcBorders>
            <w:shd w:val="clear" w:color="auto" w:fill="auto"/>
            <w:vAlign w:val="bottom"/>
            <w:hideMark/>
          </w:tcPr>
          <w:p w14:paraId="6F7D7E4B" w14:textId="2B881DBE" w:rsidR="00F0283E" w:rsidRPr="009F5E32" w:rsidRDefault="00F0283E" w:rsidP="00BD6F6B">
            <w:pPr>
              <w:widowControl/>
              <w:autoSpaceDE/>
              <w:autoSpaceDN/>
              <w:adjustRightInd/>
              <w:ind w:left="0" w:firstLine="0"/>
              <w:jc w:val="center"/>
              <w:rPr>
                <w:rFonts w:cs="Arial"/>
                <w:color w:val="000000"/>
                <w:sz w:val="14"/>
                <w:szCs w:val="14"/>
              </w:rPr>
            </w:pPr>
            <w:r w:rsidRPr="009F5E32">
              <w:rPr>
                <w:rFonts w:cs="Arial"/>
                <w:color w:val="000000"/>
                <w:sz w:val="14"/>
                <w:szCs w:val="14"/>
              </w:rPr>
              <w:t>31.3</w:t>
            </w:r>
          </w:p>
        </w:tc>
        <w:tc>
          <w:tcPr>
            <w:tcW w:w="3060" w:type="dxa"/>
            <w:gridSpan w:val="3"/>
            <w:vMerge w:val="restart"/>
            <w:tcBorders>
              <w:top w:val="double" w:sz="4" w:space="0" w:color="auto"/>
              <w:left w:val="single" w:sz="4" w:space="0" w:color="auto"/>
              <w:right w:val="double" w:sz="4" w:space="0" w:color="auto"/>
            </w:tcBorders>
            <w:shd w:val="clear" w:color="auto" w:fill="auto"/>
            <w:vAlign w:val="center"/>
          </w:tcPr>
          <w:p w14:paraId="3C62F942" w14:textId="77777777" w:rsidR="00F0283E" w:rsidRPr="009F5E32" w:rsidRDefault="00F0283E" w:rsidP="00F0283E">
            <w:pPr>
              <w:widowControl/>
              <w:autoSpaceDE/>
              <w:autoSpaceDN/>
              <w:adjustRightInd/>
              <w:ind w:left="0" w:firstLine="0"/>
              <w:jc w:val="left"/>
              <w:rPr>
                <w:rFonts w:cs="Arial"/>
                <w:color w:val="000000"/>
                <w:sz w:val="14"/>
                <w:szCs w:val="14"/>
              </w:rPr>
            </w:pPr>
          </w:p>
        </w:tc>
      </w:tr>
      <w:tr w:rsidR="00BD6F6B" w:rsidRPr="009F5E32" w14:paraId="1B60D574" w14:textId="77777777" w:rsidTr="003529CF">
        <w:trPr>
          <w:cantSplit/>
          <w:trHeight w:val="162"/>
        </w:trPr>
        <w:tc>
          <w:tcPr>
            <w:tcW w:w="7344" w:type="dxa"/>
            <w:gridSpan w:val="5"/>
            <w:tcBorders>
              <w:top w:val="nil"/>
              <w:left w:val="double" w:sz="4" w:space="0" w:color="auto"/>
              <w:bottom w:val="single" w:sz="4" w:space="0" w:color="000000"/>
              <w:right w:val="single" w:sz="4" w:space="0" w:color="auto"/>
            </w:tcBorders>
            <w:shd w:val="clear" w:color="auto" w:fill="auto"/>
            <w:vAlign w:val="bottom"/>
            <w:hideMark/>
          </w:tcPr>
          <w:p w14:paraId="1585C7E9" w14:textId="596E49AA"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color w:val="000000"/>
                <w:sz w:val="14"/>
                <w:szCs w:val="14"/>
              </w:rPr>
              <w:t xml:space="preserve">VOC (Flare / Fugitive/Engines) - Excluding formaldehyde </w:t>
            </w:r>
            <w:r w:rsidR="00D776A6" w:rsidRPr="009F5E32">
              <w:rPr>
                <w:rFonts w:cs="Arial"/>
                <w:color w:val="000000"/>
                <w:sz w:val="14"/>
                <w:szCs w:val="14"/>
              </w:rPr>
              <w:t xml:space="preserve">and acetaldehyde </w:t>
            </w:r>
            <w:r w:rsidRPr="009F5E32">
              <w:rPr>
                <w:rFonts w:cs="Arial"/>
                <w:color w:val="000000"/>
                <w:sz w:val="14"/>
                <w:szCs w:val="14"/>
              </w:rPr>
              <w:t>emissions from engines</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852F329" w14:textId="729DD1D7" w:rsidR="00F0283E" w:rsidRPr="009F5E32" w:rsidRDefault="00F0283E" w:rsidP="00BD6F6B">
            <w:pPr>
              <w:widowControl/>
              <w:autoSpaceDE/>
              <w:autoSpaceDN/>
              <w:adjustRightInd/>
              <w:ind w:left="0" w:firstLine="0"/>
              <w:jc w:val="center"/>
              <w:rPr>
                <w:rFonts w:cs="Arial"/>
                <w:color w:val="000000"/>
                <w:sz w:val="14"/>
                <w:szCs w:val="14"/>
              </w:rPr>
            </w:pPr>
            <w:r w:rsidRPr="009F5E32">
              <w:rPr>
                <w:rFonts w:cs="Arial"/>
                <w:color w:val="000000"/>
                <w:sz w:val="14"/>
                <w:szCs w:val="14"/>
              </w:rPr>
              <w:t>2.79</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74A9B" w14:textId="77777777" w:rsidR="00F0283E" w:rsidRPr="009F5E32" w:rsidRDefault="00F0283E" w:rsidP="00F0283E">
            <w:pPr>
              <w:widowControl/>
              <w:autoSpaceDE/>
              <w:autoSpaceDN/>
              <w:adjustRightInd/>
              <w:ind w:left="0" w:firstLine="0"/>
              <w:jc w:val="left"/>
              <w:rPr>
                <w:rFonts w:cs="Arial"/>
                <w:color w:val="000000"/>
                <w:sz w:val="14"/>
                <w:szCs w:val="14"/>
              </w:rPr>
            </w:pPr>
          </w:p>
        </w:tc>
        <w:tc>
          <w:tcPr>
            <w:tcW w:w="810" w:type="dxa"/>
            <w:tcBorders>
              <w:top w:val="nil"/>
              <w:left w:val="nil"/>
              <w:bottom w:val="single" w:sz="4" w:space="0" w:color="000000"/>
              <w:right w:val="single" w:sz="4" w:space="0" w:color="auto"/>
            </w:tcBorders>
            <w:shd w:val="clear" w:color="auto" w:fill="auto"/>
            <w:vAlign w:val="bottom"/>
            <w:hideMark/>
          </w:tcPr>
          <w:p w14:paraId="1705E691" w14:textId="1FE9C696" w:rsidR="00F0283E" w:rsidRPr="009F5E32" w:rsidRDefault="00F0283E" w:rsidP="00BD6F6B">
            <w:pPr>
              <w:widowControl/>
              <w:autoSpaceDE/>
              <w:autoSpaceDN/>
              <w:adjustRightInd/>
              <w:ind w:left="0" w:firstLine="0"/>
              <w:jc w:val="center"/>
              <w:rPr>
                <w:rFonts w:cs="Arial"/>
                <w:color w:val="000000"/>
                <w:sz w:val="14"/>
                <w:szCs w:val="14"/>
              </w:rPr>
            </w:pPr>
            <w:r w:rsidRPr="009F5E32">
              <w:rPr>
                <w:rFonts w:cs="Arial"/>
                <w:color w:val="000000"/>
                <w:sz w:val="14"/>
                <w:szCs w:val="14"/>
              </w:rPr>
              <w:t>12.2</w:t>
            </w:r>
          </w:p>
        </w:tc>
        <w:tc>
          <w:tcPr>
            <w:tcW w:w="3060" w:type="dxa"/>
            <w:gridSpan w:val="3"/>
            <w:vMerge/>
            <w:tcBorders>
              <w:left w:val="single" w:sz="4" w:space="0" w:color="auto"/>
              <w:right w:val="double" w:sz="4" w:space="0" w:color="auto"/>
            </w:tcBorders>
            <w:shd w:val="clear" w:color="auto" w:fill="auto"/>
            <w:vAlign w:val="center"/>
            <w:hideMark/>
          </w:tcPr>
          <w:p w14:paraId="586AFC60" w14:textId="77777777" w:rsidR="00F0283E" w:rsidRPr="009F5E32" w:rsidRDefault="00F0283E" w:rsidP="00F0283E">
            <w:pPr>
              <w:widowControl/>
              <w:autoSpaceDE/>
              <w:autoSpaceDN/>
              <w:adjustRightInd/>
              <w:ind w:left="0" w:firstLine="0"/>
              <w:jc w:val="left"/>
              <w:rPr>
                <w:rFonts w:cs="Arial"/>
                <w:color w:val="000000"/>
                <w:sz w:val="14"/>
                <w:szCs w:val="14"/>
              </w:rPr>
            </w:pPr>
          </w:p>
        </w:tc>
      </w:tr>
      <w:tr w:rsidR="005E2B67" w:rsidRPr="009F5E32" w14:paraId="55823CA7" w14:textId="77777777" w:rsidTr="003529CF">
        <w:trPr>
          <w:cantSplit/>
          <w:trHeight w:val="162"/>
        </w:trPr>
        <w:tc>
          <w:tcPr>
            <w:tcW w:w="7344" w:type="dxa"/>
            <w:gridSpan w:val="5"/>
            <w:tcBorders>
              <w:top w:val="nil"/>
              <w:left w:val="double" w:sz="4" w:space="0" w:color="auto"/>
              <w:bottom w:val="single" w:sz="4" w:space="0" w:color="000000"/>
              <w:right w:val="single" w:sz="4" w:space="0" w:color="auto"/>
            </w:tcBorders>
            <w:shd w:val="clear" w:color="auto" w:fill="auto"/>
          </w:tcPr>
          <w:p w14:paraId="6CE9902A" w14:textId="77777777" w:rsidR="00F0283E" w:rsidRPr="009F5E32" w:rsidRDefault="00F0283E" w:rsidP="00F0283E">
            <w:pPr>
              <w:widowControl/>
              <w:autoSpaceDE/>
              <w:autoSpaceDN/>
              <w:adjustRightInd/>
              <w:ind w:left="0" w:firstLine="0"/>
              <w:jc w:val="left"/>
              <w:rPr>
                <w:rFonts w:cs="Arial"/>
                <w:color w:val="000000"/>
                <w:sz w:val="14"/>
                <w:szCs w:val="14"/>
              </w:rPr>
            </w:pPr>
          </w:p>
        </w:tc>
        <w:tc>
          <w:tcPr>
            <w:tcW w:w="900" w:type="dxa"/>
            <w:tcBorders>
              <w:top w:val="nil"/>
              <w:left w:val="single" w:sz="4" w:space="0" w:color="auto"/>
              <w:bottom w:val="single" w:sz="4" w:space="0" w:color="000000"/>
              <w:right w:val="single" w:sz="4" w:space="0" w:color="000000"/>
            </w:tcBorders>
            <w:shd w:val="clear" w:color="auto" w:fill="auto"/>
            <w:hideMark/>
          </w:tcPr>
          <w:p w14:paraId="574C90F8" w14:textId="77777777" w:rsidR="00F0283E" w:rsidRPr="009F5E32" w:rsidRDefault="00F0283E" w:rsidP="00F0283E">
            <w:pPr>
              <w:widowControl/>
              <w:autoSpaceDE/>
              <w:autoSpaceDN/>
              <w:adjustRightInd/>
              <w:ind w:left="0" w:firstLine="0"/>
              <w:jc w:val="left"/>
              <w:rPr>
                <w:rFonts w:cs="Arial"/>
                <w:color w:val="000000"/>
                <w:sz w:val="14"/>
                <w:szCs w:val="14"/>
              </w:rPr>
            </w:pPr>
          </w:p>
        </w:tc>
        <w:tc>
          <w:tcPr>
            <w:tcW w:w="990" w:type="dxa"/>
            <w:tcBorders>
              <w:top w:val="nil"/>
              <w:left w:val="nil"/>
              <w:bottom w:val="single" w:sz="4" w:space="0" w:color="000000"/>
              <w:right w:val="single" w:sz="4" w:space="0" w:color="000000"/>
            </w:tcBorders>
            <w:shd w:val="clear" w:color="auto" w:fill="auto"/>
            <w:hideMark/>
          </w:tcPr>
          <w:p w14:paraId="2F6261B9" w14:textId="77777777" w:rsidR="00F0283E" w:rsidRPr="009F5E32" w:rsidRDefault="00F0283E" w:rsidP="00F0283E">
            <w:pPr>
              <w:widowControl/>
              <w:autoSpaceDE/>
              <w:autoSpaceDN/>
              <w:adjustRightInd/>
              <w:ind w:left="0" w:firstLine="0"/>
              <w:jc w:val="left"/>
              <w:rPr>
                <w:rFonts w:cs="Arial"/>
                <w:color w:val="000000"/>
                <w:sz w:val="14"/>
                <w:szCs w:val="14"/>
              </w:rPr>
            </w:pPr>
          </w:p>
        </w:tc>
        <w:tc>
          <w:tcPr>
            <w:tcW w:w="810" w:type="dxa"/>
            <w:tcBorders>
              <w:top w:val="nil"/>
              <w:left w:val="nil"/>
              <w:bottom w:val="single" w:sz="4" w:space="0" w:color="000000"/>
              <w:right w:val="single" w:sz="4" w:space="0" w:color="auto"/>
            </w:tcBorders>
            <w:shd w:val="clear" w:color="auto" w:fill="auto"/>
            <w:hideMark/>
          </w:tcPr>
          <w:p w14:paraId="6C4BB1B3" w14:textId="77777777" w:rsidR="00F0283E" w:rsidRPr="009F5E32" w:rsidRDefault="00F0283E" w:rsidP="00F0283E">
            <w:pPr>
              <w:widowControl/>
              <w:autoSpaceDE/>
              <w:autoSpaceDN/>
              <w:adjustRightInd/>
              <w:ind w:left="0" w:firstLine="0"/>
              <w:jc w:val="left"/>
              <w:rPr>
                <w:rFonts w:cs="Arial"/>
                <w:color w:val="000000"/>
                <w:sz w:val="14"/>
                <w:szCs w:val="14"/>
              </w:rPr>
            </w:pPr>
          </w:p>
        </w:tc>
        <w:tc>
          <w:tcPr>
            <w:tcW w:w="3060" w:type="dxa"/>
            <w:gridSpan w:val="3"/>
            <w:vMerge/>
            <w:tcBorders>
              <w:left w:val="single" w:sz="4" w:space="0" w:color="auto"/>
              <w:bottom w:val="single" w:sz="4" w:space="0" w:color="000000"/>
              <w:right w:val="double" w:sz="4" w:space="0" w:color="auto"/>
            </w:tcBorders>
            <w:shd w:val="clear" w:color="auto" w:fill="auto"/>
            <w:hideMark/>
          </w:tcPr>
          <w:p w14:paraId="2EED0269" w14:textId="77777777" w:rsidR="00F0283E" w:rsidRPr="009F5E32" w:rsidRDefault="00F0283E" w:rsidP="00F0283E">
            <w:pPr>
              <w:widowControl/>
              <w:autoSpaceDE/>
              <w:autoSpaceDN/>
              <w:adjustRightInd/>
              <w:ind w:left="0" w:firstLine="0"/>
              <w:jc w:val="left"/>
              <w:rPr>
                <w:rFonts w:cs="Arial"/>
                <w:color w:val="000000"/>
                <w:sz w:val="14"/>
                <w:szCs w:val="14"/>
              </w:rPr>
            </w:pPr>
          </w:p>
        </w:tc>
      </w:tr>
      <w:tr w:rsidR="005E2B67" w:rsidRPr="009F5E32" w14:paraId="41BF61D9" w14:textId="77777777" w:rsidTr="003529CF">
        <w:trPr>
          <w:cantSplit/>
          <w:trHeight w:val="251"/>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005DA997" w14:textId="77777777" w:rsidR="00F0283E" w:rsidRPr="009F5E32" w:rsidRDefault="00F0283E" w:rsidP="00F0283E">
            <w:pPr>
              <w:widowControl/>
              <w:autoSpaceDE/>
              <w:autoSpaceDN/>
              <w:adjustRightInd/>
              <w:ind w:left="0" w:firstLine="0"/>
              <w:jc w:val="left"/>
              <w:rPr>
                <w:rFonts w:cs="Arial"/>
                <w:b/>
                <w:bCs/>
                <w:sz w:val="14"/>
                <w:szCs w:val="14"/>
              </w:rPr>
            </w:pPr>
            <w:r w:rsidRPr="009F5E32">
              <w:rPr>
                <w:rFonts w:cs="Arial"/>
                <w:b/>
                <w:bCs/>
                <w:sz w:val="14"/>
                <w:szCs w:val="14"/>
              </w:rPr>
              <w:t>CAS No.</w:t>
            </w:r>
          </w:p>
        </w:tc>
        <w:tc>
          <w:tcPr>
            <w:tcW w:w="630" w:type="dxa"/>
            <w:tcBorders>
              <w:top w:val="nil"/>
              <w:left w:val="nil"/>
              <w:bottom w:val="single" w:sz="4" w:space="0" w:color="000000"/>
              <w:right w:val="single" w:sz="4" w:space="0" w:color="000000"/>
            </w:tcBorders>
            <w:shd w:val="clear" w:color="auto" w:fill="auto"/>
            <w:vAlign w:val="bottom"/>
            <w:hideMark/>
          </w:tcPr>
          <w:p w14:paraId="243FADF2"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VOC (Y/N)</w:t>
            </w:r>
          </w:p>
        </w:tc>
        <w:tc>
          <w:tcPr>
            <w:tcW w:w="630" w:type="dxa"/>
            <w:tcBorders>
              <w:top w:val="nil"/>
              <w:left w:val="nil"/>
              <w:bottom w:val="single" w:sz="4" w:space="0" w:color="000000"/>
              <w:right w:val="single" w:sz="4" w:space="0" w:color="000000"/>
            </w:tcBorders>
            <w:shd w:val="clear" w:color="auto" w:fill="auto"/>
            <w:vAlign w:val="bottom"/>
            <w:hideMark/>
          </w:tcPr>
          <w:p w14:paraId="3A00D736"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HAP  (Y/N)</w:t>
            </w:r>
          </w:p>
        </w:tc>
        <w:tc>
          <w:tcPr>
            <w:tcW w:w="630" w:type="dxa"/>
            <w:tcBorders>
              <w:top w:val="nil"/>
              <w:left w:val="nil"/>
              <w:bottom w:val="single" w:sz="4" w:space="0" w:color="000000"/>
              <w:right w:val="single" w:sz="4" w:space="0" w:color="000000"/>
            </w:tcBorders>
            <w:shd w:val="clear" w:color="auto" w:fill="auto"/>
            <w:vAlign w:val="bottom"/>
            <w:hideMark/>
          </w:tcPr>
          <w:p w14:paraId="4D4D009E"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HAC  (Y/N)</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E1D8A9D" w14:textId="77777777" w:rsidR="00F0283E" w:rsidRPr="009F5E32" w:rsidRDefault="00F0283E" w:rsidP="00F0283E">
            <w:pPr>
              <w:widowControl/>
              <w:autoSpaceDE/>
              <w:autoSpaceDN/>
              <w:adjustRightInd/>
              <w:ind w:left="0" w:firstLine="0"/>
              <w:jc w:val="left"/>
              <w:rPr>
                <w:rFonts w:cs="Arial"/>
                <w:b/>
                <w:bCs/>
                <w:sz w:val="14"/>
                <w:szCs w:val="14"/>
              </w:rPr>
            </w:pPr>
            <w:r w:rsidRPr="009F5E32">
              <w:rPr>
                <w:rFonts w:cs="Arial"/>
                <w:b/>
                <w:bCs/>
                <w:sz w:val="14"/>
                <w:szCs w:val="14"/>
              </w:rPr>
              <w:t xml:space="preserve">VOCs, HAPs) and HACs </w:t>
            </w:r>
            <w:r w:rsidRPr="009F5E32">
              <w:rPr>
                <w:rFonts w:cs="Arial"/>
                <w:b/>
                <w:bCs/>
                <w:sz w:val="18"/>
                <w:szCs w:val="18"/>
                <w:vertAlign w:val="superscript"/>
              </w:rPr>
              <w:t>1, 2, 3, 4, 5</w:t>
            </w:r>
          </w:p>
        </w:tc>
        <w:tc>
          <w:tcPr>
            <w:tcW w:w="5760" w:type="dxa"/>
            <w:gridSpan w:val="6"/>
            <w:tcBorders>
              <w:top w:val="nil"/>
              <w:left w:val="single" w:sz="4" w:space="0" w:color="auto"/>
              <w:bottom w:val="single" w:sz="4" w:space="0" w:color="000000"/>
              <w:right w:val="double" w:sz="4" w:space="0" w:color="auto"/>
            </w:tcBorders>
            <w:shd w:val="clear" w:color="auto" w:fill="auto"/>
            <w:hideMark/>
          </w:tcPr>
          <w:p w14:paraId="6E5B5B03" w14:textId="77777777" w:rsidR="00F0283E" w:rsidRPr="009F5E32" w:rsidRDefault="00F0283E" w:rsidP="00F0283E">
            <w:pPr>
              <w:widowControl/>
              <w:autoSpaceDE/>
              <w:autoSpaceDN/>
              <w:adjustRightInd/>
              <w:ind w:left="0" w:firstLine="0"/>
              <w:jc w:val="left"/>
              <w:rPr>
                <w:rFonts w:cs="Arial"/>
                <w:color w:val="000000"/>
                <w:sz w:val="14"/>
                <w:szCs w:val="14"/>
              </w:rPr>
            </w:pPr>
          </w:p>
        </w:tc>
      </w:tr>
      <w:tr w:rsidR="00D17875" w:rsidRPr="009F5E32" w14:paraId="3DABE74A"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619A110"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71-55-6</w:t>
            </w:r>
          </w:p>
        </w:tc>
        <w:tc>
          <w:tcPr>
            <w:tcW w:w="630" w:type="dxa"/>
            <w:tcBorders>
              <w:top w:val="nil"/>
              <w:left w:val="nil"/>
              <w:bottom w:val="single" w:sz="4" w:space="0" w:color="000000"/>
              <w:right w:val="single" w:sz="4" w:space="0" w:color="000000"/>
            </w:tcBorders>
            <w:shd w:val="clear" w:color="auto" w:fill="auto"/>
            <w:vAlign w:val="bottom"/>
            <w:hideMark/>
          </w:tcPr>
          <w:p w14:paraId="0044DDD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6CFF8B0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286349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19B3B14"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1,1,1-Trichloroethane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0B361BA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0.009467</w:t>
            </w:r>
          </w:p>
        </w:tc>
        <w:tc>
          <w:tcPr>
            <w:tcW w:w="990" w:type="dxa"/>
            <w:tcBorders>
              <w:top w:val="nil"/>
              <w:left w:val="nil"/>
              <w:bottom w:val="single" w:sz="4" w:space="0" w:color="000000"/>
              <w:right w:val="single" w:sz="4" w:space="0" w:color="000000"/>
            </w:tcBorders>
            <w:shd w:val="clear" w:color="auto" w:fill="auto"/>
            <w:vAlign w:val="bottom"/>
            <w:hideMark/>
          </w:tcPr>
          <w:p w14:paraId="35D0722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0.075737</w:t>
            </w:r>
          </w:p>
        </w:tc>
        <w:tc>
          <w:tcPr>
            <w:tcW w:w="810" w:type="dxa"/>
            <w:tcBorders>
              <w:top w:val="nil"/>
              <w:left w:val="nil"/>
              <w:bottom w:val="single" w:sz="4" w:space="0" w:color="000000"/>
              <w:right w:val="single" w:sz="4" w:space="0" w:color="auto"/>
            </w:tcBorders>
            <w:shd w:val="clear" w:color="auto" w:fill="auto"/>
            <w:vAlign w:val="bottom"/>
            <w:hideMark/>
          </w:tcPr>
          <w:p w14:paraId="18B8CFE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0.041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050CF3E4"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0.0052</w:t>
            </w:r>
          </w:p>
        </w:tc>
        <w:tc>
          <w:tcPr>
            <w:tcW w:w="990" w:type="dxa"/>
            <w:tcBorders>
              <w:top w:val="nil"/>
              <w:left w:val="nil"/>
              <w:bottom w:val="single" w:sz="4" w:space="0" w:color="000000"/>
              <w:right w:val="nil"/>
            </w:tcBorders>
            <w:shd w:val="clear" w:color="auto" w:fill="auto"/>
            <w:vAlign w:val="bottom"/>
            <w:hideMark/>
          </w:tcPr>
          <w:p w14:paraId="5CF527E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1456.5%</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44098E7B"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55F799CC"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06D4DD39"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79-00-5</w:t>
            </w:r>
          </w:p>
        </w:tc>
        <w:tc>
          <w:tcPr>
            <w:tcW w:w="630" w:type="dxa"/>
            <w:tcBorders>
              <w:top w:val="nil"/>
              <w:left w:val="nil"/>
              <w:bottom w:val="single" w:sz="4" w:space="0" w:color="000000"/>
              <w:right w:val="single" w:sz="4" w:space="0" w:color="000000"/>
            </w:tcBorders>
            <w:shd w:val="clear" w:color="auto" w:fill="auto"/>
            <w:vAlign w:val="bottom"/>
            <w:hideMark/>
          </w:tcPr>
          <w:p w14:paraId="2F37974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2B3EBF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B6F524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nil"/>
              <w:left w:val="nil"/>
              <w:bottom w:val="single" w:sz="4" w:space="0" w:color="000000"/>
              <w:right w:val="single" w:sz="4" w:space="0" w:color="auto"/>
            </w:tcBorders>
            <w:shd w:val="clear" w:color="auto" w:fill="auto"/>
            <w:vAlign w:val="bottom"/>
            <w:hideMark/>
          </w:tcPr>
          <w:p w14:paraId="08B3F31E"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1,1,2-Trichloroethane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7A828C67"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0.001972</w:t>
            </w:r>
          </w:p>
        </w:tc>
        <w:tc>
          <w:tcPr>
            <w:tcW w:w="990" w:type="dxa"/>
            <w:tcBorders>
              <w:top w:val="nil"/>
              <w:left w:val="nil"/>
              <w:bottom w:val="single" w:sz="4" w:space="0" w:color="000000"/>
              <w:right w:val="single" w:sz="4" w:space="0" w:color="000000"/>
            </w:tcBorders>
            <w:shd w:val="clear" w:color="auto" w:fill="auto"/>
            <w:vAlign w:val="bottom"/>
            <w:hideMark/>
          </w:tcPr>
          <w:p w14:paraId="7D5148B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0.015779</w:t>
            </w:r>
          </w:p>
        </w:tc>
        <w:tc>
          <w:tcPr>
            <w:tcW w:w="810" w:type="dxa"/>
            <w:tcBorders>
              <w:top w:val="nil"/>
              <w:left w:val="nil"/>
              <w:bottom w:val="single" w:sz="4" w:space="0" w:color="000000"/>
              <w:right w:val="single" w:sz="4" w:space="0" w:color="auto"/>
            </w:tcBorders>
            <w:shd w:val="clear" w:color="auto" w:fill="auto"/>
            <w:vAlign w:val="bottom"/>
            <w:hideMark/>
          </w:tcPr>
          <w:p w14:paraId="325EC97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0.009</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79642E0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0.0052</w:t>
            </w:r>
          </w:p>
        </w:tc>
        <w:tc>
          <w:tcPr>
            <w:tcW w:w="990" w:type="dxa"/>
            <w:tcBorders>
              <w:top w:val="nil"/>
              <w:left w:val="nil"/>
              <w:bottom w:val="single" w:sz="4" w:space="0" w:color="000000"/>
              <w:right w:val="nil"/>
            </w:tcBorders>
            <w:shd w:val="clear" w:color="auto" w:fill="auto"/>
            <w:vAlign w:val="bottom"/>
            <w:hideMark/>
          </w:tcPr>
          <w:p w14:paraId="134795A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303.4%</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3C459F28"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1D4046EC"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16D3FFE7"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79-34-5</w:t>
            </w:r>
          </w:p>
        </w:tc>
        <w:tc>
          <w:tcPr>
            <w:tcW w:w="630" w:type="dxa"/>
            <w:tcBorders>
              <w:top w:val="nil"/>
              <w:left w:val="nil"/>
              <w:bottom w:val="single" w:sz="4" w:space="0" w:color="000000"/>
              <w:right w:val="single" w:sz="4" w:space="0" w:color="000000"/>
            </w:tcBorders>
            <w:shd w:val="clear" w:color="auto" w:fill="auto"/>
            <w:vAlign w:val="bottom"/>
            <w:hideMark/>
          </w:tcPr>
          <w:p w14:paraId="5E0CFDC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36FE83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672BB58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2DF12EC"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1,1,2,2-Tetrachloroethane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2E5A148"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0.027544</w:t>
            </w:r>
          </w:p>
        </w:tc>
        <w:tc>
          <w:tcPr>
            <w:tcW w:w="990" w:type="dxa"/>
            <w:tcBorders>
              <w:top w:val="nil"/>
              <w:left w:val="nil"/>
              <w:bottom w:val="single" w:sz="4" w:space="0" w:color="000000"/>
              <w:right w:val="single" w:sz="4" w:space="0" w:color="000000"/>
            </w:tcBorders>
            <w:shd w:val="clear" w:color="auto" w:fill="auto"/>
            <w:vAlign w:val="bottom"/>
            <w:hideMark/>
          </w:tcPr>
          <w:p w14:paraId="0E690DD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0.220355</w:t>
            </w:r>
          </w:p>
        </w:tc>
        <w:tc>
          <w:tcPr>
            <w:tcW w:w="810" w:type="dxa"/>
            <w:tcBorders>
              <w:top w:val="nil"/>
              <w:left w:val="nil"/>
              <w:bottom w:val="single" w:sz="4" w:space="0" w:color="000000"/>
              <w:right w:val="single" w:sz="4" w:space="0" w:color="auto"/>
            </w:tcBorders>
            <w:shd w:val="clear" w:color="auto" w:fill="auto"/>
            <w:vAlign w:val="bottom"/>
            <w:hideMark/>
          </w:tcPr>
          <w:p w14:paraId="6F43C96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0.121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1692D41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0.0015</w:t>
            </w:r>
          </w:p>
        </w:tc>
        <w:tc>
          <w:tcPr>
            <w:tcW w:w="990" w:type="dxa"/>
            <w:tcBorders>
              <w:top w:val="nil"/>
              <w:left w:val="nil"/>
              <w:bottom w:val="single" w:sz="4" w:space="0" w:color="000000"/>
              <w:right w:val="nil"/>
            </w:tcBorders>
            <w:shd w:val="clear" w:color="auto" w:fill="auto"/>
            <w:vAlign w:val="bottom"/>
            <w:hideMark/>
          </w:tcPr>
          <w:p w14:paraId="19DEE4C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14690.3%</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16FA594B"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6D2808B5"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45ED99CF"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75-34-3</w:t>
            </w:r>
          </w:p>
        </w:tc>
        <w:tc>
          <w:tcPr>
            <w:tcW w:w="630" w:type="dxa"/>
            <w:tcBorders>
              <w:top w:val="nil"/>
              <w:left w:val="nil"/>
              <w:bottom w:val="single" w:sz="4" w:space="0" w:color="000000"/>
              <w:right w:val="single" w:sz="4" w:space="0" w:color="000000"/>
            </w:tcBorders>
            <w:shd w:val="clear" w:color="auto" w:fill="auto"/>
            <w:vAlign w:val="bottom"/>
            <w:hideMark/>
          </w:tcPr>
          <w:p w14:paraId="47327E6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727237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3881FA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08328BDB"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1,1-Dichloroethane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62C09A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0.034384</w:t>
            </w:r>
          </w:p>
        </w:tc>
        <w:tc>
          <w:tcPr>
            <w:tcW w:w="990" w:type="dxa"/>
            <w:tcBorders>
              <w:top w:val="nil"/>
              <w:left w:val="nil"/>
              <w:bottom w:val="single" w:sz="4" w:space="0" w:color="000000"/>
              <w:right w:val="single" w:sz="4" w:space="0" w:color="000000"/>
            </w:tcBorders>
            <w:shd w:val="clear" w:color="auto" w:fill="auto"/>
            <w:vAlign w:val="bottom"/>
            <w:hideMark/>
          </w:tcPr>
          <w:p w14:paraId="327B353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0.275074</w:t>
            </w:r>
          </w:p>
        </w:tc>
        <w:tc>
          <w:tcPr>
            <w:tcW w:w="810" w:type="dxa"/>
            <w:tcBorders>
              <w:top w:val="nil"/>
              <w:left w:val="nil"/>
              <w:bottom w:val="single" w:sz="4" w:space="0" w:color="000000"/>
              <w:right w:val="single" w:sz="4" w:space="0" w:color="auto"/>
            </w:tcBorders>
            <w:shd w:val="clear" w:color="auto" w:fill="auto"/>
            <w:vAlign w:val="bottom"/>
            <w:hideMark/>
          </w:tcPr>
          <w:p w14:paraId="3BB662B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0.151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EF6D6F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4.2</w:t>
            </w:r>
          </w:p>
        </w:tc>
        <w:tc>
          <w:tcPr>
            <w:tcW w:w="990" w:type="dxa"/>
            <w:tcBorders>
              <w:top w:val="nil"/>
              <w:left w:val="nil"/>
              <w:bottom w:val="single" w:sz="4" w:space="0" w:color="000000"/>
              <w:right w:val="nil"/>
            </w:tcBorders>
            <w:shd w:val="clear" w:color="auto" w:fill="auto"/>
            <w:vAlign w:val="bottom"/>
            <w:hideMark/>
          </w:tcPr>
          <w:p w14:paraId="3EA251B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6.5%</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7425E75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7CAF9656" w14:textId="77777777" w:rsidTr="003529CF">
        <w:trPr>
          <w:cantSplit/>
          <w:trHeight w:val="345"/>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33E2F261"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75-35-4</w:t>
            </w:r>
          </w:p>
        </w:tc>
        <w:tc>
          <w:tcPr>
            <w:tcW w:w="630" w:type="dxa"/>
            <w:tcBorders>
              <w:top w:val="nil"/>
              <w:left w:val="nil"/>
              <w:bottom w:val="single" w:sz="4" w:space="0" w:color="000000"/>
              <w:right w:val="single" w:sz="4" w:space="0" w:color="000000"/>
            </w:tcBorders>
            <w:shd w:val="clear" w:color="auto" w:fill="auto"/>
            <w:vAlign w:val="bottom"/>
            <w:hideMark/>
          </w:tcPr>
          <w:p w14:paraId="2479390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98C6C9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B2EFAE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545B66A6"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1,1-Dichloroethene (Vinylidene Chloride)  (1,1-Dichloroethylene)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517DD12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0.001406</w:t>
            </w:r>
          </w:p>
        </w:tc>
        <w:tc>
          <w:tcPr>
            <w:tcW w:w="990" w:type="dxa"/>
            <w:tcBorders>
              <w:top w:val="nil"/>
              <w:left w:val="nil"/>
              <w:bottom w:val="single" w:sz="4" w:space="0" w:color="000000"/>
              <w:right w:val="single" w:sz="4" w:space="0" w:color="000000"/>
            </w:tcBorders>
            <w:shd w:val="clear" w:color="auto" w:fill="auto"/>
            <w:vAlign w:val="bottom"/>
            <w:hideMark/>
          </w:tcPr>
          <w:p w14:paraId="62CCF59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0.011247</w:t>
            </w:r>
          </w:p>
        </w:tc>
        <w:tc>
          <w:tcPr>
            <w:tcW w:w="810" w:type="dxa"/>
            <w:tcBorders>
              <w:top w:val="nil"/>
              <w:left w:val="nil"/>
              <w:bottom w:val="single" w:sz="4" w:space="0" w:color="000000"/>
              <w:right w:val="single" w:sz="4" w:space="0" w:color="auto"/>
            </w:tcBorders>
            <w:shd w:val="clear" w:color="auto" w:fill="auto"/>
            <w:vAlign w:val="bottom"/>
            <w:hideMark/>
          </w:tcPr>
          <w:p w14:paraId="6BF6A5C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0.006</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7043A4A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1.7</w:t>
            </w:r>
          </w:p>
        </w:tc>
        <w:tc>
          <w:tcPr>
            <w:tcW w:w="990" w:type="dxa"/>
            <w:tcBorders>
              <w:top w:val="nil"/>
              <w:left w:val="nil"/>
              <w:bottom w:val="single" w:sz="4" w:space="0" w:color="000000"/>
              <w:right w:val="nil"/>
            </w:tcBorders>
            <w:shd w:val="clear" w:color="auto" w:fill="auto"/>
            <w:vAlign w:val="bottom"/>
            <w:hideMark/>
          </w:tcPr>
          <w:p w14:paraId="6E108C2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0.7%</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0BDEC81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3B69E347"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77275BF9"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107-06-2</w:t>
            </w:r>
          </w:p>
        </w:tc>
        <w:tc>
          <w:tcPr>
            <w:tcW w:w="630" w:type="dxa"/>
            <w:tcBorders>
              <w:top w:val="nil"/>
              <w:left w:val="nil"/>
              <w:bottom w:val="single" w:sz="4" w:space="0" w:color="000000"/>
              <w:right w:val="single" w:sz="4" w:space="0" w:color="000000"/>
            </w:tcBorders>
            <w:shd w:val="clear" w:color="auto" w:fill="auto"/>
            <w:vAlign w:val="bottom"/>
            <w:hideMark/>
          </w:tcPr>
          <w:p w14:paraId="3C004DA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2B0C72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2D607A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67F15B46"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1,2-Dichloroethane (Ethylene  Dichloride)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31478E0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0.001387</w:t>
            </w:r>
          </w:p>
        </w:tc>
        <w:tc>
          <w:tcPr>
            <w:tcW w:w="990" w:type="dxa"/>
            <w:tcBorders>
              <w:top w:val="nil"/>
              <w:left w:val="nil"/>
              <w:bottom w:val="single" w:sz="4" w:space="0" w:color="000000"/>
              <w:right w:val="single" w:sz="4" w:space="0" w:color="000000"/>
            </w:tcBorders>
            <w:shd w:val="clear" w:color="auto" w:fill="auto"/>
            <w:vAlign w:val="bottom"/>
            <w:hideMark/>
          </w:tcPr>
          <w:p w14:paraId="2121A91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0.011095</w:t>
            </w:r>
          </w:p>
        </w:tc>
        <w:tc>
          <w:tcPr>
            <w:tcW w:w="810" w:type="dxa"/>
            <w:tcBorders>
              <w:top w:val="nil"/>
              <w:left w:val="nil"/>
              <w:bottom w:val="single" w:sz="4" w:space="0" w:color="000000"/>
              <w:right w:val="single" w:sz="4" w:space="0" w:color="auto"/>
            </w:tcBorders>
            <w:shd w:val="clear" w:color="auto" w:fill="auto"/>
            <w:vAlign w:val="bottom"/>
            <w:hideMark/>
          </w:tcPr>
          <w:p w14:paraId="235FE64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0.006</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31127B0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0.0032</w:t>
            </w:r>
          </w:p>
        </w:tc>
        <w:tc>
          <w:tcPr>
            <w:tcW w:w="990" w:type="dxa"/>
            <w:tcBorders>
              <w:top w:val="nil"/>
              <w:left w:val="nil"/>
              <w:bottom w:val="single" w:sz="4" w:space="0" w:color="000000"/>
              <w:right w:val="nil"/>
            </w:tcBorders>
            <w:shd w:val="clear" w:color="auto" w:fill="auto"/>
            <w:vAlign w:val="bottom"/>
            <w:hideMark/>
          </w:tcPr>
          <w:p w14:paraId="2D077738"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346.7%</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12755C7D"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465D1D06"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840F9A6"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78-87-5</w:t>
            </w:r>
          </w:p>
        </w:tc>
        <w:tc>
          <w:tcPr>
            <w:tcW w:w="630" w:type="dxa"/>
            <w:tcBorders>
              <w:top w:val="nil"/>
              <w:left w:val="nil"/>
              <w:bottom w:val="single" w:sz="4" w:space="0" w:color="000000"/>
              <w:right w:val="single" w:sz="4" w:space="0" w:color="000000"/>
            </w:tcBorders>
            <w:shd w:val="clear" w:color="auto" w:fill="auto"/>
            <w:vAlign w:val="bottom"/>
            <w:hideMark/>
          </w:tcPr>
          <w:p w14:paraId="1FB653D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0BBF0B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50F905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312192AE"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1,2-Dichloropropane (Propylene Dichloride)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7004E9B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0.003007</w:t>
            </w:r>
          </w:p>
        </w:tc>
        <w:tc>
          <w:tcPr>
            <w:tcW w:w="990" w:type="dxa"/>
            <w:tcBorders>
              <w:top w:val="nil"/>
              <w:left w:val="nil"/>
              <w:bottom w:val="single" w:sz="4" w:space="0" w:color="000000"/>
              <w:right w:val="single" w:sz="4" w:space="0" w:color="000000"/>
            </w:tcBorders>
            <w:shd w:val="clear" w:color="auto" w:fill="auto"/>
            <w:vAlign w:val="bottom"/>
            <w:hideMark/>
          </w:tcPr>
          <w:p w14:paraId="0786D66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0.024054</w:t>
            </w:r>
          </w:p>
        </w:tc>
        <w:tc>
          <w:tcPr>
            <w:tcW w:w="810" w:type="dxa"/>
            <w:tcBorders>
              <w:top w:val="nil"/>
              <w:left w:val="nil"/>
              <w:bottom w:val="single" w:sz="4" w:space="0" w:color="000000"/>
              <w:right w:val="single" w:sz="4" w:space="0" w:color="auto"/>
            </w:tcBorders>
            <w:shd w:val="clear" w:color="auto" w:fill="auto"/>
            <w:vAlign w:val="bottom"/>
            <w:hideMark/>
          </w:tcPr>
          <w:p w14:paraId="5ADC7E8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0.013</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7EF72C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0.0042</w:t>
            </w:r>
          </w:p>
        </w:tc>
        <w:tc>
          <w:tcPr>
            <w:tcW w:w="990" w:type="dxa"/>
            <w:tcBorders>
              <w:top w:val="nil"/>
              <w:left w:val="nil"/>
              <w:bottom w:val="single" w:sz="4" w:space="0" w:color="000000"/>
              <w:right w:val="nil"/>
            </w:tcBorders>
            <w:shd w:val="clear" w:color="auto" w:fill="auto"/>
            <w:vAlign w:val="bottom"/>
            <w:hideMark/>
          </w:tcPr>
          <w:p w14:paraId="18127BA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572.7%</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181DB2B2"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C01516" w:rsidRPr="009F5E32" w14:paraId="40BDE11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tcPr>
          <w:p w14:paraId="15C65112" w14:textId="349A9379" w:rsidR="00C01516" w:rsidRPr="009F5E32" w:rsidRDefault="00C01516" w:rsidP="00C01516">
            <w:pPr>
              <w:widowControl/>
              <w:autoSpaceDE/>
              <w:autoSpaceDN/>
              <w:adjustRightInd/>
              <w:ind w:left="0" w:firstLine="0"/>
              <w:jc w:val="left"/>
              <w:rPr>
                <w:rFonts w:cs="Arial"/>
                <w:b/>
                <w:sz w:val="14"/>
                <w:szCs w:val="14"/>
              </w:rPr>
            </w:pPr>
            <w:r w:rsidRPr="009F5E32">
              <w:rPr>
                <w:rFonts w:cs="Arial"/>
                <w:b/>
                <w:sz w:val="14"/>
                <w:szCs w:val="14"/>
              </w:rPr>
              <w:t>75-07-0</w:t>
            </w:r>
          </w:p>
        </w:tc>
        <w:tc>
          <w:tcPr>
            <w:tcW w:w="630" w:type="dxa"/>
            <w:tcBorders>
              <w:top w:val="nil"/>
              <w:left w:val="nil"/>
              <w:bottom w:val="single" w:sz="4" w:space="0" w:color="000000"/>
              <w:right w:val="single" w:sz="4" w:space="0" w:color="000000"/>
            </w:tcBorders>
            <w:shd w:val="clear" w:color="auto" w:fill="auto"/>
            <w:vAlign w:val="bottom"/>
          </w:tcPr>
          <w:p w14:paraId="7420DE37" w14:textId="77A586FA"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tcPr>
          <w:p w14:paraId="2BF9CECB" w14:textId="24381FC8"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tcPr>
          <w:p w14:paraId="297F05B5" w14:textId="1827F1FB"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tcPr>
          <w:p w14:paraId="090AC0EE" w14:textId="4F74B81B" w:rsidR="00C01516" w:rsidRPr="009F5E32" w:rsidRDefault="00C01516" w:rsidP="00C01516">
            <w:pPr>
              <w:widowControl/>
              <w:autoSpaceDE/>
              <w:autoSpaceDN/>
              <w:adjustRightInd/>
              <w:ind w:left="0" w:firstLine="0"/>
              <w:jc w:val="left"/>
              <w:rPr>
                <w:rFonts w:cs="Arial"/>
                <w:b/>
                <w:sz w:val="14"/>
                <w:szCs w:val="14"/>
              </w:rPr>
            </w:pPr>
            <w:r w:rsidRPr="009F5E32">
              <w:rPr>
                <w:rFonts w:cs="Arial"/>
                <w:b/>
                <w:sz w:val="14"/>
                <w:szCs w:val="14"/>
              </w:rPr>
              <w:t>Acetaldehyde</w:t>
            </w:r>
          </w:p>
        </w:tc>
        <w:tc>
          <w:tcPr>
            <w:tcW w:w="900" w:type="dxa"/>
            <w:tcBorders>
              <w:top w:val="nil"/>
              <w:left w:val="single" w:sz="4" w:space="0" w:color="auto"/>
              <w:bottom w:val="single" w:sz="4" w:space="0" w:color="000000"/>
              <w:right w:val="single" w:sz="4" w:space="0" w:color="000000"/>
            </w:tcBorders>
            <w:shd w:val="clear" w:color="auto" w:fill="auto"/>
          </w:tcPr>
          <w:p w14:paraId="7C982B92" w14:textId="77BD8A6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0.122412</w:t>
            </w:r>
          </w:p>
        </w:tc>
        <w:tc>
          <w:tcPr>
            <w:tcW w:w="990" w:type="dxa"/>
            <w:tcBorders>
              <w:top w:val="nil"/>
              <w:left w:val="nil"/>
              <w:bottom w:val="single" w:sz="4" w:space="0" w:color="000000"/>
              <w:right w:val="single" w:sz="4" w:space="0" w:color="000000"/>
            </w:tcBorders>
            <w:shd w:val="clear" w:color="auto" w:fill="auto"/>
          </w:tcPr>
          <w:p w14:paraId="74CC7A52" w14:textId="3D7392D2"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0.979294</w:t>
            </w:r>
          </w:p>
        </w:tc>
        <w:tc>
          <w:tcPr>
            <w:tcW w:w="810" w:type="dxa"/>
            <w:tcBorders>
              <w:top w:val="nil"/>
              <w:left w:val="nil"/>
              <w:bottom w:val="single" w:sz="4" w:space="0" w:color="000000"/>
              <w:right w:val="single" w:sz="4" w:space="0" w:color="auto"/>
            </w:tcBorders>
            <w:shd w:val="clear" w:color="auto" w:fill="auto"/>
          </w:tcPr>
          <w:p w14:paraId="637D8669" w14:textId="15D45071"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0.536</w:t>
            </w:r>
          </w:p>
        </w:tc>
        <w:tc>
          <w:tcPr>
            <w:tcW w:w="1080" w:type="dxa"/>
            <w:tcBorders>
              <w:top w:val="nil"/>
              <w:left w:val="single" w:sz="4" w:space="0" w:color="auto"/>
              <w:bottom w:val="single" w:sz="4" w:space="0" w:color="000000"/>
              <w:right w:val="single" w:sz="4" w:space="0" w:color="000000"/>
            </w:tcBorders>
            <w:shd w:val="clear" w:color="auto" w:fill="auto"/>
          </w:tcPr>
          <w:p w14:paraId="619A5644" w14:textId="0D1EC3D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0.0380</w:t>
            </w:r>
          </w:p>
        </w:tc>
        <w:tc>
          <w:tcPr>
            <w:tcW w:w="990" w:type="dxa"/>
            <w:tcBorders>
              <w:top w:val="nil"/>
              <w:left w:val="nil"/>
              <w:bottom w:val="single" w:sz="4" w:space="0" w:color="000000"/>
              <w:right w:val="nil"/>
            </w:tcBorders>
            <w:shd w:val="clear" w:color="auto" w:fill="auto"/>
          </w:tcPr>
          <w:p w14:paraId="78EC4CA9" w14:textId="704BB8D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2577.1%</w:t>
            </w:r>
          </w:p>
        </w:tc>
        <w:tc>
          <w:tcPr>
            <w:tcW w:w="990" w:type="dxa"/>
            <w:tcBorders>
              <w:top w:val="nil"/>
              <w:left w:val="single" w:sz="4" w:space="0" w:color="000000"/>
              <w:bottom w:val="single" w:sz="4" w:space="0" w:color="000000"/>
              <w:right w:val="double" w:sz="4" w:space="0" w:color="auto"/>
            </w:tcBorders>
            <w:shd w:val="clear" w:color="auto" w:fill="auto"/>
          </w:tcPr>
          <w:p w14:paraId="1C45E70F" w14:textId="23FEF09D"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Yes</w:t>
            </w:r>
          </w:p>
        </w:tc>
      </w:tr>
      <w:tr w:rsidR="00D17875" w:rsidRPr="009F5E32" w14:paraId="6DC48429"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7D2F3828"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67-64-1</w:t>
            </w:r>
          </w:p>
        </w:tc>
        <w:tc>
          <w:tcPr>
            <w:tcW w:w="630" w:type="dxa"/>
            <w:tcBorders>
              <w:top w:val="nil"/>
              <w:left w:val="nil"/>
              <w:bottom w:val="single" w:sz="4" w:space="0" w:color="000000"/>
              <w:right w:val="single" w:sz="4" w:space="0" w:color="000000"/>
            </w:tcBorders>
            <w:shd w:val="clear" w:color="auto" w:fill="auto"/>
            <w:vAlign w:val="bottom"/>
            <w:hideMark/>
          </w:tcPr>
          <w:p w14:paraId="178A539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30B5817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3E34F2F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0590EA6"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Acetone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393BCE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0.060191</w:t>
            </w:r>
          </w:p>
        </w:tc>
        <w:tc>
          <w:tcPr>
            <w:tcW w:w="990" w:type="dxa"/>
            <w:tcBorders>
              <w:top w:val="nil"/>
              <w:left w:val="nil"/>
              <w:bottom w:val="single" w:sz="4" w:space="0" w:color="000000"/>
              <w:right w:val="single" w:sz="4" w:space="0" w:color="000000"/>
            </w:tcBorders>
            <w:shd w:val="clear" w:color="auto" w:fill="auto"/>
            <w:vAlign w:val="bottom"/>
            <w:hideMark/>
          </w:tcPr>
          <w:p w14:paraId="15C22E5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0.481529</w:t>
            </w:r>
          </w:p>
        </w:tc>
        <w:tc>
          <w:tcPr>
            <w:tcW w:w="810" w:type="dxa"/>
            <w:tcBorders>
              <w:top w:val="nil"/>
              <w:left w:val="nil"/>
              <w:bottom w:val="single" w:sz="4" w:space="0" w:color="000000"/>
              <w:right w:val="single" w:sz="4" w:space="0" w:color="auto"/>
            </w:tcBorders>
            <w:shd w:val="clear" w:color="auto" w:fill="auto"/>
            <w:vAlign w:val="bottom"/>
            <w:hideMark/>
          </w:tcPr>
          <w:p w14:paraId="5578FD0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0.264</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1D8FB03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26.1</w:t>
            </w:r>
          </w:p>
        </w:tc>
        <w:tc>
          <w:tcPr>
            <w:tcW w:w="990" w:type="dxa"/>
            <w:tcBorders>
              <w:top w:val="nil"/>
              <w:left w:val="nil"/>
              <w:bottom w:val="single" w:sz="4" w:space="0" w:color="000000"/>
              <w:right w:val="nil"/>
            </w:tcBorders>
            <w:shd w:val="clear" w:color="auto" w:fill="auto"/>
            <w:vAlign w:val="bottom"/>
            <w:hideMark/>
          </w:tcPr>
          <w:p w14:paraId="2C67EA1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1.8%</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298BA84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02E9DEC9"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270F1235"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107-13-1</w:t>
            </w:r>
          </w:p>
        </w:tc>
        <w:tc>
          <w:tcPr>
            <w:tcW w:w="630" w:type="dxa"/>
            <w:tcBorders>
              <w:top w:val="nil"/>
              <w:left w:val="nil"/>
              <w:bottom w:val="single" w:sz="4" w:space="0" w:color="000000"/>
              <w:right w:val="single" w:sz="4" w:space="0" w:color="000000"/>
            </w:tcBorders>
            <w:shd w:val="clear" w:color="auto" w:fill="auto"/>
            <w:vAlign w:val="bottom"/>
            <w:hideMark/>
          </w:tcPr>
          <w:p w14:paraId="083A31B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B92886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F88D85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3FDFC55D"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Acrylonitrile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06A3592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0.003467</w:t>
            </w:r>
          </w:p>
        </w:tc>
        <w:tc>
          <w:tcPr>
            <w:tcW w:w="990" w:type="dxa"/>
            <w:tcBorders>
              <w:top w:val="nil"/>
              <w:left w:val="nil"/>
              <w:bottom w:val="single" w:sz="4" w:space="0" w:color="000000"/>
              <w:right w:val="single" w:sz="4" w:space="0" w:color="000000"/>
            </w:tcBorders>
            <w:shd w:val="clear" w:color="auto" w:fill="auto"/>
            <w:vAlign w:val="bottom"/>
            <w:hideMark/>
          </w:tcPr>
          <w:p w14:paraId="439F006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0.027738</w:t>
            </w:r>
          </w:p>
        </w:tc>
        <w:tc>
          <w:tcPr>
            <w:tcW w:w="810" w:type="dxa"/>
            <w:tcBorders>
              <w:top w:val="nil"/>
              <w:left w:val="nil"/>
              <w:bottom w:val="single" w:sz="4" w:space="0" w:color="000000"/>
              <w:right w:val="single" w:sz="4" w:space="0" w:color="auto"/>
            </w:tcBorders>
            <w:shd w:val="clear" w:color="auto" w:fill="auto"/>
            <w:vAlign w:val="bottom"/>
            <w:hideMark/>
          </w:tcPr>
          <w:p w14:paraId="45DE8EA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0.015</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0614BCA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0.0012</w:t>
            </w:r>
          </w:p>
        </w:tc>
        <w:tc>
          <w:tcPr>
            <w:tcW w:w="990" w:type="dxa"/>
            <w:tcBorders>
              <w:top w:val="nil"/>
              <w:left w:val="nil"/>
              <w:bottom w:val="single" w:sz="4" w:space="0" w:color="000000"/>
              <w:right w:val="nil"/>
            </w:tcBorders>
            <w:shd w:val="clear" w:color="auto" w:fill="auto"/>
            <w:vAlign w:val="bottom"/>
            <w:hideMark/>
          </w:tcPr>
          <w:p w14:paraId="6496D7F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2311.5%</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09E72101"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45EADC5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1147A11"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106-93-4</w:t>
            </w:r>
          </w:p>
        </w:tc>
        <w:tc>
          <w:tcPr>
            <w:tcW w:w="630" w:type="dxa"/>
            <w:tcBorders>
              <w:top w:val="nil"/>
              <w:left w:val="nil"/>
              <w:bottom w:val="single" w:sz="4" w:space="0" w:color="000000"/>
              <w:right w:val="single" w:sz="4" w:space="0" w:color="000000"/>
            </w:tcBorders>
            <w:shd w:val="clear" w:color="auto" w:fill="auto"/>
            <w:vAlign w:val="bottom"/>
            <w:hideMark/>
          </w:tcPr>
          <w:p w14:paraId="699BCF1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964B24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718DAA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F886E91"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1,2-Dibromoethane (Ethylene  dibromide)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500671D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0.000028</w:t>
            </w:r>
          </w:p>
        </w:tc>
        <w:tc>
          <w:tcPr>
            <w:tcW w:w="990" w:type="dxa"/>
            <w:tcBorders>
              <w:top w:val="nil"/>
              <w:left w:val="nil"/>
              <w:bottom w:val="single" w:sz="4" w:space="0" w:color="000000"/>
              <w:right w:val="single" w:sz="4" w:space="0" w:color="000000"/>
            </w:tcBorders>
            <w:shd w:val="clear" w:color="auto" w:fill="auto"/>
            <w:vAlign w:val="bottom"/>
            <w:hideMark/>
          </w:tcPr>
          <w:p w14:paraId="224B062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0.000222</w:t>
            </w:r>
          </w:p>
        </w:tc>
        <w:tc>
          <w:tcPr>
            <w:tcW w:w="810" w:type="dxa"/>
            <w:tcBorders>
              <w:top w:val="nil"/>
              <w:left w:val="nil"/>
              <w:bottom w:val="single" w:sz="4" w:space="0" w:color="000000"/>
              <w:right w:val="single" w:sz="4" w:space="0" w:color="auto"/>
            </w:tcBorders>
            <w:shd w:val="clear" w:color="auto" w:fill="auto"/>
            <w:vAlign w:val="bottom"/>
            <w:hideMark/>
          </w:tcPr>
          <w:p w14:paraId="3338AC7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203DFD7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0.00037</w:t>
            </w:r>
          </w:p>
        </w:tc>
        <w:tc>
          <w:tcPr>
            <w:tcW w:w="990" w:type="dxa"/>
            <w:tcBorders>
              <w:top w:val="nil"/>
              <w:left w:val="nil"/>
              <w:bottom w:val="single" w:sz="4" w:space="0" w:color="000000"/>
              <w:right w:val="nil"/>
            </w:tcBorders>
            <w:shd w:val="clear" w:color="auto" w:fill="auto"/>
            <w:vAlign w:val="bottom"/>
            <w:hideMark/>
          </w:tcPr>
          <w:p w14:paraId="0531B81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60.1%</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5F6F24F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2A825F0C"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5E130A88"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106-46-7</w:t>
            </w:r>
          </w:p>
        </w:tc>
        <w:tc>
          <w:tcPr>
            <w:tcW w:w="630" w:type="dxa"/>
            <w:tcBorders>
              <w:top w:val="nil"/>
              <w:left w:val="nil"/>
              <w:bottom w:val="single" w:sz="4" w:space="0" w:color="000000"/>
              <w:right w:val="single" w:sz="4" w:space="0" w:color="000000"/>
            </w:tcBorders>
            <w:shd w:val="clear" w:color="auto" w:fill="auto"/>
            <w:vAlign w:val="bottom"/>
            <w:hideMark/>
          </w:tcPr>
          <w:p w14:paraId="1B87EDF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8C08EB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E3003F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3314A30C"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1,4-Dichlorobenzene (p-dichlorobenzene)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39BFE36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0.004564</w:t>
            </w:r>
          </w:p>
        </w:tc>
        <w:tc>
          <w:tcPr>
            <w:tcW w:w="990" w:type="dxa"/>
            <w:tcBorders>
              <w:top w:val="nil"/>
              <w:left w:val="nil"/>
              <w:bottom w:val="single" w:sz="4" w:space="0" w:color="000000"/>
              <w:right w:val="single" w:sz="4" w:space="0" w:color="000000"/>
            </w:tcBorders>
            <w:shd w:val="clear" w:color="auto" w:fill="auto"/>
            <w:vAlign w:val="bottom"/>
            <w:hideMark/>
          </w:tcPr>
          <w:p w14:paraId="1184547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0.036510</w:t>
            </w:r>
          </w:p>
        </w:tc>
        <w:tc>
          <w:tcPr>
            <w:tcW w:w="810" w:type="dxa"/>
            <w:tcBorders>
              <w:top w:val="nil"/>
              <w:left w:val="nil"/>
              <w:bottom w:val="single" w:sz="4" w:space="0" w:color="000000"/>
              <w:right w:val="single" w:sz="4" w:space="0" w:color="auto"/>
            </w:tcBorders>
            <w:shd w:val="clear" w:color="auto" w:fill="auto"/>
            <w:vAlign w:val="bottom"/>
            <w:hideMark/>
          </w:tcPr>
          <w:p w14:paraId="1CA935D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0.020</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2283666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single" w:sz="4" w:space="0" w:color="000000"/>
            </w:tcBorders>
            <w:shd w:val="clear" w:color="auto" w:fill="auto"/>
            <w:vAlign w:val="bottom"/>
            <w:hideMark/>
          </w:tcPr>
          <w:p w14:paraId="25FD3DF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double" w:sz="4" w:space="0" w:color="auto"/>
            </w:tcBorders>
            <w:shd w:val="clear" w:color="auto" w:fill="auto"/>
            <w:vAlign w:val="bottom"/>
            <w:hideMark/>
          </w:tcPr>
          <w:p w14:paraId="7F3EE27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3E15AC8A"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6852034"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108-10-1</w:t>
            </w:r>
          </w:p>
        </w:tc>
        <w:tc>
          <w:tcPr>
            <w:tcW w:w="630" w:type="dxa"/>
            <w:tcBorders>
              <w:top w:val="nil"/>
              <w:left w:val="nil"/>
              <w:bottom w:val="single" w:sz="4" w:space="0" w:color="000000"/>
              <w:right w:val="single" w:sz="4" w:space="0" w:color="000000"/>
            </w:tcBorders>
            <w:shd w:val="clear" w:color="auto" w:fill="auto"/>
            <w:vAlign w:val="bottom"/>
            <w:hideMark/>
          </w:tcPr>
          <w:p w14:paraId="1C316AB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ED7EA0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C3A494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5319820E"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4-Methyl-2-Pentanone (Methyl  isobutyl  ketone)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49F307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0.027690</w:t>
            </w:r>
          </w:p>
        </w:tc>
        <w:tc>
          <w:tcPr>
            <w:tcW w:w="990" w:type="dxa"/>
            <w:tcBorders>
              <w:top w:val="nil"/>
              <w:left w:val="nil"/>
              <w:bottom w:val="single" w:sz="4" w:space="0" w:color="000000"/>
              <w:right w:val="single" w:sz="4" w:space="0" w:color="000000"/>
            </w:tcBorders>
            <w:shd w:val="clear" w:color="auto" w:fill="auto"/>
            <w:vAlign w:val="bottom"/>
            <w:hideMark/>
          </w:tcPr>
          <w:p w14:paraId="3A126BB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0.221521</w:t>
            </w:r>
          </w:p>
        </w:tc>
        <w:tc>
          <w:tcPr>
            <w:tcW w:w="810" w:type="dxa"/>
            <w:tcBorders>
              <w:top w:val="nil"/>
              <w:left w:val="nil"/>
              <w:bottom w:val="single" w:sz="4" w:space="0" w:color="000000"/>
              <w:right w:val="single" w:sz="4" w:space="0" w:color="auto"/>
            </w:tcBorders>
            <w:shd w:val="clear" w:color="auto" w:fill="auto"/>
            <w:vAlign w:val="bottom"/>
            <w:hideMark/>
          </w:tcPr>
          <w:p w14:paraId="6FBA3CD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0.121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6BBFDC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249</w:t>
            </w:r>
          </w:p>
        </w:tc>
        <w:tc>
          <w:tcPr>
            <w:tcW w:w="990" w:type="dxa"/>
            <w:tcBorders>
              <w:top w:val="nil"/>
              <w:left w:val="nil"/>
              <w:bottom w:val="single" w:sz="4" w:space="0" w:color="000000"/>
              <w:right w:val="nil"/>
            </w:tcBorders>
            <w:shd w:val="clear" w:color="auto" w:fill="auto"/>
            <w:vAlign w:val="bottom"/>
            <w:hideMark/>
          </w:tcPr>
          <w:p w14:paraId="0502E19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5A95C0E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0B2E7B16"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0890F6F"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71-43-2</w:t>
            </w:r>
          </w:p>
        </w:tc>
        <w:tc>
          <w:tcPr>
            <w:tcW w:w="630" w:type="dxa"/>
            <w:tcBorders>
              <w:top w:val="nil"/>
              <w:left w:val="nil"/>
              <w:bottom w:val="single" w:sz="4" w:space="0" w:color="000000"/>
              <w:right w:val="single" w:sz="4" w:space="0" w:color="000000"/>
            </w:tcBorders>
            <w:shd w:val="clear" w:color="auto" w:fill="auto"/>
            <w:vAlign w:val="bottom"/>
            <w:hideMark/>
          </w:tcPr>
          <w:p w14:paraId="0522055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533C9A7"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ECBC67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5A8A7370"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Benzene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0C7B7B37"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0.011663</w:t>
            </w:r>
          </w:p>
        </w:tc>
        <w:tc>
          <w:tcPr>
            <w:tcW w:w="990" w:type="dxa"/>
            <w:tcBorders>
              <w:top w:val="nil"/>
              <w:left w:val="nil"/>
              <w:bottom w:val="single" w:sz="4" w:space="0" w:color="000000"/>
              <w:right w:val="single" w:sz="4" w:space="0" w:color="000000"/>
            </w:tcBorders>
            <w:shd w:val="clear" w:color="auto" w:fill="auto"/>
            <w:vAlign w:val="bottom"/>
            <w:hideMark/>
          </w:tcPr>
          <w:p w14:paraId="7832933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0.093305</w:t>
            </w:r>
          </w:p>
        </w:tc>
        <w:tc>
          <w:tcPr>
            <w:tcW w:w="810" w:type="dxa"/>
            <w:tcBorders>
              <w:top w:val="nil"/>
              <w:left w:val="nil"/>
              <w:bottom w:val="single" w:sz="4" w:space="0" w:color="000000"/>
              <w:right w:val="single" w:sz="4" w:space="0" w:color="auto"/>
            </w:tcBorders>
            <w:shd w:val="clear" w:color="auto" w:fill="auto"/>
            <w:vAlign w:val="bottom"/>
            <w:hideMark/>
          </w:tcPr>
          <w:p w14:paraId="4745B11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0.051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7A6B32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0.011</w:t>
            </w:r>
          </w:p>
        </w:tc>
        <w:tc>
          <w:tcPr>
            <w:tcW w:w="990" w:type="dxa"/>
            <w:tcBorders>
              <w:top w:val="nil"/>
              <w:left w:val="nil"/>
              <w:bottom w:val="single" w:sz="4" w:space="0" w:color="000000"/>
              <w:right w:val="nil"/>
            </w:tcBorders>
            <w:shd w:val="clear" w:color="auto" w:fill="auto"/>
            <w:vAlign w:val="bottom"/>
            <w:hideMark/>
          </w:tcPr>
          <w:p w14:paraId="313431D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848.2%</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3A69E2CC"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10B94AF1"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1134BFB4"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75-27-4</w:t>
            </w:r>
          </w:p>
        </w:tc>
        <w:tc>
          <w:tcPr>
            <w:tcW w:w="630" w:type="dxa"/>
            <w:tcBorders>
              <w:top w:val="nil"/>
              <w:left w:val="nil"/>
              <w:bottom w:val="single" w:sz="4" w:space="0" w:color="000000"/>
              <w:right w:val="single" w:sz="4" w:space="0" w:color="000000"/>
            </w:tcBorders>
            <w:shd w:val="clear" w:color="auto" w:fill="auto"/>
            <w:vAlign w:val="bottom"/>
            <w:hideMark/>
          </w:tcPr>
          <w:p w14:paraId="2FAB258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3CB43F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37FA729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E0A858A"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Bromodichloromethane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4B1B69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0.075810</w:t>
            </w:r>
          </w:p>
        </w:tc>
        <w:tc>
          <w:tcPr>
            <w:tcW w:w="990" w:type="dxa"/>
            <w:tcBorders>
              <w:top w:val="nil"/>
              <w:left w:val="nil"/>
              <w:bottom w:val="single" w:sz="4" w:space="0" w:color="000000"/>
              <w:right w:val="single" w:sz="4" w:space="0" w:color="000000"/>
            </w:tcBorders>
            <w:shd w:val="clear" w:color="auto" w:fill="auto"/>
            <w:vAlign w:val="bottom"/>
            <w:hideMark/>
          </w:tcPr>
          <w:p w14:paraId="00B6357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0.606479</w:t>
            </w:r>
          </w:p>
        </w:tc>
        <w:tc>
          <w:tcPr>
            <w:tcW w:w="810" w:type="dxa"/>
            <w:tcBorders>
              <w:top w:val="nil"/>
              <w:left w:val="nil"/>
              <w:bottom w:val="single" w:sz="4" w:space="0" w:color="000000"/>
              <w:right w:val="single" w:sz="4" w:space="0" w:color="auto"/>
            </w:tcBorders>
            <w:shd w:val="clear" w:color="auto" w:fill="auto"/>
            <w:vAlign w:val="bottom"/>
            <w:hideMark/>
          </w:tcPr>
          <w:p w14:paraId="692EE19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0.332</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4690336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0.0046</w:t>
            </w:r>
          </w:p>
        </w:tc>
        <w:tc>
          <w:tcPr>
            <w:tcW w:w="990" w:type="dxa"/>
            <w:tcBorders>
              <w:top w:val="nil"/>
              <w:left w:val="nil"/>
              <w:bottom w:val="single" w:sz="4" w:space="0" w:color="000000"/>
              <w:right w:val="nil"/>
            </w:tcBorders>
            <w:shd w:val="clear" w:color="auto" w:fill="auto"/>
            <w:vAlign w:val="bottom"/>
            <w:hideMark/>
          </w:tcPr>
          <w:p w14:paraId="25108614"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13184.3%</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05F485AF"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46D6E791"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2F7CB427"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75-15-0</w:t>
            </w:r>
          </w:p>
        </w:tc>
        <w:tc>
          <w:tcPr>
            <w:tcW w:w="630" w:type="dxa"/>
            <w:tcBorders>
              <w:top w:val="nil"/>
              <w:left w:val="nil"/>
              <w:bottom w:val="single" w:sz="4" w:space="0" w:color="000000"/>
              <w:right w:val="single" w:sz="4" w:space="0" w:color="000000"/>
            </w:tcBorders>
            <w:shd w:val="clear" w:color="auto" w:fill="auto"/>
            <w:vAlign w:val="bottom"/>
            <w:hideMark/>
          </w:tcPr>
          <w:p w14:paraId="5E18034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A427CB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3B7E5C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00F6E6F4"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Carbon disulfide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B06C21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0.006528</w:t>
            </w:r>
          </w:p>
        </w:tc>
        <w:tc>
          <w:tcPr>
            <w:tcW w:w="990" w:type="dxa"/>
            <w:tcBorders>
              <w:top w:val="nil"/>
              <w:left w:val="nil"/>
              <w:bottom w:val="single" w:sz="4" w:space="0" w:color="000000"/>
              <w:right w:val="single" w:sz="4" w:space="0" w:color="000000"/>
            </w:tcBorders>
            <w:shd w:val="clear" w:color="auto" w:fill="auto"/>
            <w:vAlign w:val="bottom"/>
            <w:hideMark/>
          </w:tcPr>
          <w:p w14:paraId="6D50763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0.052223</w:t>
            </w:r>
          </w:p>
        </w:tc>
        <w:tc>
          <w:tcPr>
            <w:tcW w:w="810" w:type="dxa"/>
            <w:tcBorders>
              <w:top w:val="nil"/>
              <w:left w:val="nil"/>
              <w:bottom w:val="single" w:sz="4" w:space="0" w:color="000000"/>
              <w:right w:val="single" w:sz="4" w:space="0" w:color="auto"/>
            </w:tcBorders>
            <w:shd w:val="clear" w:color="auto" w:fill="auto"/>
            <w:vAlign w:val="bottom"/>
            <w:hideMark/>
          </w:tcPr>
          <w:p w14:paraId="42D5335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0.029</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081EF70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54.5</w:t>
            </w:r>
          </w:p>
        </w:tc>
        <w:tc>
          <w:tcPr>
            <w:tcW w:w="990" w:type="dxa"/>
            <w:tcBorders>
              <w:top w:val="nil"/>
              <w:left w:val="nil"/>
              <w:bottom w:val="single" w:sz="4" w:space="0" w:color="000000"/>
              <w:right w:val="nil"/>
            </w:tcBorders>
            <w:shd w:val="clear" w:color="auto" w:fill="auto"/>
            <w:vAlign w:val="bottom"/>
            <w:hideMark/>
          </w:tcPr>
          <w:p w14:paraId="26F8B04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2D8E4AC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2009CD6E"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3D7E7F84"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56-23-5</w:t>
            </w:r>
          </w:p>
        </w:tc>
        <w:tc>
          <w:tcPr>
            <w:tcW w:w="630" w:type="dxa"/>
            <w:tcBorders>
              <w:top w:val="nil"/>
              <w:left w:val="nil"/>
              <w:bottom w:val="single" w:sz="4" w:space="0" w:color="000000"/>
              <w:right w:val="single" w:sz="4" w:space="0" w:color="000000"/>
            </w:tcBorders>
            <w:shd w:val="clear" w:color="auto" w:fill="auto"/>
            <w:vAlign w:val="bottom"/>
            <w:hideMark/>
          </w:tcPr>
          <w:p w14:paraId="38EEBCA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9C71F8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710D92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4C688577"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Carbon tetrachloride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60D4F23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0.000091</w:t>
            </w:r>
          </w:p>
        </w:tc>
        <w:tc>
          <w:tcPr>
            <w:tcW w:w="990" w:type="dxa"/>
            <w:tcBorders>
              <w:top w:val="nil"/>
              <w:left w:val="nil"/>
              <w:bottom w:val="single" w:sz="4" w:space="0" w:color="000000"/>
              <w:right w:val="single" w:sz="4" w:space="0" w:color="000000"/>
            </w:tcBorders>
            <w:shd w:val="clear" w:color="auto" w:fill="auto"/>
            <w:vAlign w:val="bottom"/>
            <w:hideMark/>
          </w:tcPr>
          <w:p w14:paraId="645CBC2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0.000728</w:t>
            </w:r>
          </w:p>
        </w:tc>
        <w:tc>
          <w:tcPr>
            <w:tcW w:w="810" w:type="dxa"/>
            <w:tcBorders>
              <w:top w:val="nil"/>
              <w:left w:val="nil"/>
              <w:bottom w:val="single" w:sz="4" w:space="0" w:color="000000"/>
              <w:right w:val="single" w:sz="4" w:space="0" w:color="auto"/>
            </w:tcBorders>
            <w:shd w:val="clear" w:color="auto" w:fill="auto"/>
            <w:vAlign w:val="bottom"/>
            <w:hideMark/>
          </w:tcPr>
          <w:p w14:paraId="54AA5F3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2714567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0.0055</w:t>
            </w:r>
          </w:p>
        </w:tc>
        <w:tc>
          <w:tcPr>
            <w:tcW w:w="990" w:type="dxa"/>
            <w:tcBorders>
              <w:top w:val="nil"/>
              <w:left w:val="nil"/>
              <w:bottom w:val="single" w:sz="4" w:space="0" w:color="000000"/>
              <w:right w:val="nil"/>
            </w:tcBorders>
            <w:shd w:val="clear" w:color="auto" w:fill="auto"/>
            <w:vAlign w:val="bottom"/>
            <w:hideMark/>
          </w:tcPr>
          <w:p w14:paraId="5244F82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13.2%</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3AEFE3F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16EB4541"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331AC61C"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463-58-1</w:t>
            </w:r>
          </w:p>
        </w:tc>
        <w:tc>
          <w:tcPr>
            <w:tcW w:w="630" w:type="dxa"/>
            <w:tcBorders>
              <w:top w:val="nil"/>
              <w:left w:val="nil"/>
              <w:bottom w:val="single" w:sz="4" w:space="0" w:color="000000"/>
              <w:right w:val="single" w:sz="4" w:space="0" w:color="000000"/>
            </w:tcBorders>
            <w:shd w:val="clear" w:color="auto" w:fill="auto"/>
            <w:vAlign w:val="bottom"/>
            <w:hideMark/>
          </w:tcPr>
          <w:p w14:paraId="252EEF2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499498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7A6161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9AA0843"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Carbonyl  sulfide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2B0BA3A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0.004352</w:t>
            </w:r>
          </w:p>
        </w:tc>
        <w:tc>
          <w:tcPr>
            <w:tcW w:w="990" w:type="dxa"/>
            <w:tcBorders>
              <w:top w:val="nil"/>
              <w:left w:val="nil"/>
              <w:bottom w:val="single" w:sz="4" w:space="0" w:color="000000"/>
              <w:right w:val="single" w:sz="4" w:space="0" w:color="000000"/>
            </w:tcBorders>
            <w:shd w:val="clear" w:color="auto" w:fill="auto"/>
            <w:vAlign w:val="bottom"/>
            <w:hideMark/>
          </w:tcPr>
          <w:p w14:paraId="7891B85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0.034812</w:t>
            </w:r>
          </w:p>
        </w:tc>
        <w:tc>
          <w:tcPr>
            <w:tcW w:w="810" w:type="dxa"/>
            <w:tcBorders>
              <w:top w:val="nil"/>
              <w:left w:val="nil"/>
              <w:bottom w:val="single" w:sz="4" w:space="0" w:color="000000"/>
              <w:right w:val="single" w:sz="4" w:space="0" w:color="auto"/>
            </w:tcBorders>
            <w:shd w:val="clear" w:color="auto" w:fill="auto"/>
            <w:vAlign w:val="bottom"/>
            <w:hideMark/>
          </w:tcPr>
          <w:p w14:paraId="095A0C2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0.019</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E90AAC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single" w:sz="4" w:space="0" w:color="000000"/>
            </w:tcBorders>
            <w:shd w:val="clear" w:color="auto" w:fill="auto"/>
            <w:vAlign w:val="bottom"/>
            <w:hideMark/>
          </w:tcPr>
          <w:p w14:paraId="6EF55FA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double" w:sz="4" w:space="0" w:color="auto"/>
            </w:tcBorders>
            <w:shd w:val="clear" w:color="auto" w:fill="auto"/>
            <w:vAlign w:val="bottom"/>
            <w:hideMark/>
          </w:tcPr>
          <w:p w14:paraId="56625F3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7BEF6FB1"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5ACC8FA6"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108-90-7</w:t>
            </w:r>
          </w:p>
        </w:tc>
        <w:tc>
          <w:tcPr>
            <w:tcW w:w="630" w:type="dxa"/>
            <w:tcBorders>
              <w:top w:val="nil"/>
              <w:left w:val="nil"/>
              <w:bottom w:val="single" w:sz="4" w:space="0" w:color="000000"/>
              <w:right w:val="single" w:sz="4" w:space="0" w:color="000000"/>
            </w:tcBorders>
            <w:shd w:val="clear" w:color="auto" w:fill="auto"/>
            <w:vAlign w:val="bottom"/>
            <w:hideMark/>
          </w:tcPr>
          <w:p w14:paraId="74AFC69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6638A2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3B772E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2FBFCA02"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Chlorobenzene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6BB56A2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0.001388</w:t>
            </w:r>
          </w:p>
        </w:tc>
        <w:tc>
          <w:tcPr>
            <w:tcW w:w="990" w:type="dxa"/>
            <w:tcBorders>
              <w:top w:val="nil"/>
              <w:left w:val="nil"/>
              <w:bottom w:val="single" w:sz="4" w:space="0" w:color="000000"/>
              <w:right w:val="single" w:sz="4" w:space="0" w:color="000000"/>
            </w:tcBorders>
            <w:shd w:val="clear" w:color="auto" w:fill="auto"/>
            <w:vAlign w:val="bottom"/>
            <w:hideMark/>
          </w:tcPr>
          <w:p w14:paraId="29B5E8D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0.011103</w:t>
            </w:r>
          </w:p>
        </w:tc>
        <w:tc>
          <w:tcPr>
            <w:tcW w:w="810" w:type="dxa"/>
            <w:tcBorders>
              <w:top w:val="nil"/>
              <w:left w:val="nil"/>
              <w:bottom w:val="single" w:sz="4" w:space="0" w:color="000000"/>
              <w:right w:val="single" w:sz="4" w:space="0" w:color="auto"/>
            </w:tcBorders>
            <w:shd w:val="clear" w:color="auto" w:fill="auto"/>
            <w:vAlign w:val="bottom"/>
            <w:hideMark/>
          </w:tcPr>
          <w:p w14:paraId="42B2E41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0.006</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63E5FC1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0.2</w:t>
            </w:r>
          </w:p>
        </w:tc>
        <w:tc>
          <w:tcPr>
            <w:tcW w:w="990" w:type="dxa"/>
            <w:tcBorders>
              <w:top w:val="nil"/>
              <w:left w:val="nil"/>
              <w:bottom w:val="single" w:sz="4" w:space="0" w:color="000000"/>
              <w:right w:val="nil"/>
            </w:tcBorders>
            <w:shd w:val="clear" w:color="auto" w:fill="auto"/>
            <w:vAlign w:val="bottom"/>
            <w:hideMark/>
          </w:tcPr>
          <w:p w14:paraId="0905944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5.6%</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3615C33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6467351A"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2B9CE186"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75-00-3</w:t>
            </w:r>
          </w:p>
        </w:tc>
        <w:tc>
          <w:tcPr>
            <w:tcW w:w="630" w:type="dxa"/>
            <w:tcBorders>
              <w:top w:val="nil"/>
              <w:left w:val="nil"/>
              <w:bottom w:val="single" w:sz="4" w:space="0" w:color="000000"/>
              <w:right w:val="single" w:sz="4" w:space="0" w:color="000000"/>
            </w:tcBorders>
            <w:shd w:val="clear" w:color="auto" w:fill="auto"/>
            <w:vAlign w:val="bottom"/>
            <w:hideMark/>
          </w:tcPr>
          <w:p w14:paraId="3C848DD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442923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8EF9C9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2B576CE7"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Chloroethane (Ethyl 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53F9B32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0.011923</w:t>
            </w:r>
          </w:p>
        </w:tc>
        <w:tc>
          <w:tcPr>
            <w:tcW w:w="990" w:type="dxa"/>
            <w:tcBorders>
              <w:top w:val="nil"/>
              <w:left w:val="nil"/>
              <w:bottom w:val="single" w:sz="4" w:space="0" w:color="000000"/>
              <w:right w:val="single" w:sz="4" w:space="0" w:color="000000"/>
            </w:tcBorders>
            <w:shd w:val="clear" w:color="auto" w:fill="auto"/>
            <w:vAlign w:val="bottom"/>
            <w:hideMark/>
          </w:tcPr>
          <w:p w14:paraId="2D5AEC2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0.095386</w:t>
            </w:r>
          </w:p>
        </w:tc>
        <w:tc>
          <w:tcPr>
            <w:tcW w:w="810" w:type="dxa"/>
            <w:tcBorders>
              <w:top w:val="nil"/>
              <w:left w:val="nil"/>
              <w:bottom w:val="single" w:sz="4" w:space="0" w:color="000000"/>
              <w:right w:val="single" w:sz="4" w:space="0" w:color="auto"/>
            </w:tcBorders>
            <w:shd w:val="clear" w:color="auto" w:fill="auto"/>
            <w:vAlign w:val="bottom"/>
            <w:hideMark/>
          </w:tcPr>
          <w:p w14:paraId="14239B1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0.052</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3500CCC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single" w:sz="4" w:space="0" w:color="000000"/>
            </w:tcBorders>
            <w:shd w:val="clear" w:color="auto" w:fill="auto"/>
            <w:vAlign w:val="bottom"/>
            <w:hideMark/>
          </w:tcPr>
          <w:p w14:paraId="7ABC632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sz w:val="14"/>
                <w:szCs w:val="14"/>
              </w:rPr>
              <w:t>--</w:t>
            </w:r>
          </w:p>
        </w:tc>
        <w:tc>
          <w:tcPr>
            <w:tcW w:w="990" w:type="dxa"/>
            <w:tcBorders>
              <w:top w:val="nil"/>
              <w:left w:val="nil"/>
              <w:bottom w:val="single" w:sz="4" w:space="0" w:color="000000"/>
              <w:right w:val="double" w:sz="4" w:space="0" w:color="auto"/>
            </w:tcBorders>
            <w:shd w:val="clear" w:color="auto" w:fill="auto"/>
            <w:vAlign w:val="bottom"/>
            <w:hideMark/>
          </w:tcPr>
          <w:p w14:paraId="2833C05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51248BE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66D22AD" w14:textId="77777777" w:rsidR="00F0283E" w:rsidRPr="009F5E32" w:rsidRDefault="00F0283E" w:rsidP="00F0283E">
            <w:pPr>
              <w:widowControl/>
              <w:autoSpaceDE/>
              <w:autoSpaceDN/>
              <w:adjustRightInd/>
              <w:ind w:left="0" w:firstLine="0"/>
              <w:jc w:val="left"/>
              <w:rPr>
                <w:rFonts w:cs="Arial"/>
                <w:b/>
                <w:sz w:val="14"/>
                <w:szCs w:val="14"/>
              </w:rPr>
            </w:pPr>
            <w:r w:rsidRPr="009F5E32">
              <w:rPr>
                <w:rFonts w:cs="Arial"/>
                <w:b/>
                <w:sz w:val="14"/>
                <w:szCs w:val="14"/>
              </w:rPr>
              <w:t>67-66-3</w:t>
            </w:r>
          </w:p>
        </w:tc>
        <w:tc>
          <w:tcPr>
            <w:tcW w:w="630" w:type="dxa"/>
            <w:tcBorders>
              <w:top w:val="nil"/>
              <w:left w:val="nil"/>
              <w:bottom w:val="single" w:sz="4" w:space="0" w:color="000000"/>
              <w:right w:val="single" w:sz="4" w:space="0" w:color="000000"/>
            </w:tcBorders>
            <w:shd w:val="clear" w:color="auto" w:fill="auto"/>
            <w:vAlign w:val="bottom"/>
            <w:hideMark/>
          </w:tcPr>
          <w:p w14:paraId="03D826D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6568702"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086121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02710FAB"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Chloroform</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672CAA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0.000530</w:t>
            </w:r>
          </w:p>
        </w:tc>
        <w:tc>
          <w:tcPr>
            <w:tcW w:w="990" w:type="dxa"/>
            <w:tcBorders>
              <w:top w:val="nil"/>
              <w:left w:val="nil"/>
              <w:bottom w:val="single" w:sz="4" w:space="0" w:color="000000"/>
              <w:right w:val="single" w:sz="4" w:space="0" w:color="000000"/>
            </w:tcBorders>
            <w:shd w:val="clear" w:color="auto" w:fill="auto"/>
            <w:vAlign w:val="bottom"/>
            <w:hideMark/>
          </w:tcPr>
          <w:p w14:paraId="3CD4E64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0.004236</w:t>
            </w:r>
          </w:p>
        </w:tc>
        <w:tc>
          <w:tcPr>
            <w:tcW w:w="810" w:type="dxa"/>
            <w:tcBorders>
              <w:top w:val="nil"/>
              <w:left w:val="nil"/>
              <w:bottom w:val="single" w:sz="4" w:space="0" w:color="000000"/>
              <w:right w:val="single" w:sz="4" w:space="0" w:color="auto"/>
            </w:tcBorders>
            <w:shd w:val="clear" w:color="auto" w:fill="auto"/>
            <w:vAlign w:val="bottom"/>
            <w:hideMark/>
          </w:tcPr>
          <w:p w14:paraId="4E92DD1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0.002</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733907D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0.0036</w:t>
            </w:r>
          </w:p>
        </w:tc>
        <w:tc>
          <w:tcPr>
            <w:tcW w:w="990" w:type="dxa"/>
            <w:tcBorders>
              <w:top w:val="nil"/>
              <w:left w:val="nil"/>
              <w:bottom w:val="single" w:sz="4" w:space="0" w:color="000000"/>
              <w:right w:val="nil"/>
            </w:tcBorders>
            <w:shd w:val="clear" w:color="auto" w:fill="auto"/>
            <w:vAlign w:val="bottom"/>
            <w:hideMark/>
          </w:tcPr>
          <w:p w14:paraId="6DEE6AF7"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117.7%</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6E8A77D8"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7E9125AA"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02174508"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75-71-8</w:t>
            </w:r>
          </w:p>
        </w:tc>
        <w:tc>
          <w:tcPr>
            <w:tcW w:w="630" w:type="dxa"/>
            <w:tcBorders>
              <w:top w:val="nil"/>
              <w:left w:val="nil"/>
              <w:bottom w:val="single" w:sz="4" w:space="0" w:color="000000"/>
              <w:right w:val="single" w:sz="4" w:space="0" w:color="000000"/>
            </w:tcBorders>
            <w:shd w:val="clear" w:color="auto" w:fill="auto"/>
            <w:vAlign w:val="bottom"/>
            <w:hideMark/>
          </w:tcPr>
          <w:p w14:paraId="51BFF4E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4C23608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043B936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7C93C21E"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Dichlorodifluoromethane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B8AECF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0.280640</w:t>
            </w:r>
          </w:p>
        </w:tc>
        <w:tc>
          <w:tcPr>
            <w:tcW w:w="990" w:type="dxa"/>
            <w:tcBorders>
              <w:top w:val="nil"/>
              <w:left w:val="nil"/>
              <w:bottom w:val="single" w:sz="4" w:space="0" w:color="000000"/>
              <w:right w:val="single" w:sz="4" w:space="0" w:color="000000"/>
            </w:tcBorders>
            <w:shd w:val="clear" w:color="auto" w:fill="auto"/>
            <w:vAlign w:val="bottom"/>
            <w:hideMark/>
          </w:tcPr>
          <w:p w14:paraId="2BB1812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2.245123</w:t>
            </w:r>
          </w:p>
        </w:tc>
        <w:tc>
          <w:tcPr>
            <w:tcW w:w="810" w:type="dxa"/>
            <w:tcBorders>
              <w:top w:val="nil"/>
              <w:left w:val="nil"/>
              <w:bottom w:val="single" w:sz="4" w:space="0" w:color="000000"/>
              <w:right w:val="single" w:sz="4" w:space="0" w:color="auto"/>
            </w:tcBorders>
            <w:shd w:val="clear" w:color="auto" w:fill="auto"/>
            <w:vAlign w:val="bottom"/>
            <w:hideMark/>
          </w:tcPr>
          <w:p w14:paraId="53B431D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1.229</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42EA122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16.6</w:t>
            </w:r>
          </w:p>
        </w:tc>
        <w:tc>
          <w:tcPr>
            <w:tcW w:w="990" w:type="dxa"/>
            <w:tcBorders>
              <w:top w:val="nil"/>
              <w:left w:val="nil"/>
              <w:bottom w:val="single" w:sz="4" w:space="0" w:color="000000"/>
              <w:right w:val="nil"/>
            </w:tcBorders>
            <w:shd w:val="clear" w:color="auto" w:fill="auto"/>
            <w:vAlign w:val="bottom"/>
            <w:hideMark/>
          </w:tcPr>
          <w:p w14:paraId="28C7295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13.5%</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7B8A2A9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41CA7D58"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215EF527"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75-09-2</w:t>
            </w:r>
          </w:p>
        </w:tc>
        <w:tc>
          <w:tcPr>
            <w:tcW w:w="630" w:type="dxa"/>
            <w:tcBorders>
              <w:top w:val="nil"/>
              <w:left w:val="nil"/>
              <w:bottom w:val="single" w:sz="4" w:space="0" w:color="000000"/>
              <w:right w:val="single" w:sz="4" w:space="0" w:color="000000"/>
            </w:tcBorders>
            <w:shd w:val="clear" w:color="auto" w:fill="auto"/>
            <w:vAlign w:val="bottom"/>
            <w:hideMark/>
          </w:tcPr>
          <w:p w14:paraId="52EF9F8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4DC7C706"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42B07E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01D9D5ED"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Dichloromethane (Methylene 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CF0856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0.482205</w:t>
            </w:r>
          </w:p>
        </w:tc>
        <w:tc>
          <w:tcPr>
            <w:tcW w:w="990" w:type="dxa"/>
            <w:tcBorders>
              <w:top w:val="nil"/>
              <w:left w:val="nil"/>
              <w:bottom w:val="single" w:sz="4" w:space="0" w:color="000000"/>
              <w:right w:val="single" w:sz="4" w:space="0" w:color="000000"/>
            </w:tcBorders>
            <w:shd w:val="clear" w:color="auto" w:fill="auto"/>
            <w:vAlign w:val="bottom"/>
            <w:hideMark/>
          </w:tcPr>
          <w:p w14:paraId="523A322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3.857640</w:t>
            </w:r>
          </w:p>
        </w:tc>
        <w:tc>
          <w:tcPr>
            <w:tcW w:w="810" w:type="dxa"/>
            <w:tcBorders>
              <w:top w:val="nil"/>
              <w:left w:val="nil"/>
              <w:bottom w:val="single" w:sz="4" w:space="0" w:color="000000"/>
              <w:right w:val="single" w:sz="4" w:space="0" w:color="auto"/>
            </w:tcBorders>
            <w:shd w:val="clear" w:color="auto" w:fill="auto"/>
            <w:vAlign w:val="bottom"/>
            <w:hideMark/>
          </w:tcPr>
          <w:p w14:paraId="1DA4124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2.112</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3A5E52D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0.17</w:t>
            </w:r>
          </w:p>
        </w:tc>
        <w:tc>
          <w:tcPr>
            <w:tcW w:w="990" w:type="dxa"/>
            <w:tcBorders>
              <w:top w:val="nil"/>
              <w:left w:val="nil"/>
              <w:bottom w:val="single" w:sz="4" w:space="0" w:color="000000"/>
              <w:right w:val="nil"/>
            </w:tcBorders>
            <w:shd w:val="clear" w:color="auto" w:fill="auto"/>
            <w:vAlign w:val="bottom"/>
            <w:hideMark/>
          </w:tcPr>
          <w:p w14:paraId="4F9DA1A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2269.2%</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6D506F4B"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205A88F8"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10375E6E"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75-08-1</w:t>
            </w:r>
          </w:p>
        </w:tc>
        <w:tc>
          <w:tcPr>
            <w:tcW w:w="630" w:type="dxa"/>
            <w:tcBorders>
              <w:top w:val="nil"/>
              <w:left w:val="nil"/>
              <w:bottom w:val="single" w:sz="4" w:space="0" w:color="000000"/>
              <w:right w:val="single" w:sz="4" w:space="0" w:color="000000"/>
            </w:tcBorders>
            <w:shd w:val="clear" w:color="auto" w:fill="auto"/>
            <w:vAlign w:val="bottom"/>
            <w:hideMark/>
          </w:tcPr>
          <w:p w14:paraId="372E640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9C1022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4C7BFA7D"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4B457E54"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Ethyl mercaptan (Ethanethiol)</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40C2C17"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0.020942</w:t>
            </w:r>
          </w:p>
        </w:tc>
        <w:tc>
          <w:tcPr>
            <w:tcW w:w="990" w:type="dxa"/>
            <w:tcBorders>
              <w:top w:val="nil"/>
              <w:left w:val="nil"/>
              <w:bottom w:val="single" w:sz="4" w:space="0" w:color="000000"/>
              <w:right w:val="single" w:sz="4" w:space="0" w:color="000000"/>
            </w:tcBorders>
            <w:shd w:val="clear" w:color="auto" w:fill="auto"/>
            <w:vAlign w:val="bottom"/>
            <w:hideMark/>
          </w:tcPr>
          <w:p w14:paraId="2204447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0.167538</w:t>
            </w:r>
          </w:p>
        </w:tc>
        <w:tc>
          <w:tcPr>
            <w:tcW w:w="810" w:type="dxa"/>
            <w:tcBorders>
              <w:top w:val="nil"/>
              <w:left w:val="nil"/>
              <w:bottom w:val="single" w:sz="4" w:space="0" w:color="000000"/>
              <w:right w:val="single" w:sz="4" w:space="0" w:color="auto"/>
            </w:tcBorders>
            <w:shd w:val="clear" w:color="auto" w:fill="auto"/>
            <w:vAlign w:val="bottom"/>
            <w:hideMark/>
          </w:tcPr>
          <w:p w14:paraId="18C2BE4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0.092</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020B779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0.099</w:t>
            </w:r>
          </w:p>
        </w:tc>
        <w:tc>
          <w:tcPr>
            <w:tcW w:w="990" w:type="dxa"/>
            <w:tcBorders>
              <w:top w:val="nil"/>
              <w:left w:val="nil"/>
              <w:bottom w:val="single" w:sz="4" w:space="0" w:color="000000"/>
              <w:right w:val="nil"/>
            </w:tcBorders>
            <w:shd w:val="clear" w:color="auto" w:fill="auto"/>
            <w:vAlign w:val="bottom"/>
            <w:hideMark/>
          </w:tcPr>
          <w:p w14:paraId="0CF80A7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169.2%</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22B54D13"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70EDB25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4C4549BA"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100-41-4</w:t>
            </w:r>
          </w:p>
        </w:tc>
        <w:tc>
          <w:tcPr>
            <w:tcW w:w="630" w:type="dxa"/>
            <w:tcBorders>
              <w:top w:val="nil"/>
              <w:left w:val="nil"/>
              <w:bottom w:val="single" w:sz="4" w:space="0" w:color="000000"/>
              <w:right w:val="single" w:sz="4" w:space="0" w:color="000000"/>
            </w:tcBorders>
            <w:shd w:val="clear" w:color="auto" w:fill="auto"/>
            <w:vAlign w:val="bottom"/>
            <w:hideMark/>
          </w:tcPr>
          <w:p w14:paraId="192A4C8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6C6EB6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18419AC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27DB54EE"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Ethylbenzene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2455EE6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0.020089</w:t>
            </w:r>
          </w:p>
        </w:tc>
        <w:tc>
          <w:tcPr>
            <w:tcW w:w="990" w:type="dxa"/>
            <w:tcBorders>
              <w:top w:val="nil"/>
              <w:left w:val="nil"/>
              <w:bottom w:val="single" w:sz="4" w:space="0" w:color="000000"/>
              <w:right w:val="single" w:sz="4" w:space="0" w:color="000000"/>
            </w:tcBorders>
            <w:shd w:val="clear" w:color="auto" w:fill="auto"/>
            <w:vAlign w:val="bottom"/>
            <w:hideMark/>
          </w:tcPr>
          <w:p w14:paraId="0FA6B06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0.160712</w:t>
            </w:r>
          </w:p>
        </w:tc>
        <w:tc>
          <w:tcPr>
            <w:tcW w:w="810" w:type="dxa"/>
            <w:tcBorders>
              <w:top w:val="nil"/>
              <w:left w:val="nil"/>
              <w:bottom w:val="single" w:sz="4" w:space="0" w:color="000000"/>
              <w:right w:val="single" w:sz="4" w:space="0" w:color="auto"/>
            </w:tcBorders>
            <w:shd w:val="clear" w:color="auto" w:fill="auto"/>
            <w:vAlign w:val="bottom"/>
            <w:hideMark/>
          </w:tcPr>
          <w:p w14:paraId="08C9CC2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0.088</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40AA26F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8.3</w:t>
            </w:r>
          </w:p>
        </w:tc>
        <w:tc>
          <w:tcPr>
            <w:tcW w:w="990" w:type="dxa"/>
            <w:tcBorders>
              <w:top w:val="nil"/>
              <w:left w:val="nil"/>
              <w:bottom w:val="single" w:sz="4" w:space="0" w:color="000000"/>
              <w:right w:val="nil"/>
            </w:tcBorders>
            <w:shd w:val="clear" w:color="auto" w:fill="auto"/>
            <w:vAlign w:val="bottom"/>
            <w:hideMark/>
          </w:tcPr>
          <w:p w14:paraId="5AA4FAE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1.9%</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0639C2A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C01516" w:rsidRPr="009F5E32" w14:paraId="444DD475"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69DEE754" w14:textId="77777777" w:rsidR="00C01516" w:rsidRPr="009F5E32" w:rsidRDefault="00C01516" w:rsidP="00C01516">
            <w:pPr>
              <w:widowControl/>
              <w:autoSpaceDE/>
              <w:autoSpaceDN/>
              <w:adjustRightInd/>
              <w:ind w:left="0" w:firstLine="0"/>
              <w:jc w:val="left"/>
              <w:rPr>
                <w:rFonts w:cs="Arial"/>
                <w:b/>
                <w:sz w:val="14"/>
                <w:szCs w:val="14"/>
              </w:rPr>
            </w:pPr>
            <w:r w:rsidRPr="009F5E32">
              <w:rPr>
                <w:rFonts w:cs="Arial"/>
                <w:b/>
                <w:sz w:val="14"/>
                <w:szCs w:val="14"/>
              </w:rPr>
              <w:t>50-00-0</w:t>
            </w:r>
          </w:p>
        </w:tc>
        <w:tc>
          <w:tcPr>
            <w:tcW w:w="630" w:type="dxa"/>
            <w:tcBorders>
              <w:top w:val="nil"/>
              <w:left w:val="nil"/>
              <w:bottom w:val="single" w:sz="4" w:space="0" w:color="000000"/>
              <w:right w:val="single" w:sz="4" w:space="0" w:color="000000"/>
            </w:tcBorders>
            <w:shd w:val="clear" w:color="auto" w:fill="auto"/>
            <w:vAlign w:val="bottom"/>
            <w:hideMark/>
          </w:tcPr>
          <w:p w14:paraId="275D5EF4" w14:textId="7777777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4107D86" w14:textId="7777777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47AC5113" w14:textId="77777777"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38AF261C" w14:textId="77777777" w:rsidR="00C01516" w:rsidRPr="009F5E32" w:rsidRDefault="00C01516" w:rsidP="00C01516">
            <w:pPr>
              <w:widowControl/>
              <w:autoSpaceDE/>
              <w:autoSpaceDN/>
              <w:adjustRightInd/>
              <w:ind w:left="0" w:firstLine="0"/>
              <w:jc w:val="left"/>
              <w:rPr>
                <w:rFonts w:cs="Arial"/>
                <w:b/>
                <w:color w:val="000000"/>
                <w:sz w:val="14"/>
                <w:szCs w:val="14"/>
              </w:rPr>
            </w:pPr>
            <w:r w:rsidRPr="009F5E32">
              <w:rPr>
                <w:rFonts w:cs="Arial"/>
                <w:b/>
                <w:sz w:val="14"/>
                <w:szCs w:val="14"/>
              </w:rPr>
              <w:t>Formaldehyde</w:t>
            </w:r>
          </w:p>
        </w:tc>
        <w:tc>
          <w:tcPr>
            <w:tcW w:w="900" w:type="dxa"/>
            <w:tcBorders>
              <w:top w:val="single" w:sz="4" w:space="0" w:color="000000"/>
              <w:left w:val="nil"/>
              <w:bottom w:val="single" w:sz="4" w:space="0" w:color="000000"/>
              <w:right w:val="single" w:sz="4" w:space="0" w:color="000000"/>
            </w:tcBorders>
            <w:shd w:val="clear" w:color="auto" w:fill="auto"/>
            <w:hideMark/>
          </w:tcPr>
          <w:p w14:paraId="3255E2B4" w14:textId="19B46731"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7.393671</w:t>
            </w:r>
          </w:p>
        </w:tc>
        <w:tc>
          <w:tcPr>
            <w:tcW w:w="990" w:type="dxa"/>
            <w:tcBorders>
              <w:top w:val="single" w:sz="4" w:space="0" w:color="000000"/>
              <w:left w:val="nil"/>
              <w:bottom w:val="single" w:sz="4" w:space="0" w:color="000000"/>
              <w:right w:val="single" w:sz="4" w:space="0" w:color="000000"/>
            </w:tcBorders>
            <w:shd w:val="clear" w:color="auto" w:fill="auto"/>
            <w:hideMark/>
          </w:tcPr>
          <w:p w14:paraId="23E6E7C3" w14:textId="401C43C9"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59.149368</w:t>
            </w:r>
          </w:p>
        </w:tc>
        <w:tc>
          <w:tcPr>
            <w:tcW w:w="810" w:type="dxa"/>
            <w:tcBorders>
              <w:top w:val="single" w:sz="4" w:space="0" w:color="000000"/>
              <w:left w:val="nil"/>
              <w:bottom w:val="single" w:sz="4" w:space="0" w:color="000000"/>
              <w:right w:val="single" w:sz="4" w:space="0" w:color="auto"/>
            </w:tcBorders>
            <w:shd w:val="clear" w:color="auto" w:fill="auto"/>
            <w:hideMark/>
          </w:tcPr>
          <w:p w14:paraId="6C55EB8B" w14:textId="0408182D"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32.384</w:t>
            </w:r>
          </w:p>
        </w:tc>
        <w:tc>
          <w:tcPr>
            <w:tcW w:w="1080" w:type="dxa"/>
            <w:tcBorders>
              <w:top w:val="single" w:sz="4" w:space="0" w:color="000000"/>
              <w:left w:val="single" w:sz="4" w:space="0" w:color="auto"/>
              <w:bottom w:val="single" w:sz="4" w:space="0" w:color="000000"/>
              <w:right w:val="single" w:sz="4" w:space="0" w:color="000000"/>
            </w:tcBorders>
            <w:shd w:val="clear" w:color="auto" w:fill="auto"/>
            <w:hideMark/>
          </w:tcPr>
          <w:p w14:paraId="373A2D2E" w14:textId="47687BD3"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0.0065</w:t>
            </w:r>
          </w:p>
        </w:tc>
        <w:tc>
          <w:tcPr>
            <w:tcW w:w="990" w:type="dxa"/>
            <w:tcBorders>
              <w:top w:val="single" w:sz="4" w:space="0" w:color="000000"/>
              <w:left w:val="nil"/>
              <w:bottom w:val="single" w:sz="4" w:space="0" w:color="000000"/>
              <w:right w:val="nil"/>
            </w:tcBorders>
            <w:shd w:val="clear" w:color="auto" w:fill="auto"/>
            <w:hideMark/>
          </w:tcPr>
          <w:p w14:paraId="4DE416F3" w14:textId="7766C8DA"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909990.3%</w:t>
            </w:r>
          </w:p>
        </w:tc>
        <w:tc>
          <w:tcPr>
            <w:tcW w:w="990" w:type="dxa"/>
            <w:tcBorders>
              <w:top w:val="single" w:sz="4" w:space="0" w:color="000000"/>
              <w:left w:val="single" w:sz="4" w:space="0" w:color="000000"/>
              <w:bottom w:val="single" w:sz="4" w:space="0" w:color="000000"/>
              <w:right w:val="double" w:sz="4" w:space="0" w:color="auto"/>
            </w:tcBorders>
            <w:shd w:val="clear" w:color="auto" w:fill="auto"/>
            <w:hideMark/>
          </w:tcPr>
          <w:p w14:paraId="42514EEE" w14:textId="109B8B42" w:rsidR="00C01516" w:rsidRPr="009F5E32" w:rsidRDefault="00C01516" w:rsidP="00C01516">
            <w:pPr>
              <w:widowControl/>
              <w:autoSpaceDE/>
              <w:autoSpaceDN/>
              <w:adjustRightInd/>
              <w:ind w:left="0" w:firstLine="0"/>
              <w:jc w:val="center"/>
              <w:rPr>
                <w:rFonts w:cs="Arial"/>
                <w:b/>
                <w:color w:val="000000"/>
                <w:sz w:val="14"/>
                <w:szCs w:val="14"/>
              </w:rPr>
            </w:pPr>
            <w:r w:rsidRPr="009F5E32">
              <w:rPr>
                <w:rFonts w:cs="Arial"/>
                <w:b/>
                <w:color w:val="000000"/>
                <w:sz w:val="14"/>
                <w:szCs w:val="14"/>
              </w:rPr>
              <w:t>Yes</w:t>
            </w:r>
          </w:p>
        </w:tc>
      </w:tr>
      <w:tr w:rsidR="00D17875" w:rsidRPr="009F5E32" w14:paraId="2CCEC1AE"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78DC57BB"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110-54-3</w:t>
            </w:r>
          </w:p>
        </w:tc>
        <w:tc>
          <w:tcPr>
            <w:tcW w:w="630" w:type="dxa"/>
            <w:tcBorders>
              <w:top w:val="nil"/>
              <w:left w:val="nil"/>
              <w:bottom w:val="single" w:sz="4" w:space="0" w:color="000000"/>
              <w:right w:val="single" w:sz="4" w:space="0" w:color="000000"/>
            </w:tcBorders>
            <w:shd w:val="clear" w:color="auto" w:fill="auto"/>
            <w:vAlign w:val="bottom"/>
            <w:hideMark/>
          </w:tcPr>
          <w:p w14:paraId="381E88D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675375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9D9C3A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1233A17B"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Hexane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61C6ADE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0.083707</w:t>
            </w:r>
          </w:p>
        </w:tc>
        <w:tc>
          <w:tcPr>
            <w:tcW w:w="990" w:type="dxa"/>
            <w:tcBorders>
              <w:top w:val="nil"/>
              <w:left w:val="nil"/>
              <w:bottom w:val="single" w:sz="4" w:space="0" w:color="000000"/>
              <w:right w:val="single" w:sz="4" w:space="0" w:color="000000"/>
            </w:tcBorders>
            <w:shd w:val="clear" w:color="auto" w:fill="auto"/>
            <w:vAlign w:val="bottom"/>
            <w:hideMark/>
          </w:tcPr>
          <w:p w14:paraId="1E0B001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0.669653</w:t>
            </w:r>
          </w:p>
        </w:tc>
        <w:tc>
          <w:tcPr>
            <w:tcW w:w="810" w:type="dxa"/>
            <w:tcBorders>
              <w:top w:val="nil"/>
              <w:left w:val="nil"/>
              <w:bottom w:val="single" w:sz="4" w:space="0" w:color="000000"/>
              <w:right w:val="single" w:sz="4" w:space="0" w:color="auto"/>
            </w:tcBorders>
            <w:shd w:val="clear" w:color="auto" w:fill="auto"/>
            <w:vAlign w:val="bottom"/>
            <w:hideMark/>
          </w:tcPr>
          <w:p w14:paraId="270F458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0.367</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0FEB175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581</w:t>
            </w:r>
          </w:p>
        </w:tc>
        <w:tc>
          <w:tcPr>
            <w:tcW w:w="990" w:type="dxa"/>
            <w:tcBorders>
              <w:top w:val="nil"/>
              <w:left w:val="nil"/>
              <w:bottom w:val="single" w:sz="4" w:space="0" w:color="000000"/>
              <w:right w:val="nil"/>
            </w:tcBorders>
            <w:shd w:val="clear" w:color="auto" w:fill="auto"/>
            <w:vAlign w:val="bottom"/>
            <w:hideMark/>
          </w:tcPr>
          <w:p w14:paraId="48EB79D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0CAEE68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138A827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12E8F4A0"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7783-06-4</w:t>
            </w:r>
          </w:p>
        </w:tc>
        <w:tc>
          <w:tcPr>
            <w:tcW w:w="630" w:type="dxa"/>
            <w:tcBorders>
              <w:top w:val="nil"/>
              <w:left w:val="nil"/>
              <w:bottom w:val="single" w:sz="4" w:space="0" w:color="000000"/>
              <w:right w:val="single" w:sz="4" w:space="0" w:color="000000"/>
            </w:tcBorders>
            <w:shd w:val="clear" w:color="auto" w:fill="auto"/>
            <w:vAlign w:val="bottom"/>
            <w:hideMark/>
          </w:tcPr>
          <w:p w14:paraId="0DFD4B6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4941BD5A"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7A09FBDC"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6C1022C7"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Hydrogen  sulfide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42130FD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1.551810</w:t>
            </w:r>
          </w:p>
        </w:tc>
        <w:tc>
          <w:tcPr>
            <w:tcW w:w="990" w:type="dxa"/>
            <w:tcBorders>
              <w:top w:val="nil"/>
              <w:left w:val="nil"/>
              <w:bottom w:val="single" w:sz="4" w:space="0" w:color="000000"/>
              <w:right w:val="single" w:sz="4" w:space="0" w:color="000000"/>
            </w:tcBorders>
            <w:shd w:val="clear" w:color="auto" w:fill="auto"/>
            <w:vAlign w:val="bottom"/>
            <w:hideMark/>
          </w:tcPr>
          <w:p w14:paraId="7054C74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12.414479</w:t>
            </w:r>
          </w:p>
        </w:tc>
        <w:tc>
          <w:tcPr>
            <w:tcW w:w="810" w:type="dxa"/>
            <w:tcBorders>
              <w:top w:val="nil"/>
              <w:left w:val="nil"/>
              <w:bottom w:val="single" w:sz="4" w:space="0" w:color="000000"/>
              <w:right w:val="single" w:sz="4" w:space="0" w:color="auto"/>
            </w:tcBorders>
            <w:shd w:val="clear" w:color="auto" w:fill="auto"/>
            <w:vAlign w:val="bottom"/>
            <w:hideMark/>
          </w:tcPr>
          <w:p w14:paraId="7F6E1D3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6.797</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3E640E84"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0.08</w:t>
            </w:r>
          </w:p>
        </w:tc>
        <w:tc>
          <w:tcPr>
            <w:tcW w:w="990" w:type="dxa"/>
            <w:tcBorders>
              <w:top w:val="nil"/>
              <w:left w:val="nil"/>
              <w:bottom w:val="single" w:sz="4" w:space="0" w:color="000000"/>
              <w:right w:val="nil"/>
            </w:tcBorders>
            <w:shd w:val="clear" w:color="auto" w:fill="auto"/>
            <w:vAlign w:val="bottom"/>
            <w:hideMark/>
          </w:tcPr>
          <w:p w14:paraId="1F8DACB4"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15518.1%</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19274B90"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4AE8C06A"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43BB0C8E"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7439-97-6</w:t>
            </w:r>
          </w:p>
        </w:tc>
        <w:tc>
          <w:tcPr>
            <w:tcW w:w="630" w:type="dxa"/>
            <w:tcBorders>
              <w:top w:val="nil"/>
              <w:left w:val="nil"/>
              <w:bottom w:val="single" w:sz="4" w:space="0" w:color="000000"/>
              <w:right w:val="single" w:sz="4" w:space="0" w:color="000000"/>
            </w:tcBorders>
            <w:shd w:val="clear" w:color="auto" w:fill="auto"/>
            <w:vAlign w:val="bottom"/>
            <w:hideMark/>
          </w:tcPr>
          <w:p w14:paraId="79DD85D0" w14:textId="77777777" w:rsidR="00F0283E" w:rsidRPr="009F5E32" w:rsidRDefault="00F0283E" w:rsidP="00F0283E">
            <w:pPr>
              <w:widowControl/>
              <w:autoSpaceDE/>
              <w:autoSpaceDN/>
              <w:adjustRightInd/>
              <w:ind w:left="0" w:firstLine="0"/>
              <w:jc w:val="center"/>
              <w:rPr>
                <w:rFonts w:cs="Arial"/>
                <w:sz w:val="14"/>
                <w:szCs w:val="14"/>
              </w:rPr>
            </w:pPr>
            <w:r w:rsidRPr="009F5E32">
              <w:rPr>
                <w:rFonts w:cs="Arial"/>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426381C9" w14:textId="77777777" w:rsidR="00F0283E" w:rsidRPr="009F5E32" w:rsidRDefault="00F0283E" w:rsidP="00F0283E">
            <w:pPr>
              <w:widowControl/>
              <w:autoSpaceDE/>
              <w:autoSpaceDN/>
              <w:adjustRightInd/>
              <w:ind w:left="0" w:firstLine="0"/>
              <w:jc w:val="center"/>
              <w:rPr>
                <w:rFonts w:cs="Arial"/>
                <w:sz w:val="14"/>
                <w:szCs w:val="14"/>
              </w:rPr>
            </w:pPr>
            <w:r w:rsidRPr="009F5E32">
              <w:rPr>
                <w:rFonts w:cs="Arial"/>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E76D45B" w14:textId="77777777" w:rsidR="00F0283E" w:rsidRPr="009F5E32" w:rsidRDefault="00F0283E" w:rsidP="00F0283E">
            <w:pPr>
              <w:widowControl/>
              <w:autoSpaceDE/>
              <w:autoSpaceDN/>
              <w:adjustRightInd/>
              <w:ind w:left="0" w:firstLine="0"/>
              <w:jc w:val="center"/>
              <w:rPr>
                <w:rFonts w:cs="Arial"/>
                <w:sz w:val="14"/>
                <w:szCs w:val="14"/>
              </w:rPr>
            </w:pPr>
            <w:r w:rsidRPr="009F5E32">
              <w:rPr>
                <w:rFonts w:cs="Arial"/>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2FBDAD2E"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Mercury</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AA99CF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0.000054</w:t>
            </w:r>
          </w:p>
        </w:tc>
        <w:tc>
          <w:tcPr>
            <w:tcW w:w="990" w:type="dxa"/>
            <w:tcBorders>
              <w:top w:val="nil"/>
              <w:left w:val="nil"/>
              <w:bottom w:val="single" w:sz="4" w:space="0" w:color="000000"/>
              <w:right w:val="single" w:sz="4" w:space="0" w:color="000000"/>
            </w:tcBorders>
            <w:shd w:val="clear" w:color="auto" w:fill="auto"/>
            <w:vAlign w:val="bottom"/>
            <w:hideMark/>
          </w:tcPr>
          <w:p w14:paraId="77F6C49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0.000434</w:t>
            </w:r>
          </w:p>
        </w:tc>
        <w:tc>
          <w:tcPr>
            <w:tcW w:w="810" w:type="dxa"/>
            <w:tcBorders>
              <w:top w:val="nil"/>
              <w:left w:val="nil"/>
              <w:bottom w:val="single" w:sz="4" w:space="0" w:color="000000"/>
              <w:right w:val="single" w:sz="4" w:space="0" w:color="auto"/>
            </w:tcBorders>
            <w:shd w:val="clear" w:color="auto" w:fill="auto"/>
            <w:vAlign w:val="bottom"/>
            <w:hideMark/>
          </w:tcPr>
          <w:p w14:paraId="50E06BB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0.000</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4C90E80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0.02</w:t>
            </w:r>
          </w:p>
        </w:tc>
        <w:tc>
          <w:tcPr>
            <w:tcW w:w="990" w:type="dxa"/>
            <w:tcBorders>
              <w:top w:val="nil"/>
              <w:left w:val="nil"/>
              <w:bottom w:val="single" w:sz="4" w:space="0" w:color="000000"/>
              <w:right w:val="nil"/>
            </w:tcBorders>
            <w:shd w:val="clear" w:color="auto" w:fill="auto"/>
            <w:vAlign w:val="bottom"/>
            <w:hideMark/>
          </w:tcPr>
          <w:p w14:paraId="6E22363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2.2%</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318809B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408D06AB"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5E2A78AD"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78-93-3</w:t>
            </w:r>
          </w:p>
        </w:tc>
        <w:tc>
          <w:tcPr>
            <w:tcW w:w="630" w:type="dxa"/>
            <w:tcBorders>
              <w:top w:val="nil"/>
              <w:left w:val="nil"/>
              <w:bottom w:val="single" w:sz="4" w:space="0" w:color="000000"/>
              <w:right w:val="single" w:sz="4" w:space="0" w:color="000000"/>
            </w:tcBorders>
            <w:shd w:val="clear" w:color="auto" w:fill="auto"/>
            <w:vAlign w:val="bottom"/>
            <w:hideMark/>
          </w:tcPr>
          <w:p w14:paraId="1E645A5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AEA9F1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w:t>
            </w:r>
          </w:p>
        </w:tc>
        <w:tc>
          <w:tcPr>
            <w:tcW w:w="630" w:type="dxa"/>
            <w:tcBorders>
              <w:top w:val="nil"/>
              <w:left w:val="nil"/>
              <w:bottom w:val="single" w:sz="4" w:space="0" w:color="000000"/>
              <w:right w:val="single" w:sz="4" w:space="0" w:color="000000"/>
            </w:tcBorders>
            <w:shd w:val="clear" w:color="auto" w:fill="auto"/>
            <w:vAlign w:val="bottom"/>
            <w:hideMark/>
          </w:tcPr>
          <w:p w14:paraId="65E6D76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63E26946"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Methyl ethyl ketone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7FEDA0FB"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0.075584</w:t>
            </w:r>
          </w:p>
        </w:tc>
        <w:tc>
          <w:tcPr>
            <w:tcW w:w="990" w:type="dxa"/>
            <w:tcBorders>
              <w:top w:val="nil"/>
              <w:left w:val="nil"/>
              <w:bottom w:val="single" w:sz="4" w:space="0" w:color="000000"/>
              <w:right w:val="single" w:sz="4" w:space="0" w:color="000000"/>
            </w:tcBorders>
            <w:shd w:val="clear" w:color="auto" w:fill="auto"/>
            <w:vAlign w:val="bottom"/>
            <w:hideMark/>
          </w:tcPr>
          <w:p w14:paraId="5A45B55E"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0.604672</w:t>
            </w:r>
          </w:p>
        </w:tc>
        <w:tc>
          <w:tcPr>
            <w:tcW w:w="810" w:type="dxa"/>
            <w:tcBorders>
              <w:top w:val="nil"/>
              <w:left w:val="nil"/>
              <w:bottom w:val="single" w:sz="4" w:space="0" w:color="000000"/>
              <w:right w:val="single" w:sz="4" w:space="0" w:color="auto"/>
            </w:tcBorders>
            <w:shd w:val="clear" w:color="auto" w:fill="auto"/>
            <w:vAlign w:val="bottom"/>
            <w:hideMark/>
          </w:tcPr>
          <w:p w14:paraId="3F4BBE7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0.331</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57D7144D"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415</w:t>
            </w:r>
          </w:p>
        </w:tc>
        <w:tc>
          <w:tcPr>
            <w:tcW w:w="990" w:type="dxa"/>
            <w:tcBorders>
              <w:top w:val="nil"/>
              <w:left w:val="nil"/>
              <w:bottom w:val="single" w:sz="4" w:space="0" w:color="000000"/>
              <w:right w:val="nil"/>
            </w:tcBorders>
            <w:shd w:val="clear" w:color="auto" w:fill="auto"/>
            <w:vAlign w:val="bottom"/>
            <w:hideMark/>
          </w:tcPr>
          <w:p w14:paraId="7132C0D6"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431CBD0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569EA263"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7D45A662" w14:textId="77777777" w:rsidR="00F0283E" w:rsidRPr="009F5E32" w:rsidRDefault="00F0283E" w:rsidP="00F0283E">
            <w:pPr>
              <w:widowControl/>
              <w:autoSpaceDE/>
              <w:autoSpaceDN/>
              <w:adjustRightInd/>
              <w:ind w:left="0" w:firstLine="0"/>
              <w:jc w:val="left"/>
              <w:rPr>
                <w:rFonts w:cs="Arial"/>
                <w:sz w:val="14"/>
                <w:szCs w:val="14"/>
              </w:rPr>
            </w:pPr>
            <w:r w:rsidRPr="009F5E32">
              <w:rPr>
                <w:rFonts w:cs="Arial"/>
                <w:sz w:val="14"/>
                <w:szCs w:val="14"/>
              </w:rPr>
              <w:t>108-88-3</w:t>
            </w:r>
          </w:p>
        </w:tc>
        <w:tc>
          <w:tcPr>
            <w:tcW w:w="630" w:type="dxa"/>
            <w:tcBorders>
              <w:top w:val="nil"/>
              <w:left w:val="nil"/>
              <w:bottom w:val="single" w:sz="4" w:space="0" w:color="000000"/>
              <w:right w:val="single" w:sz="4" w:space="0" w:color="000000"/>
            </w:tcBorders>
            <w:shd w:val="clear" w:color="auto" w:fill="auto"/>
            <w:vAlign w:val="bottom"/>
            <w:hideMark/>
          </w:tcPr>
          <w:p w14:paraId="740CFCC1"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31495B6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6643FF17"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599E078C"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Toluene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E9458CF"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0.170273</w:t>
            </w:r>
          </w:p>
        </w:tc>
        <w:tc>
          <w:tcPr>
            <w:tcW w:w="990" w:type="dxa"/>
            <w:tcBorders>
              <w:top w:val="nil"/>
              <w:left w:val="nil"/>
              <w:bottom w:val="single" w:sz="4" w:space="0" w:color="000000"/>
              <w:right w:val="single" w:sz="4" w:space="0" w:color="000000"/>
            </w:tcBorders>
            <w:shd w:val="clear" w:color="auto" w:fill="auto"/>
            <w:vAlign w:val="bottom"/>
            <w:hideMark/>
          </w:tcPr>
          <w:p w14:paraId="3C1FB39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1.362186</w:t>
            </w:r>
          </w:p>
        </w:tc>
        <w:tc>
          <w:tcPr>
            <w:tcW w:w="810" w:type="dxa"/>
            <w:tcBorders>
              <w:top w:val="nil"/>
              <w:left w:val="nil"/>
              <w:bottom w:val="single" w:sz="4" w:space="0" w:color="000000"/>
              <w:right w:val="single" w:sz="4" w:space="0" w:color="auto"/>
            </w:tcBorders>
            <w:shd w:val="clear" w:color="auto" w:fill="auto"/>
            <w:vAlign w:val="bottom"/>
            <w:hideMark/>
          </w:tcPr>
          <w:p w14:paraId="2739C97A"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0.746</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6EF31F7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24.9</w:t>
            </w:r>
          </w:p>
        </w:tc>
        <w:tc>
          <w:tcPr>
            <w:tcW w:w="990" w:type="dxa"/>
            <w:tcBorders>
              <w:top w:val="nil"/>
              <w:left w:val="nil"/>
              <w:bottom w:val="single" w:sz="4" w:space="0" w:color="000000"/>
              <w:right w:val="nil"/>
            </w:tcBorders>
            <w:shd w:val="clear" w:color="auto" w:fill="auto"/>
            <w:vAlign w:val="bottom"/>
            <w:hideMark/>
          </w:tcPr>
          <w:p w14:paraId="000A0EE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5.5%</w:t>
            </w:r>
          </w:p>
        </w:tc>
        <w:tc>
          <w:tcPr>
            <w:tcW w:w="990" w:type="dxa"/>
            <w:tcBorders>
              <w:top w:val="nil"/>
              <w:left w:val="single" w:sz="4" w:space="0" w:color="000000"/>
              <w:bottom w:val="single" w:sz="4" w:space="0" w:color="000000"/>
              <w:right w:val="double" w:sz="4" w:space="0" w:color="auto"/>
            </w:tcBorders>
            <w:shd w:val="clear" w:color="auto" w:fill="auto"/>
            <w:vAlign w:val="bottom"/>
            <w:hideMark/>
          </w:tcPr>
          <w:p w14:paraId="1CE9F668"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D17875" w:rsidRPr="009F5E32" w14:paraId="162DCAB2"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1EC896B2"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79-01-6</w:t>
            </w:r>
          </w:p>
        </w:tc>
        <w:tc>
          <w:tcPr>
            <w:tcW w:w="630" w:type="dxa"/>
            <w:tcBorders>
              <w:top w:val="nil"/>
              <w:left w:val="nil"/>
              <w:bottom w:val="single" w:sz="4" w:space="0" w:color="000000"/>
              <w:right w:val="single" w:sz="4" w:space="0" w:color="000000"/>
            </w:tcBorders>
            <w:shd w:val="clear" w:color="auto" w:fill="auto"/>
            <w:vAlign w:val="bottom"/>
            <w:hideMark/>
          </w:tcPr>
          <w:p w14:paraId="1049DF44"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7D06FAC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0FD0BF81"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564F6558"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Trichloroethylene (Trichloroethene)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3EEFC4A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0.009868</w:t>
            </w:r>
          </w:p>
        </w:tc>
        <w:tc>
          <w:tcPr>
            <w:tcW w:w="990" w:type="dxa"/>
            <w:tcBorders>
              <w:top w:val="nil"/>
              <w:left w:val="nil"/>
              <w:bottom w:val="single" w:sz="4" w:space="0" w:color="000000"/>
              <w:right w:val="single" w:sz="4" w:space="0" w:color="000000"/>
            </w:tcBorders>
            <w:shd w:val="clear" w:color="auto" w:fill="auto"/>
            <w:vAlign w:val="bottom"/>
            <w:hideMark/>
          </w:tcPr>
          <w:p w14:paraId="0F56F7EF"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0.078947</w:t>
            </w:r>
          </w:p>
        </w:tc>
        <w:tc>
          <w:tcPr>
            <w:tcW w:w="810" w:type="dxa"/>
            <w:tcBorders>
              <w:top w:val="nil"/>
              <w:left w:val="nil"/>
              <w:bottom w:val="single" w:sz="4" w:space="0" w:color="000000"/>
              <w:right w:val="single" w:sz="4" w:space="0" w:color="auto"/>
            </w:tcBorders>
            <w:shd w:val="clear" w:color="auto" w:fill="auto"/>
            <w:vAlign w:val="bottom"/>
            <w:hideMark/>
          </w:tcPr>
          <w:p w14:paraId="16723C1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0.043</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3777A435"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0.04</w:t>
            </w:r>
          </w:p>
        </w:tc>
        <w:tc>
          <w:tcPr>
            <w:tcW w:w="990" w:type="dxa"/>
            <w:tcBorders>
              <w:top w:val="nil"/>
              <w:left w:val="nil"/>
              <w:bottom w:val="single" w:sz="4" w:space="0" w:color="000000"/>
              <w:right w:val="nil"/>
            </w:tcBorders>
            <w:shd w:val="clear" w:color="auto" w:fill="auto"/>
            <w:vAlign w:val="bottom"/>
            <w:hideMark/>
          </w:tcPr>
          <w:p w14:paraId="03E3500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197.4%</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42822763"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588356CC" w14:textId="77777777" w:rsidTr="003529CF">
        <w:trPr>
          <w:cantSplit/>
          <w:trHeight w:val="162"/>
        </w:trPr>
        <w:tc>
          <w:tcPr>
            <w:tcW w:w="2124" w:type="dxa"/>
            <w:tcBorders>
              <w:top w:val="nil"/>
              <w:left w:val="double" w:sz="4" w:space="0" w:color="auto"/>
              <w:bottom w:val="single" w:sz="4" w:space="0" w:color="000000"/>
              <w:right w:val="single" w:sz="4" w:space="0" w:color="000000"/>
            </w:tcBorders>
            <w:shd w:val="clear" w:color="auto" w:fill="auto"/>
            <w:vAlign w:val="bottom"/>
            <w:hideMark/>
          </w:tcPr>
          <w:p w14:paraId="75C5DE4F"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color w:val="000000"/>
                <w:sz w:val="14"/>
                <w:szCs w:val="14"/>
              </w:rPr>
              <w:t>75-01-4</w:t>
            </w:r>
          </w:p>
        </w:tc>
        <w:tc>
          <w:tcPr>
            <w:tcW w:w="630" w:type="dxa"/>
            <w:tcBorders>
              <w:top w:val="nil"/>
              <w:left w:val="nil"/>
              <w:bottom w:val="single" w:sz="4" w:space="0" w:color="000000"/>
              <w:right w:val="single" w:sz="4" w:space="0" w:color="000000"/>
            </w:tcBorders>
            <w:shd w:val="clear" w:color="auto" w:fill="auto"/>
            <w:vAlign w:val="bottom"/>
            <w:hideMark/>
          </w:tcPr>
          <w:p w14:paraId="42EE802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52B6162E"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630" w:type="dxa"/>
            <w:tcBorders>
              <w:top w:val="nil"/>
              <w:left w:val="nil"/>
              <w:bottom w:val="single" w:sz="4" w:space="0" w:color="000000"/>
              <w:right w:val="single" w:sz="4" w:space="0" w:color="000000"/>
            </w:tcBorders>
            <w:shd w:val="clear" w:color="auto" w:fill="auto"/>
            <w:vAlign w:val="bottom"/>
            <w:hideMark/>
          </w:tcPr>
          <w:p w14:paraId="2E7DB249"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Y</w:t>
            </w:r>
          </w:p>
        </w:tc>
        <w:tc>
          <w:tcPr>
            <w:tcW w:w="3330" w:type="dxa"/>
            <w:tcBorders>
              <w:top w:val="single" w:sz="4" w:space="0" w:color="000000"/>
              <w:left w:val="nil"/>
              <w:bottom w:val="single" w:sz="4" w:space="0" w:color="000000"/>
              <w:right w:val="single" w:sz="4" w:space="0" w:color="auto"/>
            </w:tcBorders>
            <w:shd w:val="clear" w:color="auto" w:fill="auto"/>
            <w:vAlign w:val="bottom"/>
            <w:hideMark/>
          </w:tcPr>
          <w:p w14:paraId="272D709D" w14:textId="77777777" w:rsidR="00F0283E" w:rsidRPr="009F5E32" w:rsidRDefault="00F0283E" w:rsidP="00F0283E">
            <w:pPr>
              <w:widowControl/>
              <w:autoSpaceDE/>
              <w:autoSpaceDN/>
              <w:adjustRightInd/>
              <w:ind w:left="0" w:firstLine="0"/>
              <w:jc w:val="left"/>
              <w:rPr>
                <w:rFonts w:cs="Arial"/>
                <w:b/>
                <w:color w:val="000000"/>
                <w:sz w:val="14"/>
                <w:szCs w:val="14"/>
              </w:rPr>
            </w:pPr>
            <w:r w:rsidRPr="009F5E32">
              <w:rPr>
                <w:rFonts w:cs="Arial"/>
                <w:b/>
                <w:sz w:val="14"/>
                <w:szCs w:val="14"/>
              </w:rPr>
              <w:t>Vinyl chloride</w:t>
            </w:r>
          </w:p>
        </w:tc>
        <w:tc>
          <w:tcPr>
            <w:tcW w:w="900" w:type="dxa"/>
            <w:tcBorders>
              <w:top w:val="nil"/>
              <w:left w:val="single" w:sz="4" w:space="0" w:color="auto"/>
              <w:bottom w:val="single" w:sz="4" w:space="0" w:color="000000"/>
              <w:right w:val="single" w:sz="4" w:space="0" w:color="000000"/>
            </w:tcBorders>
            <w:shd w:val="clear" w:color="auto" w:fill="auto"/>
            <w:vAlign w:val="bottom"/>
            <w:hideMark/>
          </w:tcPr>
          <w:p w14:paraId="15460590"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0.003474</w:t>
            </w:r>
          </w:p>
        </w:tc>
        <w:tc>
          <w:tcPr>
            <w:tcW w:w="990" w:type="dxa"/>
            <w:tcBorders>
              <w:top w:val="nil"/>
              <w:left w:val="nil"/>
              <w:bottom w:val="single" w:sz="4" w:space="0" w:color="000000"/>
              <w:right w:val="single" w:sz="4" w:space="0" w:color="000000"/>
            </w:tcBorders>
            <w:shd w:val="clear" w:color="auto" w:fill="auto"/>
            <w:vAlign w:val="bottom"/>
            <w:hideMark/>
          </w:tcPr>
          <w:p w14:paraId="3A50269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0.027794</w:t>
            </w:r>
          </w:p>
        </w:tc>
        <w:tc>
          <w:tcPr>
            <w:tcW w:w="810" w:type="dxa"/>
            <w:tcBorders>
              <w:top w:val="nil"/>
              <w:left w:val="nil"/>
              <w:bottom w:val="single" w:sz="4" w:space="0" w:color="000000"/>
              <w:right w:val="single" w:sz="4" w:space="0" w:color="auto"/>
            </w:tcBorders>
            <w:shd w:val="clear" w:color="auto" w:fill="auto"/>
            <w:vAlign w:val="bottom"/>
            <w:hideMark/>
          </w:tcPr>
          <w:p w14:paraId="2FE4B743"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0.015</w:t>
            </w:r>
          </w:p>
        </w:tc>
        <w:tc>
          <w:tcPr>
            <w:tcW w:w="1080" w:type="dxa"/>
            <w:tcBorders>
              <w:top w:val="nil"/>
              <w:left w:val="single" w:sz="4" w:space="0" w:color="auto"/>
              <w:bottom w:val="single" w:sz="4" w:space="0" w:color="000000"/>
              <w:right w:val="single" w:sz="4" w:space="0" w:color="000000"/>
            </w:tcBorders>
            <w:shd w:val="clear" w:color="auto" w:fill="auto"/>
            <w:vAlign w:val="bottom"/>
            <w:hideMark/>
          </w:tcPr>
          <w:p w14:paraId="7457415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0.0091</w:t>
            </w:r>
          </w:p>
        </w:tc>
        <w:tc>
          <w:tcPr>
            <w:tcW w:w="990" w:type="dxa"/>
            <w:tcBorders>
              <w:top w:val="nil"/>
              <w:left w:val="nil"/>
              <w:bottom w:val="single" w:sz="4" w:space="0" w:color="000000"/>
              <w:right w:val="nil"/>
            </w:tcBorders>
            <w:shd w:val="clear" w:color="auto" w:fill="auto"/>
            <w:vAlign w:val="bottom"/>
            <w:hideMark/>
          </w:tcPr>
          <w:p w14:paraId="52732CDB" w14:textId="77777777" w:rsidR="00F0283E" w:rsidRPr="009F5E32" w:rsidRDefault="00F0283E" w:rsidP="00F0283E">
            <w:pPr>
              <w:widowControl/>
              <w:autoSpaceDE/>
              <w:autoSpaceDN/>
              <w:adjustRightInd/>
              <w:ind w:left="0" w:firstLine="0"/>
              <w:jc w:val="center"/>
              <w:rPr>
                <w:rFonts w:cs="Arial"/>
                <w:b/>
                <w:color w:val="000000"/>
                <w:sz w:val="14"/>
                <w:szCs w:val="14"/>
              </w:rPr>
            </w:pPr>
            <w:r w:rsidRPr="009F5E32">
              <w:rPr>
                <w:rFonts w:cs="Arial"/>
                <w:b/>
                <w:color w:val="000000"/>
                <w:sz w:val="14"/>
                <w:szCs w:val="14"/>
              </w:rPr>
              <w:t>305.4%</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hideMark/>
          </w:tcPr>
          <w:p w14:paraId="278C9D82" w14:textId="77777777" w:rsidR="00F0283E" w:rsidRPr="009F5E32" w:rsidRDefault="00F0283E" w:rsidP="00F0283E">
            <w:pPr>
              <w:widowControl/>
              <w:autoSpaceDE/>
              <w:autoSpaceDN/>
              <w:adjustRightInd/>
              <w:ind w:left="0" w:firstLine="0"/>
              <w:jc w:val="center"/>
              <w:rPr>
                <w:rFonts w:cs="Arial"/>
                <w:b/>
                <w:bCs/>
                <w:color w:val="000000"/>
                <w:sz w:val="14"/>
                <w:szCs w:val="14"/>
              </w:rPr>
            </w:pPr>
            <w:r w:rsidRPr="009F5E32">
              <w:rPr>
                <w:rFonts w:cs="Arial"/>
                <w:b/>
                <w:bCs/>
                <w:color w:val="000000"/>
                <w:sz w:val="14"/>
                <w:szCs w:val="14"/>
              </w:rPr>
              <w:t>Yes</w:t>
            </w:r>
          </w:p>
        </w:tc>
      </w:tr>
      <w:tr w:rsidR="00D17875" w:rsidRPr="009F5E32" w14:paraId="11AE180E" w14:textId="77777777" w:rsidTr="003529CF">
        <w:trPr>
          <w:cantSplit/>
          <w:trHeight w:val="134"/>
        </w:trPr>
        <w:tc>
          <w:tcPr>
            <w:tcW w:w="2124" w:type="dxa"/>
            <w:tcBorders>
              <w:top w:val="nil"/>
              <w:left w:val="double" w:sz="4" w:space="0" w:color="auto"/>
              <w:bottom w:val="double" w:sz="4" w:space="0" w:color="auto"/>
              <w:right w:val="single" w:sz="4" w:space="0" w:color="000000"/>
            </w:tcBorders>
            <w:shd w:val="clear" w:color="auto" w:fill="auto"/>
            <w:vAlign w:val="bottom"/>
            <w:hideMark/>
          </w:tcPr>
          <w:p w14:paraId="41A5B064" w14:textId="77777777" w:rsidR="00F0283E" w:rsidRPr="009F5E32" w:rsidRDefault="00F0283E" w:rsidP="005E2B67">
            <w:pPr>
              <w:widowControl/>
              <w:autoSpaceDE/>
              <w:autoSpaceDN/>
              <w:adjustRightInd/>
              <w:ind w:left="0" w:firstLine="0"/>
              <w:jc w:val="left"/>
              <w:rPr>
                <w:rFonts w:cs="Arial"/>
                <w:sz w:val="14"/>
                <w:szCs w:val="14"/>
              </w:rPr>
            </w:pPr>
            <w:r w:rsidRPr="009F5E32">
              <w:rPr>
                <w:rFonts w:cs="Arial"/>
                <w:sz w:val="14"/>
                <w:szCs w:val="14"/>
              </w:rPr>
              <w:t>108-38-3 / 106-42-3 / 95-47-6</w:t>
            </w:r>
          </w:p>
        </w:tc>
        <w:tc>
          <w:tcPr>
            <w:tcW w:w="630" w:type="dxa"/>
            <w:tcBorders>
              <w:top w:val="nil"/>
              <w:left w:val="nil"/>
              <w:bottom w:val="double" w:sz="4" w:space="0" w:color="auto"/>
              <w:right w:val="single" w:sz="4" w:space="0" w:color="000000"/>
            </w:tcBorders>
            <w:shd w:val="clear" w:color="auto" w:fill="auto"/>
            <w:vAlign w:val="bottom"/>
            <w:hideMark/>
          </w:tcPr>
          <w:p w14:paraId="0C6CD5D5"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double" w:sz="4" w:space="0" w:color="auto"/>
              <w:right w:val="single" w:sz="4" w:space="0" w:color="000000"/>
            </w:tcBorders>
            <w:shd w:val="clear" w:color="auto" w:fill="auto"/>
            <w:vAlign w:val="bottom"/>
            <w:hideMark/>
          </w:tcPr>
          <w:p w14:paraId="4653F644"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630" w:type="dxa"/>
            <w:tcBorders>
              <w:top w:val="nil"/>
              <w:left w:val="nil"/>
              <w:bottom w:val="double" w:sz="4" w:space="0" w:color="auto"/>
              <w:right w:val="single" w:sz="4" w:space="0" w:color="000000"/>
            </w:tcBorders>
            <w:shd w:val="clear" w:color="auto" w:fill="auto"/>
            <w:vAlign w:val="bottom"/>
            <w:hideMark/>
          </w:tcPr>
          <w:p w14:paraId="1E1B56C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Y</w:t>
            </w:r>
          </w:p>
        </w:tc>
        <w:tc>
          <w:tcPr>
            <w:tcW w:w="3330" w:type="dxa"/>
            <w:tcBorders>
              <w:top w:val="single" w:sz="4" w:space="0" w:color="000000"/>
              <w:left w:val="nil"/>
              <w:bottom w:val="double" w:sz="4" w:space="0" w:color="auto"/>
              <w:right w:val="single" w:sz="4" w:space="0" w:color="auto"/>
            </w:tcBorders>
            <w:shd w:val="clear" w:color="auto" w:fill="auto"/>
            <w:vAlign w:val="bottom"/>
            <w:hideMark/>
          </w:tcPr>
          <w:p w14:paraId="19DD2CD2" w14:textId="77777777" w:rsidR="00F0283E" w:rsidRPr="009F5E32" w:rsidRDefault="00F0283E" w:rsidP="00F0283E">
            <w:pPr>
              <w:widowControl/>
              <w:autoSpaceDE/>
              <w:autoSpaceDN/>
              <w:adjustRightInd/>
              <w:ind w:left="0" w:firstLine="0"/>
              <w:jc w:val="left"/>
              <w:rPr>
                <w:rFonts w:cs="Arial"/>
                <w:color w:val="000000"/>
                <w:sz w:val="14"/>
                <w:szCs w:val="14"/>
              </w:rPr>
            </w:pPr>
            <w:r w:rsidRPr="009F5E32">
              <w:rPr>
                <w:rFonts w:cs="Arial"/>
                <w:sz w:val="14"/>
                <w:szCs w:val="14"/>
              </w:rPr>
              <w:t>Xylenes</w:t>
            </w:r>
          </w:p>
        </w:tc>
        <w:tc>
          <w:tcPr>
            <w:tcW w:w="900" w:type="dxa"/>
            <w:tcBorders>
              <w:top w:val="nil"/>
              <w:left w:val="single" w:sz="4" w:space="0" w:color="auto"/>
              <w:bottom w:val="double" w:sz="4" w:space="0" w:color="auto"/>
              <w:right w:val="single" w:sz="4" w:space="0" w:color="000000"/>
            </w:tcBorders>
            <w:shd w:val="clear" w:color="auto" w:fill="auto"/>
            <w:vAlign w:val="bottom"/>
            <w:hideMark/>
          </w:tcPr>
          <w:p w14:paraId="550D38EC"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0.044259</w:t>
            </w:r>
          </w:p>
        </w:tc>
        <w:tc>
          <w:tcPr>
            <w:tcW w:w="990" w:type="dxa"/>
            <w:tcBorders>
              <w:top w:val="nil"/>
              <w:left w:val="nil"/>
              <w:bottom w:val="double" w:sz="4" w:space="0" w:color="auto"/>
              <w:right w:val="single" w:sz="4" w:space="0" w:color="000000"/>
            </w:tcBorders>
            <w:shd w:val="clear" w:color="auto" w:fill="auto"/>
            <w:vAlign w:val="bottom"/>
            <w:hideMark/>
          </w:tcPr>
          <w:p w14:paraId="774D9E42"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0.354069</w:t>
            </w:r>
          </w:p>
        </w:tc>
        <w:tc>
          <w:tcPr>
            <w:tcW w:w="810" w:type="dxa"/>
            <w:tcBorders>
              <w:top w:val="nil"/>
              <w:left w:val="nil"/>
              <w:bottom w:val="double" w:sz="4" w:space="0" w:color="auto"/>
              <w:right w:val="single" w:sz="4" w:space="0" w:color="auto"/>
            </w:tcBorders>
            <w:shd w:val="clear" w:color="auto" w:fill="auto"/>
            <w:vAlign w:val="bottom"/>
            <w:hideMark/>
          </w:tcPr>
          <w:p w14:paraId="77BD32B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0.194</w:t>
            </w:r>
          </w:p>
        </w:tc>
        <w:tc>
          <w:tcPr>
            <w:tcW w:w="1080" w:type="dxa"/>
            <w:tcBorders>
              <w:top w:val="nil"/>
              <w:left w:val="single" w:sz="4" w:space="0" w:color="auto"/>
              <w:bottom w:val="double" w:sz="4" w:space="0" w:color="auto"/>
              <w:right w:val="single" w:sz="4" w:space="0" w:color="000000"/>
            </w:tcBorders>
            <w:shd w:val="clear" w:color="auto" w:fill="auto"/>
            <w:vAlign w:val="bottom"/>
            <w:hideMark/>
          </w:tcPr>
          <w:p w14:paraId="304FE103"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8.3</w:t>
            </w:r>
          </w:p>
        </w:tc>
        <w:tc>
          <w:tcPr>
            <w:tcW w:w="990" w:type="dxa"/>
            <w:tcBorders>
              <w:top w:val="nil"/>
              <w:left w:val="nil"/>
              <w:bottom w:val="double" w:sz="4" w:space="0" w:color="auto"/>
              <w:right w:val="nil"/>
            </w:tcBorders>
            <w:shd w:val="clear" w:color="auto" w:fill="auto"/>
            <w:vAlign w:val="bottom"/>
            <w:hideMark/>
          </w:tcPr>
          <w:p w14:paraId="03780909"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4.3%</w:t>
            </w:r>
          </w:p>
        </w:tc>
        <w:tc>
          <w:tcPr>
            <w:tcW w:w="990" w:type="dxa"/>
            <w:tcBorders>
              <w:top w:val="nil"/>
              <w:left w:val="single" w:sz="4" w:space="0" w:color="000000"/>
              <w:bottom w:val="double" w:sz="4" w:space="0" w:color="auto"/>
              <w:right w:val="double" w:sz="4" w:space="0" w:color="auto"/>
            </w:tcBorders>
            <w:shd w:val="clear" w:color="auto" w:fill="auto"/>
            <w:vAlign w:val="bottom"/>
            <w:hideMark/>
          </w:tcPr>
          <w:p w14:paraId="2EFF42B0" w14:textId="77777777" w:rsidR="00F0283E" w:rsidRPr="009F5E32" w:rsidRDefault="00F0283E" w:rsidP="00F0283E">
            <w:pPr>
              <w:widowControl/>
              <w:autoSpaceDE/>
              <w:autoSpaceDN/>
              <w:adjustRightInd/>
              <w:ind w:left="0" w:firstLine="0"/>
              <w:jc w:val="center"/>
              <w:rPr>
                <w:rFonts w:cs="Arial"/>
                <w:color w:val="000000"/>
                <w:sz w:val="14"/>
                <w:szCs w:val="14"/>
              </w:rPr>
            </w:pPr>
            <w:r w:rsidRPr="009F5E32">
              <w:rPr>
                <w:rFonts w:cs="Arial"/>
                <w:color w:val="000000"/>
                <w:sz w:val="14"/>
                <w:szCs w:val="14"/>
              </w:rPr>
              <w:t>No</w:t>
            </w:r>
          </w:p>
        </w:tc>
      </w:tr>
      <w:tr w:rsidR="00C01516" w:rsidRPr="009F5E32" w14:paraId="62D9E14F" w14:textId="77777777" w:rsidTr="003529CF">
        <w:trPr>
          <w:cantSplit/>
          <w:trHeight w:val="180"/>
        </w:trPr>
        <w:tc>
          <w:tcPr>
            <w:tcW w:w="7344" w:type="dxa"/>
            <w:gridSpan w:val="5"/>
            <w:tcBorders>
              <w:top w:val="double" w:sz="4" w:space="0" w:color="auto"/>
              <w:left w:val="double" w:sz="4" w:space="0" w:color="auto"/>
              <w:bottom w:val="single" w:sz="4" w:space="0" w:color="000000"/>
              <w:right w:val="single" w:sz="4" w:space="0" w:color="auto"/>
            </w:tcBorders>
            <w:shd w:val="clear" w:color="auto" w:fill="auto"/>
            <w:vAlign w:val="bottom"/>
            <w:hideMark/>
          </w:tcPr>
          <w:p w14:paraId="5EDD9AD0" w14:textId="77777777" w:rsidR="00C01516" w:rsidRPr="009F5E32" w:rsidRDefault="00C01516" w:rsidP="00C01516">
            <w:pPr>
              <w:widowControl/>
              <w:autoSpaceDE/>
              <w:autoSpaceDN/>
              <w:adjustRightInd/>
              <w:ind w:left="0" w:firstLine="0"/>
              <w:jc w:val="right"/>
              <w:rPr>
                <w:rFonts w:cs="Arial"/>
                <w:b/>
                <w:bCs/>
                <w:color w:val="000000"/>
                <w:sz w:val="14"/>
                <w:szCs w:val="14"/>
              </w:rPr>
            </w:pPr>
            <w:r w:rsidRPr="009F5E32">
              <w:rPr>
                <w:rFonts w:cs="Arial"/>
                <w:b/>
                <w:bCs/>
                <w:color w:val="000000"/>
                <w:sz w:val="14"/>
                <w:szCs w:val="14"/>
              </w:rPr>
              <w:t>Total Quantified NMOCs</w:t>
            </w:r>
          </w:p>
        </w:tc>
        <w:tc>
          <w:tcPr>
            <w:tcW w:w="900" w:type="dxa"/>
            <w:tcBorders>
              <w:top w:val="double" w:sz="4" w:space="0" w:color="auto"/>
              <w:left w:val="single" w:sz="4" w:space="0" w:color="auto"/>
              <w:bottom w:val="nil"/>
              <w:right w:val="single" w:sz="4" w:space="0" w:color="000000"/>
            </w:tcBorders>
            <w:shd w:val="clear" w:color="auto" w:fill="auto"/>
            <w:hideMark/>
          </w:tcPr>
          <w:p w14:paraId="76891392" w14:textId="26C02722"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3.15</w:t>
            </w:r>
          </w:p>
        </w:tc>
        <w:tc>
          <w:tcPr>
            <w:tcW w:w="990" w:type="dxa"/>
            <w:tcBorders>
              <w:top w:val="double" w:sz="4" w:space="0" w:color="auto"/>
              <w:left w:val="nil"/>
              <w:bottom w:val="nil"/>
              <w:right w:val="single" w:sz="4" w:space="0" w:color="000000"/>
            </w:tcBorders>
            <w:shd w:val="clear" w:color="auto" w:fill="auto"/>
            <w:hideMark/>
          </w:tcPr>
          <w:p w14:paraId="03C0CB78" w14:textId="78B20DC2"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25.22</w:t>
            </w:r>
          </w:p>
        </w:tc>
        <w:tc>
          <w:tcPr>
            <w:tcW w:w="810" w:type="dxa"/>
            <w:tcBorders>
              <w:top w:val="double" w:sz="4" w:space="0" w:color="auto"/>
              <w:left w:val="nil"/>
              <w:bottom w:val="single" w:sz="4" w:space="0" w:color="000000"/>
              <w:right w:val="single" w:sz="4" w:space="0" w:color="auto"/>
            </w:tcBorders>
            <w:shd w:val="clear" w:color="auto" w:fill="auto"/>
            <w:hideMark/>
          </w:tcPr>
          <w:p w14:paraId="164A5EC9" w14:textId="4D9E9990" w:rsidR="00C01516" w:rsidRPr="009F5E32" w:rsidRDefault="00C01516" w:rsidP="00C01516">
            <w:pPr>
              <w:widowControl/>
              <w:autoSpaceDE/>
              <w:autoSpaceDN/>
              <w:adjustRightInd/>
              <w:ind w:left="0" w:firstLine="0"/>
              <w:jc w:val="center"/>
              <w:rPr>
                <w:rFonts w:cs="Arial"/>
                <w:b/>
                <w:bCs/>
                <w:color w:val="000000"/>
                <w:sz w:val="14"/>
                <w:szCs w:val="14"/>
              </w:rPr>
            </w:pPr>
            <w:r w:rsidRPr="009F5E32">
              <w:rPr>
                <w:sz w:val="14"/>
                <w:szCs w:val="14"/>
              </w:rPr>
              <w:t>13.81</w:t>
            </w:r>
          </w:p>
        </w:tc>
        <w:tc>
          <w:tcPr>
            <w:tcW w:w="3060" w:type="dxa"/>
            <w:gridSpan w:val="3"/>
            <w:vMerge w:val="restart"/>
            <w:tcBorders>
              <w:top w:val="double" w:sz="4" w:space="0" w:color="auto"/>
              <w:left w:val="single" w:sz="4" w:space="0" w:color="auto"/>
              <w:right w:val="double" w:sz="4" w:space="0" w:color="auto"/>
            </w:tcBorders>
            <w:shd w:val="clear" w:color="auto" w:fill="auto"/>
            <w:vAlign w:val="bottom"/>
          </w:tcPr>
          <w:p w14:paraId="3E231498" w14:textId="77777777" w:rsidR="00C01516" w:rsidRPr="009F5E32" w:rsidRDefault="00C01516" w:rsidP="00C01516">
            <w:pPr>
              <w:widowControl/>
              <w:autoSpaceDE/>
              <w:autoSpaceDN/>
              <w:adjustRightInd/>
              <w:ind w:left="0" w:firstLine="0"/>
              <w:jc w:val="left"/>
              <w:rPr>
                <w:rFonts w:cs="Arial"/>
                <w:color w:val="000000"/>
                <w:sz w:val="14"/>
                <w:szCs w:val="14"/>
              </w:rPr>
            </w:pPr>
          </w:p>
        </w:tc>
      </w:tr>
      <w:tr w:rsidR="00C01516" w:rsidRPr="009F5E32" w14:paraId="2480E2C5" w14:textId="77777777" w:rsidTr="003529CF">
        <w:trPr>
          <w:cantSplit/>
          <w:trHeight w:val="180"/>
        </w:trPr>
        <w:tc>
          <w:tcPr>
            <w:tcW w:w="7344" w:type="dxa"/>
            <w:gridSpan w:val="5"/>
            <w:tcBorders>
              <w:top w:val="single" w:sz="4" w:space="0" w:color="000000"/>
              <w:left w:val="double" w:sz="4" w:space="0" w:color="auto"/>
              <w:bottom w:val="single" w:sz="4" w:space="0" w:color="000000"/>
              <w:right w:val="single" w:sz="4" w:space="0" w:color="auto"/>
            </w:tcBorders>
            <w:shd w:val="clear" w:color="auto" w:fill="auto"/>
            <w:vAlign w:val="bottom"/>
            <w:hideMark/>
          </w:tcPr>
          <w:p w14:paraId="5BA58896" w14:textId="77777777" w:rsidR="00C01516" w:rsidRPr="009F5E32" w:rsidRDefault="00C01516" w:rsidP="00C01516">
            <w:pPr>
              <w:widowControl/>
              <w:autoSpaceDE/>
              <w:autoSpaceDN/>
              <w:adjustRightInd/>
              <w:ind w:left="0" w:firstLine="0"/>
              <w:jc w:val="right"/>
              <w:rPr>
                <w:rFonts w:cs="Arial"/>
                <w:b/>
                <w:bCs/>
                <w:sz w:val="14"/>
                <w:szCs w:val="14"/>
              </w:rPr>
            </w:pPr>
            <w:r w:rsidRPr="009F5E32">
              <w:rPr>
                <w:rFonts w:cs="Arial"/>
                <w:b/>
                <w:bCs/>
                <w:sz w:val="14"/>
                <w:szCs w:val="14"/>
              </w:rPr>
              <w:t>Total Quantified VOCs</w:t>
            </w:r>
          </w:p>
        </w:tc>
        <w:tc>
          <w:tcPr>
            <w:tcW w:w="900" w:type="dxa"/>
            <w:tcBorders>
              <w:top w:val="single" w:sz="4" w:space="0" w:color="000000"/>
              <w:left w:val="single" w:sz="4" w:space="0" w:color="auto"/>
              <w:bottom w:val="single" w:sz="4" w:space="0" w:color="000000"/>
              <w:right w:val="single" w:sz="4" w:space="0" w:color="000000"/>
            </w:tcBorders>
            <w:shd w:val="clear" w:color="auto" w:fill="auto"/>
            <w:hideMark/>
          </w:tcPr>
          <w:p w14:paraId="7875CA1D" w14:textId="58859B6F"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8.16</w:t>
            </w:r>
          </w:p>
        </w:tc>
        <w:tc>
          <w:tcPr>
            <w:tcW w:w="990" w:type="dxa"/>
            <w:tcBorders>
              <w:top w:val="single" w:sz="4" w:space="0" w:color="000000"/>
              <w:left w:val="nil"/>
              <w:bottom w:val="single" w:sz="4" w:space="0" w:color="000000"/>
              <w:right w:val="single" w:sz="4" w:space="0" w:color="000000"/>
            </w:tcBorders>
            <w:shd w:val="clear" w:color="auto" w:fill="auto"/>
            <w:hideMark/>
          </w:tcPr>
          <w:p w14:paraId="59D7C2C1" w14:textId="120EF15D"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65.30</w:t>
            </w:r>
          </w:p>
        </w:tc>
        <w:tc>
          <w:tcPr>
            <w:tcW w:w="810" w:type="dxa"/>
            <w:tcBorders>
              <w:top w:val="nil"/>
              <w:left w:val="nil"/>
              <w:bottom w:val="single" w:sz="4" w:space="0" w:color="000000"/>
              <w:right w:val="single" w:sz="4" w:space="0" w:color="auto"/>
            </w:tcBorders>
            <w:shd w:val="clear" w:color="auto" w:fill="auto"/>
            <w:hideMark/>
          </w:tcPr>
          <w:p w14:paraId="455748A5" w14:textId="7AF7CFC6" w:rsidR="00C01516" w:rsidRPr="009F5E32" w:rsidRDefault="00C01516" w:rsidP="00C01516">
            <w:pPr>
              <w:widowControl/>
              <w:autoSpaceDE/>
              <w:autoSpaceDN/>
              <w:adjustRightInd/>
              <w:ind w:left="0" w:firstLine="0"/>
              <w:jc w:val="center"/>
              <w:rPr>
                <w:rFonts w:cs="Arial"/>
                <w:b/>
                <w:bCs/>
                <w:color w:val="000000"/>
                <w:sz w:val="14"/>
                <w:szCs w:val="14"/>
              </w:rPr>
            </w:pPr>
            <w:r w:rsidRPr="009F5E32">
              <w:rPr>
                <w:sz w:val="14"/>
                <w:szCs w:val="14"/>
              </w:rPr>
              <w:t>35.75</w:t>
            </w:r>
          </w:p>
        </w:tc>
        <w:tc>
          <w:tcPr>
            <w:tcW w:w="3060" w:type="dxa"/>
            <w:gridSpan w:val="3"/>
            <w:vMerge/>
            <w:tcBorders>
              <w:left w:val="single" w:sz="4" w:space="0" w:color="auto"/>
              <w:right w:val="double" w:sz="4" w:space="0" w:color="auto"/>
            </w:tcBorders>
            <w:shd w:val="clear" w:color="auto" w:fill="auto"/>
            <w:hideMark/>
          </w:tcPr>
          <w:p w14:paraId="408AB650" w14:textId="77777777" w:rsidR="00C01516" w:rsidRPr="009F5E32" w:rsidRDefault="00C01516" w:rsidP="00C01516">
            <w:pPr>
              <w:widowControl/>
              <w:autoSpaceDE/>
              <w:autoSpaceDN/>
              <w:adjustRightInd/>
              <w:ind w:left="0" w:firstLine="0"/>
              <w:jc w:val="left"/>
              <w:rPr>
                <w:rFonts w:cs="Arial"/>
                <w:color w:val="000000"/>
                <w:sz w:val="10"/>
                <w:szCs w:val="10"/>
              </w:rPr>
            </w:pPr>
          </w:p>
        </w:tc>
      </w:tr>
      <w:tr w:rsidR="00C01516" w:rsidRPr="009F5E32" w14:paraId="7D184DA0" w14:textId="77777777" w:rsidTr="003529CF">
        <w:trPr>
          <w:cantSplit/>
          <w:trHeight w:val="180"/>
        </w:trPr>
        <w:tc>
          <w:tcPr>
            <w:tcW w:w="7344" w:type="dxa"/>
            <w:gridSpan w:val="5"/>
            <w:tcBorders>
              <w:top w:val="single" w:sz="4" w:space="0" w:color="000000"/>
              <w:left w:val="double" w:sz="4" w:space="0" w:color="auto"/>
              <w:bottom w:val="single" w:sz="4" w:space="0" w:color="000000"/>
              <w:right w:val="single" w:sz="4" w:space="0" w:color="auto"/>
            </w:tcBorders>
            <w:shd w:val="clear" w:color="auto" w:fill="auto"/>
            <w:vAlign w:val="bottom"/>
            <w:hideMark/>
          </w:tcPr>
          <w:p w14:paraId="7F8872E2" w14:textId="77777777" w:rsidR="00C01516" w:rsidRPr="009F5E32" w:rsidRDefault="00C01516" w:rsidP="00C01516">
            <w:pPr>
              <w:widowControl/>
              <w:autoSpaceDE/>
              <w:autoSpaceDN/>
              <w:adjustRightInd/>
              <w:ind w:left="0" w:firstLine="0"/>
              <w:jc w:val="right"/>
              <w:rPr>
                <w:rFonts w:cs="Arial"/>
                <w:b/>
                <w:bCs/>
                <w:sz w:val="14"/>
                <w:szCs w:val="14"/>
              </w:rPr>
            </w:pPr>
            <w:r w:rsidRPr="009F5E32">
              <w:rPr>
                <w:rFonts w:cs="Arial"/>
                <w:b/>
                <w:bCs/>
                <w:sz w:val="14"/>
                <w:szCs w:val="14"/>
              </w:rPr>
              <w:t xml:space="preserve">Total Quantified HAPs </w:t>
            </w:r>
          </w:p>
        </w:tc>
        <w:tc>
          <w:tcPr>
            <w:tcW w:w="900" w:type="dxa"/>
            <w:tcBorders>
              <w:top w:val="nil"/>
              <w:left w:val="single" w:sz="4" w:space="0" w:color="auto"/>
              <w:bottom w:val="nil"/>
              <w:right w:val="single" w:sz="4" w:space="0" w:color="000000"/>
            </w:tcBorders>
            <w:shd w:val="clear" w:color="auto" w:fill="auto"/>
            <w:hideMark/>
          </w:tcPr>
          <w:p w14:paraId="30AC47B5" w14:textId="4AEA6F00"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8.48</w:t>
            </w:r>
          </w:p>
        </w:tc>
        <w:tc>
          <w:tcPr>
            <w:tcW w:w="990" w:type="dxa"/>
            <w:tcBorders>
              <w:top w:val="nil"/>
              <w:left w:val="nil"/>
              <w:bottom w:val="nil"/>
              <w:right w:val="single" w:sz="4" w:space="0" w:color="000000"/>
            </w:tcBorders>
            <w:shd w:val="clear" w:color="auto" w:fill="auto"/>
            <w:hideMark/>
          </w:tcPr>
          <w:p w14:paraId="5C47AB1E" w14:textId="46003AA0"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67.85</w:t>
            </w:r>
          </w:p>
        </w:tc>
        <w:tc>
          <w:tcPr>
            <w:tcW w:w="810" w:type="dxa"/>
            <w:tcBorders>
              <w:top w:val="nil"/>
              <w:left w:val="nil"/>
              <w:bottom w:val="single" w:sz="4" w:space="0" w:color="000000"/>
              <w:right w:val="single" w:sz="4" w:space="0" w:color="auto"/>
            </w:tcBorders>
            <w:shd w:val="clear" w:color="auto" w:fill="auto"/>
            <w:hideMark/>
          </w:tcPr>
          <w:p w14:paraId="447C78DD" w14:textId="5D39F2BE" w:rsidR="00C01516" w:rsidRPr="009F5E32" w:rsidRDefault="00C01516" w:rsidP="00C01516">
            <w:pPr>
              <w:widowControl/>
              <w:autoSpaceDE/>
              <w:autoSpaceDN/>
              <w:adjustRightInd/>
              <w:ind w:left="0" w:firstLine="0"/>
              <w:jc w:val="center"/>
              <w:rPr>
                <w:rFonts w:cs="Arial"/>
                <w:b/>
                <w:bCs/>
                <w:color w:val="000000"/>
                <w:sz w:val="14"/>
                <w:szCs w:val="14"/>
              </w:rPr>
            </w:pPr>
            <w:r w:rsidRPr="009F5E32">
              <w:rPr>
                <w:sz w:val="14"/>
                <w:szCs w:val="14"/>
              </w:rPr>
              <w:t>37.15</w:t>
            </w:r>
          </w:p>
        </w:tc>
        <w:tc>
          <w:tcPr>
            <w:tcW w:w="3060" w:type="dxa"/>
            <w:gridSpan w:val="3"/>
            <w:vMerge/>
            <w:tcBorders>
              <w:left w:val="single" w:sz="4" w:space="0" w:color="auto"/>
              <w:right w:val="double" w:sz="4" w:space="0" w:color="auto"/>
            </w:tcBorders>
            <w:shd w:val="clear" w:color="auto" w:fill="auto"/>
            <w:hideMark/>
          </w:tcPr>
          <w:p w14:paraId="76357D64" w14:textId="77777777" w:rsidR="00C01516" w:rsidRPr="009F5E32" w:rsidRDefault="00C01516" w:rsidP="00C01516">
            <w:pPr>
              <w:widowControl/>
              <w:autoSpaceDE/>
              <w:autoSpaceDN/>
              <w:adjustRightInd/>
              <w:ind w:left="0" w:firstLine="0"/>
              <w:jc w:val="left"/>
              <w:rPr>
                <w:rFonts w:cs="Arial"/>
                <w:color w:val="000000"/>
                <w:sz w:val="10"/>
                <w:szCs w:val="10"/>
              </w:rPr>
            </w:pPr>
          </w:p>
        </w:tc>
      </w:tr>
      <w:tr w:rsidR="00C01516" w:rsidRPr="009F5E32" w14:paraId="7D20D89F" w14:textId="77777777" w:rsidTr="003529CF">
        <w:trPr>
          <w:cantSplit/>
          <w:trHeight w:val="180"/>
        </w:trPr>
        <w:tc>
          <w:tcPr>
            <w:tcW w:w="7344" w:type="dxa"/>
            <w:gridSpan w:val="5"/>
            <w:tcBorders>
              <w:top w:val="single" w:sz="4" w:space="0" w:color="000000"/>
              <w:left w:val="double" w:sz="4" w:space="0" w:color="auto"/>
              <w:bottom w:val="double" w:sz="4" w:space="0" w:color="auto"/>
              <w:right w:val="single" w:sz="4" w:space="0" w:color="auto"/>
            </w:tcBorders>
            <w:shd w:val="clear" w:color="auto" w:fill="auto"/>
            <w:vAlign w:val="bottom"/>
            <w:hideMark/>
          </w:tcPr>
          <w:p w14:paraId="2866ED56" w14:textId="77777777" w:rsidR="00C01516" w:rsidRPr="009F5E32" w:rsidRDefault="00C01516" w:rsidP="00C01516">
            <w:pPr>
              <w:widowControl/>
              <w:autoSpaceDE/>
              <w:autoSpaceDN/>
              <w:adjustRightInd/>
              <w:ind w:left="0" w:firstLine="0"/>
              <w:jc w:val="right"/>
              <w:rPr>
                <w:rFonts w:cs="Arial"/>
                <w:b/>
                <w:bCs/>
                <w:sz w:val="14"/>
                <w:szCs w:val="14"/>
              </w:rPr>
            </w:pPr>
            <w:r w:rsidRPr="009F5E32">
              <w:rPr>
                <w:rFonts w:cs="Arial"/>
                <w:b/>
                <w:bCs/>
                <w:sz w:val="14"/>
                <w:szCs w:val="14"/>
              </w:rPr>
              <w:t>Total Quantified HACs</w:t>
            </w:r>
          </w:p>
        </w:tc>
        <w:tc>
          <w:tcPr>
            <w:tcW w:w="900" w:type="dxa"/>
            <w:tcBorders>
              <w:top w:val="single" w:sz="4" w:space="0" w:color="000000"/>
              <w:left w:val="single" w:sz="4" w:space="0" w:color="auto"/>
              <w:bottom w:val="double" w:sz="4" w:space="0" w:color="auto"/>
              <w:right w:val="single" w:sz="4" w:space="0" w:color="000000"/>
            </w:tcBorders>
            <w:shd w:val="clear" w:color="auto" w:fill="auto"/>
            <w:hideMark/>
          </w:tcPr>
          <w:p w14:paraId="0FABB99D" w14:textId="77C3B9E3"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10.53</w:t>
            </w:r>
          </w:p>
        </w:tc>
        <w:tc>
          <w:tcPr>
            <w:tcW w:w="990" w:type="dxa"/>
            <w:tcBorders>
              <w:top w:val="single" w:sz="4" w:space="0" w:color="000000"/>
              <w:left w:val="nil"/>
              <w:bottom w:val="double" w:sz="4" w:space="0" w:color="auto"/>
              <w:right w:val="single" w:sz="4" w:space="0" w:color="000000"/>
            </w:tcBorders>
            <w:shd w:val="clear" w:color="auto" w:fill="auto"/>
            <w:hideMark/>
          </w:tcPr>
          <w:p w14:paraId="49FC6672" w14:textId="34445A7D" w:rsidR="00C01516" w:rsidRPr="009F5E32" w:rsidRDefault="00C01516" w:rsidP="00C01516">
            <w:pPr>
              <w:widowControl/>
              <w:autoSpaceDE/>
              <w:autoSpaceDN/>
              <w:adjustRightInd/>
              <w:ind w:left="0" w:firstLine="0"/>
              <w:jc w:val="center"/>
              <w:rPr>
                <w:rFonts w:cs="Arial"/>
                <w:color w:val="000000"/>
                <w:sz w:val="14"/>
                <w:szCs w:val="14"/>
              </w:rPr>
            </w:pPr>
            <w:r w:rsidRPr="009F5E32">
              <w:rPr>
                <w:sz w:val="14"/>
                <w:szCs w:val="14"/>
              </w:rPr>
              <w:t>84.20</w:t>
            </w:r>
          </w:p>
        </w:tc>
        <w:tc>
          <w:tcPr>
            <w:tcW w:w="810" w:type="dxa"/>
            <w:tcBorders>
              <w:top w:val="nil"/>
              <w:left w:val="nil"/>
              <w:bottom w:val="double" w:sz="4" w:space="0" w:color="auto"/>
              <w:right w:val="single" w:sz="4" w:space="0" w:color="auto"/>
            </w:tcBorders>
            <w:shd w:val="clear" w:color="auto" w:fill="auto"/>
            <w:hideMark/>
          </w:tcPr>
          <w:p w14:paraId="72F2F5E8" w14:textId="26445F6F" w:rsidR="00C01516" w:rsidRPr="009F5E32" w:rsidRDefault="00C01516" w:rsidP="00C01516">
            <w:pPr>
              <w:widowControl/>
              <w:autoSpaceDE/>
              <w:autoSpaceDN/>
              <w:adjustRightInd/>
              <w:ind w:left="0" w:firstLine="0"/>
              <w:jc w:val="center"/>
              <w:rPr>
                <w:rFonts w:cs="Arial"/>
                <w:b/>
                <w:bCs/>
                <w:color w:val="000000"/>
                <w:sz w:val="14"/>
                <w:szCs w:val="14"/>
              </w:rPr>
            </w:pPr>
            <w:r w:rsidRPr="009F5E32">
              <w:rPr>
                <w:sz w:val="14"/>
                <w:szCs w:val="14"/>
              </w:rPr>
              <w:t>46.10</w:t>
            </w:r>
          </w:p>
        </w:tc>
        <w:tc>
          <w:tcPr>
            <w:tcW w:w="3060" w:type="dxa"/>
            <w:gridSpan w:val="3"/>
            <w:vMerge/>
            <w:tcBorders>
              <w:left w:val="single" w:sz="4" w:space="0" w:color="auto"/>
              <w:bottom w:val="double" w:sz="4" w:space="0" w:color="auto"/>
              <w:right w:val="double" w:sz="4" w:space="0" w:color="auto"/>
            </w:tcBorders>
            <w:shd w:val="clear" w:color="auto" w:fill="auto"/>
            <w:hideMark/>
          </w:tcPr>
          <w:p w14:paraId="6DD0C4F5" w14:textId="77777777" w:rsidR="00C01516" w:rsidRPr="009F5E32" w:rsidRDefault="00C01516" w:rsidP="00C01516">
            <w:pPr>
              <w:widowControl/>
              <w:autoSpaceDE/>
              <w:autoSpaceDN/>
              <w:adjustRightInd/>
              <w:ind w:left="0" w:firstLine="0"/>
              <w:jc w:val="left"/>
              <w:rPr>
                <w:rFonts w:cs="Arial"/>
                <w:b/>
                <w:bCs/>
                <w:color w:val="000000"/>
                <w:sz w:val="10"/>
                <w:szCs w:val="10"/>
              </w:rPr>
            </w:pPr>
          </w:p>
        </w:tc>
      </w:tr>
    </w:tbl>
    <w:p w14:paraId="1E54D247" w14:textId="77777777" w:rsidR="00BB09B9" w:rsidRPr="009F5E32" w:rsidRDefault="00BB09B9" w:rsidP="007356CF">
      <w:pPr>
        <w:ind w:left="0" w:firstLine="0"/>
        <w:rPr>
          <w:rFonts w:cs="Arial"/>
          <w:szCs w:val="22"/>
        </w:rPr>
        <w:sectPr w:rsidR="00BB09B9" w:rsidRPr="009F5E32" w:rsidSect="00BD6F6B">
          <w:footnotePr>
            <w:numRestart w:val="eachSect"/>
          </w:footnotePr>
          <w:endnotePr>
            <w:numFmt w:val="decimal"/>
          </w:endnotePr>
          <w:pgSz w:w="15840" w:h="12240" w:orient="landscape"/>
          <w:pgMar w:top="1440" w:right="1440" w:bottom="1440" w:left="1440" w:header="1440" w:footer="720" w:gutter="0"/>
          <w:cols w:space="720"/>
          <w:noEndnote/>
          <w:docGrid w:linePitch="360"/>
        </w:sectPr>
      </w:pPr>
    </w:p>
    <w:p w14:paraId="1F0BDAA4" w14:textId="7BCC7FAD" w:rsidR="007356CF" w:rsidRPr="00FD516E" w:rsidRDefault="007356CF" w:rsidP="005C0511">
      <w:pPr>
        <w:ind w:left="720" w:firstLine="0"/>
        <w:rPr>
          <w:rFonts w:cs="Arial"/>
          <w:szCs w:val="22"/>
        </w:rPr>
      </w:pPr>
      <w:r w:rsidRPr="00FD516E">
        <w:rPr>
          <w:rFonts w:cs="Arial"/>
          <w:szCs w:val="22"/>
        </w:rPr>
        <w:lastRenderedPageBreak/>
        <w:t>As LFG contains a variety of NMOCs which may or may not have been quantified or identified</w:t>
      </w:r>
      <w:r w:rsidR="000E0356" w:rsidRPr="00FD516E">
        <w:rPr>
          <w:rFonts w:cs="Arial"/>
          <w:szCs w:val="22"/>
        </w:rPr>
        <w:t xml:space="preserve"> in previous sampling efforts</w:t>
      </w:r>
      <w:r w:rsidRPr="00FD516E">
        <w:rPr>
          <w:rFonts w:cs="Arial"/>
          <w:szCs w:val="22"/>
        </w:rPr>
        <w:t xml:space="preserve">, it is possible that other </w:t>
      </w:r>
      <w:r w:rsidR="000E0356" w:rsidRPr="00FD516E">
        <w:rPr>
          <w:rFonts w:cs="Arial"/>
          <w:szCs w:val="22"/>
        </w:rPr>
        <w:t>NMOCs</w:t>
      </w:r>
      <w:r w:rsidRPr="00FD516E">
        <w:rPr>
          <w:rFonts w:cs="Arial"/>
          <w:szCs w:val="22"/>
        </w:rPr>
        <w:t xml:space="preserve"> may be present which exceed their respective AL.</w:t>
      </w:r>
      <w:r w:rsidR="009204EC" w:rsidRPr="00FD516E">
        <w:rPr>
          <w:rFonts w:cs="Arial"/>
          <w:szCs w:val="22"/>
        </w:rPr>
        <w:t xml:space="preserve">  </w:t>
      </w:r>
      <w:r w:rsidR="00E25BA5" w:rsidRPr="00FD516E">
        <w:rPr>
          <w:rFonts w:cs="Arial"/>
          <w:szCs w:val="22"/>
        </w:rPr>
        <w:t xml:space="preserve">However, the </w:t>
      </w:r>
      <w:r w:rsidR="00122337" w:rsidRPr="00FD516E">
        <w:rPr>
          <w:rFonts w:cs="Arial"/>
          <w:szCs w:val="22"/>
        </w:rPr>
        <w:t xml:space="preserve">LFG </w:t>
      </w:r>
      <w:r w:rsidR="00E25BA5" w:rsidRPr="00FD516E">
        <w:rPr>
          <w:rFonts w:cs="Arial"/>
          <w:szCs w:val="22"/>
        </w:rPr>
        <w:t xml:space="preserve">collection and control requirement </w:t>
      </w:r>
      <w:r w:rsidR="00122337" w:rsidRPr="00FD516E">
        <w:rPr>
          <w:rFonts w:cs="Arial"/>
          <w:szCs w:val="22"/>
        </w:rPr>
        <w:t xml:space="preserve">that has been implemented </w:t>
      </w:r>
      <w:r w:rsidR="00E25BA5" w:rsidRPr="00FD516E">
        <w:rPr>
          <w:rFonts w:cs="Arial"/>
          <w:szCs w:val="22"/>
        </w:rPr>
        <w:t xml:space="preserve">for the identified HACs </w:t>
      </w:r>
      <w:r w:rsidR="00552434" w:rsidRPr="00FD516E">
        <w:rPr>
          <w:rFonts w:cs="Arial"/>
          <w:szCs w:val="22"/>
        </w:rPr>
        <w:t>is anticipated</w:t>
      </w:r>
      <w:r w:rsidR="00E25BA5" w:rsidRPr="00FD516E">
        <w:rPr>
          <w:rFonts w:cs="Arial"/>
          <w:szCs w:val="22"/>
        </w:rPr>
        <w:t xml:space="preserve"> to be equally effective for </w:t>
      </w:r>
      <w:r w:rsidR="00303A26" w:rsidRPr="00FD516E">
        <w:rPr>
          <w:rFonts w:cs="Arial"/>
          <w:szCs w:val="22"/>
        </w:rPr>
        <w:t xml:space="preserve">any unidentified </w:t>
      </w:r>
      <w:r w:rsidR="00122337" w:rsidRPr="00FD516E">
        <w:rPr>
          <w:rFonts w:cs="Arial"/>
          <w:szCs w:val="22"/>
        </w:rPr>
        <w:t>HACs contained in the LFG</w:t>
      </w:r>
      <w:r w:rsidR="00303A26" w:rsidRPr="00FD516E">
        <w:rPr>
          <w:rFonts w:cs="Arial"/>
          <w:szCs w:val="22"/>
        </w:rPr>
        <w:t>.</w:t>
      </w:r>
      <w:r w:rsidR="00697679" w:rsidRPr="00FD516E">
        <w:rPr>
          <w:rFonts w:cs="Arial"/>
          <w:szCs w:val="22"/>
        </w:rPr>
        <w:t xml:space="preserve">  </w:t>
      </w:r>
    </w:p>
    <w:p w14:paraId="4AD90C6A" w14:textId="77777777" w:rsidR="007356CF" w:rsidRPr="00FD516E" w:rsidRDefault="007356CF" w:rsidP="00D45426">
      <w:pPr>
        <w:ind w:left="0" w:firstLine="0"/>
        <w:rPr>
          <w:rFonts w:cs="Arial"/>
          <w:szCs w:val="22"/>
        </w:rPr>
      </w:pPr>
    </w:p>
    <w:p w14:paraId="5FE8894C" w14:textId="4A0F7CF1" w:rsidR="00D45426" w:rsidRPr="00FD516E" w:rsidRDefault="002B660F" w:rsidP="002B660F">
      <w:pPr>
        <w:ind w:left="720" w:firstLine="0"/>
        <w:rPr>
          <w:rFonts w:cs="Arial"/>
          <w:szCs w:val="22"/>
        </w:rPr>
      </w:pPr>
      <w:r w:rsidRPr="00FD516E">
        <w:rPr>
          <w:rFonts w:cs="Arial"/>
          <w:szCs w:val="22"/>
        </w:rPr>
        <w:t xml:space="preserve">The Agency has determined that HMSER for all compounds present as NMOCs in LFG shall continue to be the requirement to achieve the minimum 98% destruction efficiency of the NMOCs in the </w:t>
      </w:r>
      <w:r w:rsidR="005121B9" w:rsidRPr="00FD516E">
        <w:rPr>
          <w:rFonts w:cs="Arial"/>
          <w:szCs w:val="22"/>
        </w:rPr>
        <w:t>LFG</w:t>
      </w:r>
      <w:r w:rsidRPr="00FD516E">
        <w:rPr>
          <w:rFonts w:cs="Arial"/>
          <w:szCs w:val="22"/>
        </w:rPr>
        <w:t xml:space="preserve"> as required by the prior HMSER and the federal regulations or alternatively demonstrate that the outlet concentrations of NMOCs from the control devices are less than 20 ppmvd measured as hexane.  In addition, the </w:t>
      </w:r>
      <w:r w:rsidR="00EA1CCD" w:rsidRPr="00FD516E">
        <w:rPr>
          <w:rFonts w:cs="Arial"/>
          <w:szCs w:val="22"/>
        </w:rPr>
        <w:t xml:space="preserve">Landfill Operation </w:t>
      </w:r>
      <w:r w:rsidRPr="00FD516E">
        <w:rPr>
          <w:rFonts w:cs="Arial"/>
          <w:szCs w:val="22"/>
        </w:rPr>
        <w:t xml:space="preserve">must also comply with various requirements for the collection of </w:t>
      </w:r>
      <w:r w:rsidR="005711F5" w:rsidRPr="00FD516E">
        <w:rPr>
          <w:rFonts w:cs="Arial"/>
          <w:szCs w:val="22"/>
        </w:rPr>
        <w:t>LFG</w:t>
      </w:r>
      <w:r w:rsidRPr="00FD516E">
        <w:rPr>
          <w:rFonts w:cs="Arial"/>
          <w:szCs w:val="22"/>
        </w:rPr>
        <w:t xml:space="preserve"> to ensure as much gas is collected as is technically feasible and for monitoring of the gas collection and control system operations.  </w:t>
      </w:r>
    </w:p>
    <w:p w14:paraId="78C411AF" w14:textId="77777777" w:rsidR="002B660F" w:rsidRPr="00FD516E" w:rsidRDefault="002B660F" w:rsidP="002B660F">
      <w:pPr>
        <w:ind w:left="0" w:firstLine="0"/>
        <w:rPr>
          <w:rFonts w:cs="Arial"/>
          <w:szCs w:val="22"/>
        </w:rPr>
      </w:pPr>
    </w:p>
    <w:p w14:paraId="23B1D49E" w14:textId="77777777" w:rsidR="00EC6791" w:rsidRPr="00FD516E" w:rsidRDefault="006A2B48" w:rsidP="002D49E9">
      <w:pPr>
        <w:ind w:left="720" w:firstLine="0"/>
        <w:rPr>
          <w:rFonts w:cs="Arial"/>
          <w:szCs w:val="22"/>
        </w:rPr>
      </w:pPr>
      <w:r w:rsidRPr="00FD516E">
        <w:rPr>
          <w:rFonts w:cs="Arial"/>
          <w:szCs w:val="22"/>
        </w:rPr>
        <w:t xml:space="preserve">Formaldehyde emissions from internal combustion engines are typically minimized by following the manufacturer’s recommendations for operating and maintaining the engines so that they operate at design combustion efficiency.  </w:t>
      </w:r>
    </w:p>
    <w:p w14:paraId="5CB6F54B" w14:textId="77777777" w:rsidR="00EC6791" w:rsidRPr="00FD516E" w:rsidRDefault="00EC6791" w:rsidP="00EC6791">
      <w:pPr>
        <w:ind w:left="0" w:firstLine="0"/>
        <w:rPr>
          <w:rFonts w:cs="Arial"/>
          <w:szCs w:val="22"/>
        </w:rPr>
      </w:pPr>
    </w:p>
    <w:p w14:paraId="424D04E0" w14:textId="14D13EDD" w:rsidR="002F7B29" w:rsidRPr="00FD516E" w:rsidRDefault="00CF1BBA" w:rsidP="002D49E9">
      <w:pPr>
        <w:ind w:left="720" w:firstLine="0"/>
        <w:rPr>
          <w:rFonts w:cs="Arial"/>
          <w:szCs w:val="22"/>
        </w:rPr>
      </w:pPr>
      <w:r w:rsidRPr="00FD516E">
        <w:rPr>
          <w:rFonts w:cs="Arial"/>
          <w:szCs w:val="22"/>
        </w:rPr>
        <w:t xml:space="preserve">Although the formaldehyde </w:t>
      </w:r>
      <w:r w:rsidR="00D776A6" w:rsidRPr="00FD516E">
        <w:rPr>
          <w:rFonts w:cs="Arial"/>
          <w:szCs w:val="22"/>
        </w:rPr>
        <w:t xml:space="preserve">and acetaldehyde </w:t>
      </w:r>
      <w:r w:rsidRPr="00FD516E">
        <w:rPr>
          <w:rFonts w:cs="Arial"/>
          <w:szCs w:val="22"/>
        </w:rPr>
        <w:t xml:space="preserve">emissions from the CAT 3520C engines at the </w:t>
      </w:r>
      <w:r w:rsidR="00EA1CCD" w:rsidRPr="00FD516E">
        <w:rPr>
          <w:rFonts w:cs="Arial"/>
          <w:szCs w:val="22"/>
        </w:rPr>
        <w:t xml:space="preserve">LFGTE Operation </w:t>
      </w:r>
      <w:r w:rsidRPr="00FD516E">
        <w:rPr>
          <w:rFonts w:cs="Arial"/>
          <w:szCs w:val="22"/>
        </w:rPr>
        <w:t>exceed the</w:t>
      </w:r>
      <w:r w:rsidR="00D776A6" w:rsidRPr="00FD516E">
        <w:rPr>
          <w:rFonts w:cs="Arial"/>
          <w:szCs w:val="22"/>
        </w:rPr>
        <w:t>ir respective</w:t>
      </w:r>
      <w:r w:rsidRPr="00FD516E">
        <w:rPr>
          <w:rFonts w:cs="Arial"/>
          <w:szCs w:val="22"/>
        </w:rPr>
        <w:t xml:space="preserve"> AL</w:t>
      </w:r>
      <w:r w:rsidR="00D776A6" w:rsidRPr="00FD516E">
        <w:rPr>
          <w:rFonts w:cs="Arial"/>
          <w:szCs w:val="22"/>
        </w:rPr>
        <w:t>s</w:t>
      </w:r>
      <w:r w:rsidRPr="00FD516E">
        <w:rPr>
          <w:rFonts w:cs="Arial"/>
          <w:szCs w:val="22"/>
        </w:rPr>
        <w:t>,</w:t>
      </w:r>
      <w:r w:rsidR="008F657C">
        <w:rPr>
          <w:rFonts w:cs="Arial"/>
          <w:szCs w:val="22"/>
        </w:rPr>
        <w:t xml:space="preserve"> Agency has not required an impact evaluation in accordance with 5-261(3) given</w:t>
      </w:r>
      <w:r w:rsidRPr="00FD516E">
        <w:rPr>
          <w:rFonts w:cs="Arial"/>
          <w:szCs w:val="22"/>
        </w:rPr>
        <w:t xml:space="preserve"> the location and the </w:t>
      </w:r>
      <w:r w:rsidR="00EC6791" w:rsidRPr="00FD516E">
        <w:rPr>
          <w:rFonts w:cs="Arial"/>
          <w:szCs w:val="22"/>
        </w:rPr>
        <w:t>emission characteristics of the</w:t>
      </w:r>
      <w:r w:rsidRPr="00FD516E">
        <w:rPr>
          <w:rFonts w:cs="Arial"/>
          <w:szCs w:val="22"/>
        </w:rPr>
        <w:t>se engines</w:t>
      </w:r>
      <w:r w:rsidR="002F7B29" w:rsidRPr="00FD516E">
        <w:rPr>
          <w:rFonts w:cs="Arial"/>
          <w:szCs w:val="22"/>
        </w:rPr>
        <w:t xml:space="preserve">.  Factors considered in this review include the following.  </w:t>
      </w:r>
    </w:p>
    <w:p w14:paraId="43D02335" w14:textId="77777777" w:rsidR="002F7B29" w:rsidRPr="00FD516E" w:rsidRDefault="002F7B29" w:rsidP="002F7B29">
      <w:pPr>
        <w:ind w:left="0" w:firstLine="0"/>
        <w:rPr>
          <w:rFonts w:cs="Arial"/>
          <w:szCs w:val="22"/>
        </w:rPr>
      </w:pPr>
    </w:p>
    <w:p w14:paraId="06492B8C" w14:textId="77777777" w:rsidR="002F7B29" w:rsidRPr="00FD516E" w:rsidRDefault="002F7B29" w:rsidP="002F7B29">
      <w:pPr>
        <w:pStyle w:val="ListParagraph"/>
        <w:numPr>
          <w:ilvl w:val="0"/>
          <w:numId w:val="35"/>
        </w:numPr>
        <w:rPr>
          <w:rFonts w:cs="Arial"/>
          <w:szCs w:val="22"/>
        </w:rPr>
      </w:pPr>
      <w:r w:rsidRPr="00FD516E">
        <w:rPr>
          <w:rFonts w:cs="Arial"/>
          <w:szCs w:val="22"/>
        </w:rPr>
        <w:t>The nearest receptors to the Facility are approximately 1 km from the Facility.</w:t>
      </w:r>
    </w:p>
    <w:p w14:paraId="7CE34A5D" w14:textId="4B576A09" w:rsidR="002F7B29" w:rsidRPr="00FD516E" w:rsidRDefault="002F7B29" w:rsidP="002F7B29">
      <w:pPr>
        <w:pStyle w:val="ListParagraph"/>
        <w:numPr>
          <w:ilvl w:val="0"/>
          <w:numId w:val="35"/>
        </w:numPr>
        <w:rPr>
          <w:rFonts w:cs="Arial"/>
          <w:szCs w:val="22"/>
        </w:rPr>
      </w:pPr>
      <w:r w:rsidRPr="00FD516E">
        <w:rPr>
          <w:rFonts w:cs="Arial"/>
          <w:szCs w:val="22"/>
        </w:rPr>
        <w:t xml:space="preserve">The </w:t>
      </w:r>
      <w:r w:rsidR="004F6702" w:rsidRPr="00FD516E">
        <w:rPr>
          <w:rFonts w:cs="Arial"/>
          <w:szCs w:val="22"/>
        </w:rPr>
        <w:t>existing</w:t>
      </w:r>
      <w:r w:rsidRPr="00FD516E">
        <w:rPr>
          <w:rFonts w:cs="Arial"/>
          <w:szCs w:val="22"/>
        </w:rPr>
        <w:t xml:space="preserve"> stack height of </w:t>
      </w:r>
      <w:r w:rsidR="004F6702" w:rsidRPr="00FD516E">
        <w:rPr>
          <w:rFonts w:cs="Arial"/>
          <w:szCs w:val="22"/>
        </w:rPr>
        <w:t xml:space="preserve">39 </w:t>
      </w:r>
      <w:r w:rsidRPr="00FD516E">
        <w:rPr>
          <w:rFonts w:cs="Arial"/>
          <w:szCs w:val="22"/>
        </w:rPr>
        <w:t xml:space="preserve">feet, exhaust temperatures of approximately 800 degrees Fahrenheit, and an exit velocity </w:t>
      </w:r>
      <w:r w:rsidR="00AD79C8" w:rsidRPr="00FD516E">
        <w:rPr>
          <w:rFonts w:cs="Arial"/>
          <w:szCs w:val="22"/>
        </w:rPr>
        <w:t xml:space="preserve">for </w:t>
      </w:r>
      <w:r w:rsidRPr="00FD516E">
        <w:rPr>
          <w:rFonts w:cs="Arial"/>
          <w:szCs w:val="22"/>
        </w:rPr>
        <w:t xml:space="preserve">the engine exhaust of approximately </w:t>
      </w:r>
      <w:r w:rsidR="00AD79C8" w:rsidRPr="00FD516E">
        <w:rPr>
          <w:rFonts w:cs="Arial"/>
          <w:szCs w:val="22"/>
        </w:rPr>
        <w:t xml:space="preserve">150 feet per second </w:t>
      </w:r>
      <w:r w:rsidRPr="00FD516E">
        <w:rPr>
          <w:rFonts w:cs="Arial"/>
          <w:szCs w:val="22"/>
        </w:rPr>
        <w:t>all contribute to enhancing dispersion of formaldehyde</w:t>
      </w:r>
      <w:r w:rsidR="00D776A6" w:rsidRPr="00FD516E">
        <w:rPr>
          <w:rFonts w:cs="Arial"/>
          <w:szCs w:val="22"/>
        </w:rPr>
        <w:t xml:space="preserve"> and acetaldehyde</w:t>
      </w:r>
      <w:r w:rsidRPr="00FD516E">
        <w:rPr>
          <w:rFonts w:cs="Arial"/>
          <w:szCs w:val="22"/>
        </w:rPr>
        <w:t>.</w:t>
      </w:r>
    </w:p>
    <w:p w14:paraId="71ED1649" w14:textId="0BA6534F" w:rsidR="00EC6791" w:rsidRPr="00FD516E" w:rsidRDefault="002F7B29" w:rsidP="002F7B29">
      <w:pPr>
        <w:pStyle w:val="ListParagraph"/>
        <w:numPr>
          <w:ilvl w:val="0"/>
          <w:numId w:val="35"/>
        </w:numPr>
        <w:rPr>
          <w:rFonts w:cs="Arial"/>
          <w:szCs w:val="22"/>
        </w:rPr>
      </w:pPr>
      <w:r w:rsidRPr="00FD516E">
        <w:rPr>
          <w:rFonts w:cs="Arial"/>
          <w:szCs w:val="22"/>
        </w:rPr>
        <w:t xml:space="preserve">Formaldehyde </w:t>
      </w:r>
      <w:r w:rsidR="00D776A6" w:rsidRPr="00FD516E">
        <w:rPr>
          <w:rFonts w:cs="Arial"/>
          <w:szCs w:val="22"/>
        </w:rPr>
        <w:t xml:space="preserve">and acetaldehyde are </w:t>
      </w:r>
      <w:r w:rsidRPr="00FD516E">
        <w:rPr>
          <w:rFonts w:cs="Arial"/>
          <w:szCs w:val="22"/>
        </w:rPr>
        <w:t>ubiquitous compound</w:t>
      </w:r>
      <w:r w:rsidR="00D776A6" w:rsidRPr="00FD516E">
        <w:rPr>
          <w:rFonts w:cs="Arial"/>
          <w:szCs w:val="22"/>
        </w:rPr>
        <w:t>s</w:t>
      </w:r>
      <w:r w:rsidRPr="00FD516E">
        <w:rPr>
          <w:rFonts w:cs="Arial"/>
          <w:szCs w:val="22"/>
        </w:rPr>
        <w:t xml:space="preserve"> that </w:t>
      </w:r>
      <w:r w:rsidR="00D776A6" w:rsidRPr="00FD516E">
        <w:rPr>
          <w:rFonts w:cs="Arial"/>
          <w:szCs w:val="22"/>
        </w:rPr>
        <w:t xml:space="preserve">are </w:t>
      </w:r>
      <w:r w:rsidRPr="00FD516E">
        <w:rPr>
          <w:rFonts w:cs="Arial"/>
          <w:szCs w:val="22"/>
        </w:rPr>
        <w:t xml:space="preserve">also found in the emissions from virgin fuel fired internal combustion engines.  </w:t>
      </w:r>
    </w:p>
    <w:p w14:paraId="2F7CD8C5" w14:textId="77777777" w:rsidR="00EC6791" w:rsidRPr="00FD516E" w:rsidRDefault="00EC6791" w:rsidP="00EC6791">
      <w:pPr>
        <w:ind w:left="0" w:firstLine="0"/>
        <w:rPr>
          <w:rFonts w:cs="Arial"/>
          <w:szCs w:val="22"/>
        </w:rPr>
      </w:pPr>
    </w:p>
    <w:p w14:paraId="72F39F35" w14:textId="31FF0EC9" w:rsidR="005E20C5" w:rsidRPr="00FD516E" w:rsidRDefault="006A2B48" w:rsidP="002D49E9">
      <w:pPr>
        <w:ind w:left="720" w:firstLine="0"/>
        <w:rPr>
          <w:rFonts w:cs="Arial"/>
          <w:szCs w:val="22"/>
        </w:rPr>
      </w:pPr>
      <w:r w:rsidRPr="00FD516E">
        <w:rPr>
          <w:rFonts w:cs="Arial"/>
          <w:szCs w:val="22"/>
        </w:rPr>
        <w:t>The EPA has determined that carbon monoxide (CO) can be used as an appropriate surrogate for formaldehyde, as is generally described in 40 CFR Part 63, Subpart ZZZZ.  Accordingly, t</w:t>
      </w:r>
      <w:r w:rsidR="002D49E9" w:rsidRPr="00FD516E">
        <w:rPr>
          <w:rFonts w:cs="Arial"/>
          <w:szCs w:val="22"/>
        </w:rPr>
        <w:t xml:space="preserve">he Agency has determined that HMSER for </w:t>
      </w:r>
      <w:r w:rsidR="000F1993" w:rsidRPr="00FD516E">
        <w:rPr>
          <w:rFonts w:cs="Arial"/>
          <w:szCs w:val="22"/>
        </w:rPr>
        <w:t xml:space="preserve">acetaldehyde and </w:t>
      </w:r>
      <w:r w:rsidR="002D49E9" w:rsidRPr="00FD516E">
        <w:rPr>
          <w:rFonts w:cs="Arial"/>
          <w:szCs w:val="22"/>
        </w:rPr>
        <w:t xml:space="preserve">formaldehyde emissions from the </w:t>
      </w:r>
      <w:r w:rsidR="002D0237" w:rsidRPr="00FD516E">
        <w:rPr>
          <w:rFonts w:cs="Arial"/>
          <w:szCs w:val="22"/>
        </w:rPr>
        <w:t xml:space="preserve">CAT </w:t>
      </w:r>
      <w:r w:rsidR="002D49E9" w:rsidRPr="00FD516E">
        <w:rPr>
          <w:rFonts w:cs="Arial"/>
          <w:szCs w:val="22"/>
        </w:rPr>
        <w:t xml:space="preserve">3520C LE engines will </w:t>
      </w:r>
      <w:r w:rsidRPr="00FD516E">
        <w:rPr>
          <w:rFonts w:cs="Arial"/>
          <w:szCs w:val="22"/>
        </w:rPr>
        <w:t xml:space="preserve">be the same as the MSER for CO, which incorporates the effects of siloxane combustion and deposition within the combustion chambers of the engines.  The HMSER for </w:t>
      </w:r>
      <w:r w:rsidR="000F1993" w:rsidRPr="00FD516E">
        <w:rPr>
          <w:rFonts w:cs="Arial"/>
          <w:szCs w:val="22"/>
        </w:rPr>
        <w:t xml:space="preserve">acetaldehyde and </w:t>
      </w:r>
      <w:r w:rsidRPr="00FD516E">
        <w:rPr>
          <w:rFonts w:cs="Arial"/>
          <w:szCs w:val="22"/>
        </w:rPr>
        <w:t xml:space="preserve">formaldehyde for the </w:t>
      </w:r>
      <w:r w:rsidR="002D0237" w:rsidRPr="00FD516E">
        <w:rPr>
          <w:rFonts w:cs="Arial"/>
          <w:szCs w:val="22"/>
        </w:rPr>
        <w:t xml:space="preserve">CAT </w:t>
      </w:r>
      <w:r w:rsidRPr="00FD516E">
        <w:rPr>
          <w:rFonts w:cs="Arial"/>
          <w:szCs w:val="22"/>
        </w:rPr>
        <w:t xml:space="preserve">3520C LE engines will be as follows:  </w:t>
      </w:r>
    </w:p>
    <w:p w14:paraId="5C5AE879" w14:textId="77777777" w:rsidR="006A2B48" w:rsidRPr="00FD516E" w:rsidRDefault="006A2B48" w:rsidP="006A2B48">
      <w:pPr>
        <w:ind w:left="0" w:firstLine="0"/>
        <w:rPr>
          <w:rFonts w:cs="Arial"/>
          <w:szCs w:val="22"/>
        </w:rPr>
      </w:pPr>
    </w:p>
    <w:p w14:paraId="531BCE74" w14:textId="77777777" w:rsidR="006A2B48" w:rsidRPr="00FD516E" w:rsidRDefault="006A2B48" w:rsidP="006A2B48">
      <w:pPr>
        <w:numPr>
          <w:ilvl w:val="0"/>
          <w:numId w:val="32"/>
        </w:numPr>
        <w:rPr>
          <w:rFonts w:cs="Arial"/>
          <w:szCs w:val="22"/>
        </w:rPr>
      </w:pPr>
      <w:r w:rsidRPr="00FD516E">
        <w:rPr>
          <w:rFonts w:cs="Arial"/>
          <w:szCs w:val="22"/>
        </w:rPr>
        <w:t>3.5 g/bhp-hr and 17.3 lb/hr (each) applies at all times</w:t>
      </w:r>
    </w:p>
    <w:p w14:paraId="6CCC1101" w14:textId="2D46A325" w:rsidR="006A2B48" w:rsidRPr="00FD516E" w:rsidRDefault="006A2B48" w:rsidP="006A2B48">
      <w:pPr>
        <w:numPr>
          <w:ilvl w:val="0"/>
          <w:numId w:val="32"/>
        </w:numPr>
        <w:rPr>
          <w:rFonts w:cs="Arial"/>
          <w:szCs w:val="22"/>
        </w:rPr>
      </w:pPr>
      <w:r w:rsidRPr="00FD516E">
        <w:rPr>
          <w:rFonts w:cs="Arial"/>
          <w:szCs w:val="22"/>
        </w:rPr>
        <w:t>3.1 g/bhp-hr and 15.3 lb/hr (each) must be demonstrated annually</w:t>
      </w:r>
      <w:r w:rsidR="00303A26" w:rsidRPr="00FD516E">
        <w:rPr>
          <w:rFonts w:cs="Arial"/>
          <w:szCs w:val="22"/>
        </w:rPr>
        <w:t>.  The permit may not require each engine to be tested each year in which case the results of those being tested will be considered representative of those not tested that year.</w:t>
      </w:r>
    </w:p>
    <w:p w14:paraId="6BB53D89" w14:textId="77777777" w:rsidR="006A2B48" w:rsidRPr="00FD516E" w:rsidRDefault="006A2B48" w:rsidP="006A2B48">
      <w:pPr>
        <w:numPr>
          <w:ilvl w:val="0"/>
          <w:numId w:val="32"/>
        </w:numPr>
        <w:rPr>
          <w:rFonts w:cs="Arial"/>
          <w:szCs w:val="22"/>
        </w:rPr>
      </w:pPr>
      <w:r w:rsidRPr="00FD516E">
        <w:rPr>
          <w:rFonts w:cs="Arial"/>
          <w:szCs w:val="22"/>
        </w:rPr>
        <w:t>2.75 g/bhp-hr and 13.5 lbs/hour (each) must be demonstrated every 6 years</w:t>
      </w:r>
    </w:p>
    <w:p w14:paraId="072FA028" w14:textId="77777777" w:rsidR="005E20C5" w:rsidRPr="00FD516E" w:rsidRDefault="005E20C5" w:rsidP="00132978">
      <w:pPr>
        <w:ind w:left="0" w:firstLine="0"/>
        <w:rPr>
          <w:rFonts w:cs="Arial"/>
          <w:szCs w:val="22"/>
        </w:rPr>
      </w:pPr>
    </w:p>
    <w:p w14:paraId="50C75210" w14:textId="001AFF92" w:rsidR="00515097" w:rsidRPr="00FD516E" w:rsidRDefault="00C04E98" w:rsidP="00C04E98">
      <w:pPr>
        <w:ind w:left="720" w:firstLine="0"/>
        <w:rPr>
          <w:rFonts w:cs="Arial"/>
          <w:szCs w:val="22"/>
        </w:rPr>
      </w:pPr>
      <w:r w:rsidRPr="00FD516E">
        <w:rPr>
          <w:rFonts w:cs="Arial"/>
          <w:szCs w:val="22"/>
        </w:rPr>
        <w:t>Emissions of SiO</w:t>
      </w:r>
      <w:r w:rsidRPr="00FD516E">
        <w:rPr>
          <w:rFonts w:cs="Arial"/>
          <w:szCs w:val="22"/>
          <w:vertAlign w:val="subscript"/>
        </w:rPr>
        <w:t>2</w:t>
      </w:r>
      <w:r w:rsidRPr="00FD516E">
        <w:rPr>
          <w:rFonts w:cs="Arial"/>
          <w:szCs w:val="22"/>
        </w:rPr>
        <w:t xml:space="preserve"> from </w:t>
      </w:r>
      <w:r w:rsidR="00EC6791" w:rsidRPr="00FD516E">
        <w:rPr>
          <w:rFonts w:cs="Arial"/>
          <w:szCs w:val="22"/>
        </w:rPr>
        <w:t>LFG</w:t>
      </w:r>
      <w:r w:rsidR="00CF1BBA" w:rsidRPr="00FD516E">
        <w:rPr>
          <w:rFonts w:cs="Arial"/>
          <w:szCs w:val="22"/>
        </w:rPr>
        <w:t xml:space="preserve"> combustion</w:t>
      </w:r>
      <w:r w:rsidRPr="00FD516E">
        <w:rPr>
          <w:rFonts w:cs="Arial"/>
          <w:szCs w:val="22"/>
        </w:rPr>
        <w:t xml:space="preserve"> may be controlled by removing the siloxanes from the LFG before combustion.  </w:t>
      </w:r>
      <w:r w:rsidR="00EC6791" w:rsidRPr="00FD516E">
        <w:rPr>
          <w:rFonts w:cs="Arial"/>
          <w:szCs w:val="22"/>
        </w:rPr>
        <w:t xml:space="preserve">However, as previously noted, the SRS uses a flare to </w:t>
      </w:r>
      <w:r w:rsidR="00EC6791" w:rsidRPr="00FD516E">
        <w:rPr>
          <w:rFonts w:cs="Arial"/>
          <w:szCs w:val="22"/>
        </w:rPr>
        <w:lastRenderedPageBreak/>
        <w:t xml:space="preserve">control offgas from the treatment process, so the SRS likely will not provide any reduction in SIO2 emissions.  In addition, there is some uncertainty regarding what form of SiO2 is emitted from the combustion devices at the Facility.  </w:t>
      </w:r>
      <w:r w:rsidR="00805480" w:rsidRPr="00FD516E">
        <w:rPr>
          <w:rFonts w:cs="Arial"/>
          <w:szCs w:val="22"/>
        </w:rPr>
        <w:t>Accordingly, b</w:t>
      </w:r>
      <w:r w:rsidR="00EC6791" w:rsidRPr="00FD516E">
        <w:rPr>
          <w:rFonts w:cs="Arial"/>
          <w:szCs w:val="22"/>
        </w:rPr>
        <w:t>ased on these considerations, t</w:t>
      </w:r>
      <w:r w:rsidRPr="00FD516E">
        <w:rPr>
          <w:rFonts w:cs="Arial"/>
          <w:szCs w:val="22"/>
        </w:rPr>
        <w:t>he HMSER for SiO</w:t>
      </w:r>
      <w:r w:rsidRPr="00FD516E">
        <w:rPr>
          <w:rFonts w:cs="Arial"/>
          <w:szCs w:val="22"/>
          <w:vertAlign w:val="subscript"/>
        </w:rPr>
        <w:t>2</w:t>
      </w:r>
      <w:r w:rsidRPr="00FD516E">
        <w:rPr>
          <w:rFonts w:cs="Arial"/>
          <w:szCs w:val="22"/>
        </w:rPr>
        <w:t xml:space="preserve"> </w:t>
      </w:r>
      <w:r w:rsidR="00EC6791" w:rsidRPr="00FD516E">
        <w:rPr>
          <w:rFonts w:cs="Arial"/>
          <w:szCs w:val="22"/>
        </w:rPr>
        <w:t>from all combustion devices at the Facility</w:t>
      </w:r>
      <w:r w:rsidRPr="00FD516E">
        <w:rPr>
          <w:rFonts w:cs="Arial"/>
          <w:szCs w:val="22"/>
        </w:rPr>
        <w:t xml:space="preserve"> will be </w:t>
      </w:r>
      <w:r w:rsidR="00805480" w:rsidRPr="00FD516E">
        <w:rPr>
          <w:rFonts w:cs="Arial"/>
          <w:szCs w:val="22"/>
        </w:rPr>
        <w:t>a restriction on</w:t>
      </w:r>
      <w:r w:rsidR="00CF5C92" w:rsidRPr="00FD516E">
        <w:rPr>
          <w:rFonts w:cs="Arial"/>
          <w:szCs w:val="22"/>
        </w:rPr>
        <w:t xml:space="preserve"> PM emissions from the Facility</w:t>
      </w:r>
      <w:r w:rsidR="00805480" w:rsidRPr="00FD516E">
        <w:rPr>
          <w:rFonts w:cs="Arial"/>
          <w:szCs w:val="22"/>
        </w:rPr>
        <w:t>, limiting PM emissions</w:t>
      </w:r>
      <w:r w:rsidR="00CF5C92" w:rsidRPr="00FD516E">
        <w:rPr>
          <w:rFonts w:cs="Arial"/>
          <w:szCs w:val="22"/>
        </w:rPr>
        <w:t xml:space="preserve"> to less than </w:t>
      </w:r>
      <w:r w:rsidR="00133B3D">
        <w:rPr>
          <w:rFonts w:cs="Arial"/>
          <w:szCs w:val="22"/>
        </w:rPr>
        <w:t>2</w:t>
      </w:r>
      <w:r w:rsidR="009331C3">
        <w:rPr>
          <w:rFonts w:cs="Arial"/>
          <w:szCs w:val="22"/>
        </w:rPr>
        <w:t>0.5</w:t>
      </w:r>
      <w:r w:rsidR="00122337" w:rsidRPr="00FD516E">
        <w:rPr>
          <w:rFonts w:cs="Arial"/>
          <w:szCs w:val="22"/>
        </w:rPr>
        <w:t xml:space="preserve"> </w:t>
      </w:r>
      <w:r w:rsidR="00CF5C92" w:rsidRPr="00FD516E">
        <w:rPr>
          <w:rFonts w:cs="Arial"/>
          <w:szCs w:val="22"/>
        </w:rPr>
        <w:t>tons per year</w:t>
      </w:r>
      <w:r w:rsidRPr="00FD516E">
        <w:rPr>
          <w:rFonts w:cs="Arial"/>
          <w:szCs w:val="22"/>
        </w:rPr>
        <w:t xml:space="preserve">.  </w:t>
      </w:r>
    </w:p>
    <w:p w14:paraId="1B684481" w14:textId="77777777" w:rsidR="00C04E98" w:rsidRPr="00FD516E" w:rsidRDefault="00C04E98" w:rsidP="00132978">
      <w:pPr>
        <w:ind w:left="0" w:firstLine="0"/>
        <w:rPr>
          <w:rFonts w:cs="Arial"/>
          <w:szCs w:val="22"/>
        </w:rPr>
      </w:pPr>
    </w:p>
    <w:p w14:paraId="491FC139" w14:textId="77777777" w:rsidR="005E20C5" w:rsidRPr="009F5E32" w:rsidRDefault="005E20C5" w:rsidP="002E2B87">
      <w:pPr>
        <w:ind w:left="0" w:firstLine="0"/>
        <w:rPr>
          <w:b/>
        </w:rPr>
      </w:pPr>
      <w:r w:rsidRPr="00FD516E">
        <w:rPr>
          <w:b/>
        </w:rPr>
        <w:t>8.0</w:t>
      </w:r>
      <w:r w:rsidRPr="00FD516E">
        <w:rPr>
          <w:b/>
        </w:rPr>
        <w:tab/>
        <w:t>PERMIT CONDITION DISCUSSION</w:t>
      </w:r>
    </w:p>
    <w:p w14:paraId="6244855E" w14:textId="77777777" w:rsidR="005E20C5" w:rsidRPr="009F5E32" w:rsidRDefault="005E20C5" w:rsidP="001D5633">
      <w:pPr>
        <w:ind w:left="0" w:firstLine="0"/>
        <w:rPr>
          <w:rFonts w:cs="Arial"/>
          <w:szCs w:val="22"/>
        </w:rPr>
      </w:pPr>
    </w:p>
    <w:p w14:paraId="4837E52B" w14:textId="774E2D3B" w:rsidR="00F602CE" w:rsidRPr="009F5E32" w:rsidRDefault="0061225D" w:rsidP="001D5633">
      <w:pPr>
        <w:ind w:left="0" w:firstLine="0"/>
        <w:rPr>
          <w:b/>
          <w:u w:val="single"/>
        </w:rPr>
      </w:pPr>
      <w:r w:rsidRPr="00FD516E">
        <w:rPr>
          <w:b/>
          <w:u w:val="single"/>
        </w:rPr>
        <w:t>Condition (</w:t>
      </w:r>
      <w:r w:rsidR="00642AD9">
        <w:rPr>
          <w:b/>
          <w:u w:val="single"/>
        </w:rPr>
        <w:t>28</w:t>
      </w:r>
      <w:r w:rsidR="00474261" w:rsidRPr="00FD516E">
        <w:rPr>
          <w:b/>
          <w:u w:val="single"/>
        </w:rPr>
        <w:t>)</w:t>
      </w:r>
      <w:r w:rsidR="00F602CE" w:rsidRPr="00FD516E">
        <w:rPr>
          <w:b/>
          <w:u w:val="single"/>
        </w:rPr>
        <w:t xml:space="preserve"> of</w:t>
      </w:r>
      <w:r w:rsidR="00285F66" w:rsidRPr="00FD516E">
        <w:rPr>
          <w:b/>
          <w:u w:val="single"/>
        </w:rPr>
        <w:t xml:space="preserve"> </w:t>
      </w:r>
      <w:r w:rsidR="00F602CE" w:rsidRPr="00FD516E">
        <w:rPr>
          <w:b/>
          <w:u w:val="single"/>
          <w:vertAlign w:val="superscript"/>
        </w:rPr>
        <w:t>#</w:t>
      </w:r>
      <w:r w:rsidR="00285F66" w:rsidRPr="00FD516E">
        <w:rPr>
          <w:b/>
          <w:u w:val="single"/>
        </w:rPr>
        <w:t>AOP-</w:t>
      </w:r>
      <w:r w:rsidR="009D3A34" w:rsidRPr="00FD516E">
        <w:rPr>
          <w:b/>
          <w:u w:val="single"/>
        </w:rPr>
        <w:t>17</w:t>
      </w:r>
      <w:r w:rsidR="00285F66" w:rsidRPr="00FD516E">
        <w:rPr>
          <w:b/>
          <w:u w:val="single"/>
        </w:rPr>
        <w:t>-</w:t>
      </w:r>
      <w:r w:rsidR="009D3A34" w:rsidRPr="00FD516E">
        <w:rPr>
          <w:b/>
          <w:u w:val="single"/>
        </w:rPr>
        <w:t xml:space="preserve">018 </w:t>
      </w:r>
      <w:r w:rsidR="00F602CE" w:rsidRPr="00FD516E">
        <w:rPr>
          <w:b/>
          <w:u w:val="single"/>
        </w:rPr>
        <w:t>/ Condition (</w:t>
      </w:r>
      <w:r w:rsidR="00B2528E" w:rsidRPr="00FD516E">
        <w:rPr>
          <w:b/>
          <w:u w:val="single"/>
        </w:rPr>
        <w:t>1</w:t>
      </w:r>
      <w:r w:rsidR="00B2528E">
        <w:rPr>
          <w:b/>
          <w:u w:val="single"/>
        </w:rPr>
        <w:t>8</w:t>
      </w:r>
      <w:r w:rsidR="00F602CE" w:rsidRPr="00FD516E">
        <w:rPr>
          <w:b/>
          <w:u w:val="single"/>
        </w:rPr>
        <w:t xml:space="preserve">) of </w:t>
      </w:r>
      <w:r w:rsidR="00F602CE" w:rsidRPr="00FD516E">
        <w:rPr>
          <w:b/>
          <w:u w:val="single"/>
          <w:vertAlign w:val="superscript"/>
        </w:rPr>
        <w:t>#</w:t>
      </w:r>
      <w:r w:rsidR="00F602CE" w:rsidRPr="006C7879">
        <w:rPr>
          <w:b/>
          <w:u w:val="single"/>
        </w:rPr>
        <w:t>AOP-</w:t>
      </w:r>
      <w:r w:rsidR="009D3A34" w:rsidRPr="006C7879">
        <w:rPr>
          <w:b/>
          <w:u w:val="single"/>
        </w:rPr>
        <w:t>1</w:t>
      </w:r>
      <w:r w:rsidR="00497FB5" w:rsidRPr="006C7879">
        <w:rPr>
          <w:b/>
          <w:u w:val="single"/>
        </w:rPr>
        <w:t>8</w:t>
      </w:r>
      <w:r w:rsidR="00F602CE" w:rsidRPr="006C7879">
        <w:rPr>
          <w:b/>
          <w:u w:val="single"/>
        </w:rPr>
        <w:t>-</w:t>
      </w:r>
      <w:r w:rsidR="00B06A19">
        <w:rPr>
          <w:b/>
          <w:u w:val="single"/>
        </w:rPr>
        <w:t>019</w:t>
      </w:r>
    </w:p>
    <w:p w14:paraId="214AC2A4" w14:textId="77777777" w:rsidR="00F602CE" w:rsidRPr="009F5E32" w:rsidRDefault="00F602CE" w:rsidP="001D5633">
      <w:pPr>
        <w:ind w:left="0" w:firstLine="0"/>
      </w:pPr>
    </w:p>
    <w:p w14:paraId="5AB53F9C" w14:textId="512F1832" w:rsidR="003E5633" w:rsidRPr="00FD516E" w:rsidRDefault="00F602CE" w:rsidP="001D5633">
      <w:pPr>
        <w:ind w:left="0" w:firstLine="0"/>
      </w:pPr>
      <w:r w:rsidRPr="00FD516E">
        <w:t>These Conditions were developed</w:t>
      </w:r>
      <w:r w:rsidR="00902665" w:rsidRPr="00FD516E">
        <w:t xml:space="preserve"> to provide an enforceable restriction on </w:t>
      </w:r>
      <w:r w:rsidR="00285F66" w:rsidRPr="00FD516E">
        <w:t>SO</w:t>
      </w:r>
      <w:r w:rsidR="00285F66" w:rsidRPr="00FD516E">
        <w:rPr>
          <w:vertAlign w:val="subscript"/>
        </w:rPr>
        <w:t>2</w:t>
      </w:r>
      <w:r w:rsidR="00285F66" w:rsidRPr="00FD516E">
        <w:t xml:space="preserve"> emissions</w:t>
      </w:r>
      <w:r w:rsidR="00902665" w:rsidRPr="00FD516E">
        <w:t xml:space="preserve">, such that these emissions are </w:t>
      </w:r>
      <w:r w:rsidR="00285F66" w:rsidRPr="00FD516E">
        <w:t>less than the 40 ton/year</w:t>
      </w:r>
      <w:r w:rsidR="00902665" w:rsidRPr="00FD516E">
        <w:t xml:space="preserve"> </w:t>
      </w:r>
      <w:r w:rsidR="0061225D" w:rsidRPr="00FD516E">
        <w:t>SO</w:t>
      </w:r>
      <w:r w:rsidR="0061225D" w:rsidRPr="00FD516E">
        <w:rPr>
          <w:vertAlign w:val="subscript"/>
        </w:rPr>
        <w:t>2</w:t>
      </w:r>
      <w:r w:rsidR="0061225D" w:rsidRPr="00FD516E">
        <w:t xml:space="preserve"> </w:t>
      </w:r>
      <w:r w:rsidR="00902665" w:rsidRPr="00FD516E">
        <w:t>emission limit prop</w:t>
      </w:r>
      <w:r w:rsidR="00285F66" w:rsidRPr="00FD516E">
        <w:t>osed by the Permittee</w:t>
      </w:r>
      <w:r w:rsidR="009D3A34" w:rsidRPr="00FD516E">
        <w:t>(s)</w:t>
      </w:r>
      <w:r w:rsidR="00285F66" w:rsidRPr="00FD516E">
        <w:t xml:space="preserve">.  This Condition requires </w:t>
      </w:r>
      <w:r w:rsidR="0027403C" w:rsidRPr="00FD516E">
        <w:t>monthly</w:t>
      </w:r>
      <w:r w:rsidR="00285F66" w:rsidRPr="00FD516E">
        <w:t xml:space="preserve"> measurement of H</w:t>
      </w:r>
      <w:r w:rsidR="00285F66" w:rsidRPr="00FD516E">
        <w:rPr>
          <w:vertAlign w:val="subscript"/>
        </w:rPr>
        <w:t>2</w:t>
      </w:r>
      <w:r w:rsidR="00285F66" w:rsidRPr="00FD516E">
        <w:t>S in the LFG collected from the Landfill</w:t>
      </w:r>
      <w:r w:rsidR="00902665" w:rsidRPr="00FD516E">
        <w:t xml:space="preserve"> and collection of information regarding </w:t>
      </w:r>
      <w:r w:rsidR="0027403C" w:rsidRPr="00FD516E">
        <w:t>total</w:t>
      </w:r>
      <w:r w:rsidR="00902665" w:rsidRPr="00FD516E">
        <w:t xml:space="preserve"> LFG</w:t>
      </w:r>
      <w:r w:rsidR="00285F66" w:rsidRPr="00FD516E">
        <w:t xml:space="preserve"> </w:t>
      </w:r>
      <w:r w:rsidR="00902665" w:rsidRPr="00FD516E">
        <w:t>volumes delivered</w:t>
      </w:r>
      <w:r w:rsidR="0027403C" w:rsidRPr="00FD516E">
        <w:t xml:space="preserve"> in that month</w:t>
      </w:r>
      <w:r w:rsidR="00902665" w:rsidRPr="00FD516E">
        <w:t xml:space="preserve"> to the combustion devices.  </w:t>
      </w:r>
    </w:p>
    <w:p w14:paraId="6843C255" w14:textId="77777777" w:rsidR="003E5633" w:rsidRPr="00FD516E" w:rsidRDefault="003E5633" w:rsidP="001D5633">
      <w:pPr>
        <w:ind w:left="0" w:firstLine="0"/>
      </w:pPr>
    </w:p>
    <w:p w14:paraId="33120CA1" w14:textId="77777777" w:rsidR="00133B3D" w:rsidRDefault="003E5633" w:rsidP="001D5633">
      <w:pPr>
        <w:ind w:left="0" w:firstLine="0"/>
      </w:pPr>
      <w:r w:rsidRPr="00FD516E">
        <w:t>The formula in this Condition is based on the assumption that H</w:t>
      </w:r>
      <w:r w:rsidRPr="00FD516E">
        <w:rPr>
          <w:vertAlign w:val="subscript"/>
        </w:rPr>
        <w:t>2</w:t>
      </w:r>
      <w:r w:rsidRPr="00FD516E">
        <w:t>S concentrations will reflect the amount of sulfur contained in LFG, and that 100 percent of the H</w:t>
      </w:r>
      <w:r w:rsidRPr="00FD516E">
        <w:rPr>
          <w:vertAlign w:val="subscript"/>
        </w:rPr>
        <w:t>2</w:t>
      </w:r>
      <w:r w:rsidRPr="00FD516E">
        <w:t>S is converted to SO</w:t>
      </w:r>
      <w:r w:rsidRPr="00FD516E">
        <w:rPr>
          <w:vertAlign w:val="subscript"/>
        </w:rPr>
        <w:t>2</w:t>
      </w:r>
      <w:r w:rsidRPr="00FD516E">
        <w:t xml:space="preserve"> during combustion.  </w:t>
      </w:r>
      <w:r w:rsidR="00B85710">
        <w:t>The contribution of SO</w:t>
      </w:r>
      <w:r w:rsidR="00B85710" w:rsidRPr="003638BC">
        <w:rPr>
          <w:vertAlign w:val="subscript"/>
        </w:rPr>
        <w:t>2</w:t>
      </w:r>
      <w:r w:rsidR="00B85710">
        <w:t xml:space="preserve"> from non-road engine operation at the Facility was not included in this estimation, as </w:t>
      </w:r>
      <w:r w:rsidR="003638BC">
        <w:t>the estimated emissions of SO</w:t>
      </w:r>
      <w:r w:rsidR="003638BC" w:rsidRPr="003638BC">
        <w:rPr>
          <w:vertAlign w:val="subscript"/>
        </w:rPr>
        <w:t>2</w:t>
      </w:r>
      <w:r w:rsidR="003638BC">
        <w:t xml:space="preserve"> from non-road engine operation was </w:t>
      </w:r>
      <w:r w:rsidR="00133B3D">
        <w:t xml:space="preserve">estimated to be </w:t>
      </w:r>
      <w:r w:rsidR="003638BC">
        <w:t>0.0</w:t>
      </w:r>
      <w:r w:rsidR="00133B3D">
        <w:t>23</w:t>
      </w:r>
      <w:r w:rsidR="003638BC">
        <w:t xml:space="preserve"> tons</w:t>
      </w:r>
      <w:r w:rsidR="00133B3D">
        <w:t xml:space="preserve"> from the combustion of the 220,000 gallons of ULSD allowed by #AOP-17-018.  The Agency determined that the 0.023 tons of SO</w:t>
      </w:r>
      <w:r w:rsidR="00133B3D" w:rsidRPr="00133B3D">
        <w:rPr>
          <w:vertAlign w:val="subscript"/>
        </w:rPr>
        <w:t>2</w:t>
      </w:r>
      <w:r w:rsidR="00133B3D">
        <w:t xml:space="preserve"> emissions were determined to be </w:t>
      </w:r>
      <w:r w:rsidR="003638BC">
        <w:t>an insignificant component of the 40 tons of allowable SO</w:t>
      </w:r>
      <w:r w:rsidR="003638BC" w:rsidRPr="003638BC">
        <w:rPr>
          <w:vertAlign w:val="subscript"/>
        </w:rPr>
        <w:t>2</w:t>
      </w:r>
      <w:r w:rsidR="003638BC">
        <w:t xml:space="preserve"> emissions.  </w:t>
      </w:r>
    </w:p>
    <w:p w14:paraId="54528A32" w14:textId="77777777" w:rsidR="00133B3D" w:rsidRDefault="00133B3D" w:rsidP="001D5633">
      <w:pPr>
        <w:ind w:left="0" w:firstLine="0"/>
      </w:pPr>
    </w:p>
    <w:p w14:paraId="0A83203B" w14:textId="567B5401" w:rsidR="003E5633" w:rsidRPr="00FD516E" w:rsidRDefault="008D247C" w:rsidP="001D5633">
      <w:pPr>
        <w:ind w:left="0" w:firstLine="0"/>
      </w:pPr>
      <w:r w:rsidRPr="00FD516E">
        <w:t>The conversion factor for converting H</w:t>
      </w:r>
      <w:r w:rsidRPr="00FD516E">
        <w:rPr>
          <w:vertAlign w:val="subscript"/>
        </w:rPr>
        <w:t>2</w:t>
      </w:r>
      <w:r w:rsidRPr="00FD516E">
        <w:t>S concentrations and LFG flow to mass of SO</w:t>
      </w:r>
      <w:r w:rsidRPr="00FD516E">
        <w:rPr>
          <w:vertAlign w:val="subscript"/>
        </w:rPr>
        <w:t>2</w:t>
      </w:r>
      <w:r w:rsidRPr="00FD516E">
        <w:t xml:space="preserve"> was derived as follows:</w:t>
      </w:r>
    </w:p>
    <w:p w14:paraId="4B264337" w14:textId="77777777" w:rsidR="008D247C" w:rsidRPr="00FD516E" w:rsidRDefault="008D247C" w:rsidP="001D5633">
      <w:pPr>
        <w:ind w:left="0" w:firstLine="0"/>
      </w:pPr>
    </w:p>
    <w:p w14:paraId="0F4932B8" w14:textId="4E5AA696" w:rsidR="009F2689" w:rsidRPr="00FD516E" w:rsidRDefault="008D247C" w:rsidP="001D5633">
      <w:pPr>
        <w:ind w:left="0" w:firstLine="0"/>
      </w:pPr>
      <w:r w:rsidRPr="00FD516E">
        <w:t>lb SO</w:t>
      </w:r>
      <w:r w:rsidRPr="00FD516E">
        <w:rPr>
          <w:vertAlign w:val="subscript"/>
        </w:rPr>
        <w:t>2</w:t>
      </w:r>
      <w:r w:rsidRPr="00FD516E">
        <w:t>/</w:t>
      </w:r>
      <w:r w:rsidR="009F2689" w:rsidRPr="00FD516E">
        <w:t xml:space="preserve"> ppmv H</w:t>
      </w:r>
      <w:r w:rsidR="009F2689" w:rsidRPr="00FD516E">
        <w:rPr>
          <w:vertAlign w:val="subscript"/>
        </w:rPr>
        <w:t>2</w:t>
      </w:r>
      <w:r w:rsidR="009F2689" w:rsidRPr="00FD516E">
        <w:t xml:space="preserve">S -scf LFG </w:t>
      </w:r>
      <w:r w:rsidRPr="00FD516E">
        <w:t>= [ppm</w:t>
      </w:r>
      <w:r w:rsidR="009F2689" w:rsidRPr="00FD516E">
        <w:t>v</w:t>
      </w:r>
      <w:r w:rsidRPr="00FD516E">
        <w:t xml:space="preserve"> H</w:t>
      </w:r>
      <w:r w:rsidRPr="00FD516E">
        <w:rPr>
          <w:vertAlign w:val="subscript"/>
        </w:rPr>
        <w:t>2</w:t>
      </w:r>
      <w:r w:rsidRPr="00FD516E">
        <w:t>S</w:t>
      </w:r>
      <w:r w:rsidR="009F2689" w:rsidRPr="00FD516E">
        <w:t>]*[1 mole H</w:t>
      </w:r>
      <w:r w:rsidR="009F2689" w:rsidRPr="00FD516E">
        <w:rPr>
          <w:vertAlign w:val="subscript"/>
        </w:rPr>
        <w:t>2</w:t>
      </w:r>
      <w:r w:rsidR="009F2689" w:rsidRPr="00FD516E">
        <w:t xml:space="preserve">S </w:t>
      </w:r>
      <w:r w:rsidRPr="00FD516E">
        <w:t>/</w:t>
      </w:r>
      <w:r w:rsidR="009F2689" w:rsidRPr="00FD516E">
        <w:t xml:space="preserve">ppmv H2s * 106 </w:t>
      </w:r>
      <w:proofErr w:type="spellStart"/>
      <w:r w:rsidR="009F2689" w:rsidRPr="00FD516E">
        <w:t>lbmol</w:t>
      </w:r>
      <w:proofErr w:type="spellEnd"/>
      <w:r w:rsidR="009F2689" w:rsidRPr="00FD516E">
        <w:t xml:space="preserve"> LFG] </w:t>
      </w:r>
    </w:p>
    <w:p w14:paraId="1FEC64F8" w14:textId="77777777" w:rsidR="009F2689" w:rsidRPr="00FD516E" w:rsidRDefault="009F2689" w:rsidP="009F2689">
      <w:pPr>
        <w:ind w:left="2880" w:firstLine="0"/>
      </w:pPr>
      <w:r w:rsidRPr="00FD516E">
        <w:t>* [</w:t>
      </w:r>
      <w:proofErr w:type="spellStart"/>
      <w:r w:rsidRPr="00FD516E">
        <w:t>lbmol</w:t>
      </w:r>
      <w:proofErr w:type="spellEnd"/>
      <w:r w:rsidRPr="00FD516E">
        <w:t xml:space="preserve"> SO</w:t>
      </w:r>
      <w:r w:rsidRPr="00FD516E">
        <w:rPr>
          <w:vertAlign w:val="subscript"/>
        </w:rPr>
        <w:t>2</w:t>
      </w:r>
      <w:r w:rsidRPr="00FD516E">
        <w:t>/</w:t>
      </w:r>
      <w:proofErr w:type="spellStart"/>
      <w:r w:rsidRPr="00FD516E">
        <w:t>lbmol</w:t>
      </w:r>
      <w:proofErr w:type="spellEnd"/>
      <w:r w:rsidRPr="00FD516E">
        <w:t xml:space="preserve"> H</w:t>
      </w:r>
      <w:r w:rsidRPr="00FD516E">
        <w:rPr>
          <w:vertAlign w:val="subscript"/>
        </w:rPr>
        <w:t>2</w:t>
      </w:r>
      <w:r w:rsidRPr="00FD516E">
        <w:t>S]</w:t>
      </w:r>
      <w:r w:rsidR="008D247C" w:rsidRPr="00FD516E">
        <w:t>*[64.07 lb SO</w:t>
      </w:r>
      <w:r w:rsidR="008D247C" w:rsidRPr="00FD516E">
        <w:rPr>
          <w:vertAlign w:val="subscript"/>
        </w:rPr>
        <w:t>2</w:t>
      </w:r>
      <w:r w:rsidR="008D247C" w:rsidRPr="00FD516E">
        <w:t>/</w:t>
      </w:r>
      <w:proofErr w:type="spellStart"/>
      <w:r w:rsidR="008D247C" w:rsidRPr="00FD516E">
        <w:t>lbmol</w:t>
      </w:r>
      <w:proofErr w:type="spellEnd"/>
      <w:r w:rsidR="008D247C" w:rsidRPr="00FD516E">
        <w:t>]</w:t>
      </w:r>
      <w:r w:rsidRPr="00FD516E">
        <w:t xml:space="preserve"> </w:t>
      </w:r>
    </w:p>
    <w:p w14:paraId="509EC183" w14:textId="4AEA3AC9" w:rsidR="008D247C" w:rsidRPr="00FD516E" w:rsidRDefault="008D247C" w:rsidP="009F2689">
      <w:pPr>
        <w:ind w:left="2880" w:firstLine="0"/>
      </w:pPr>
      <w:r w:rsidRPr="00FD516E">
        <w:t xml:space="preserve">* [1 </w:t>
      </w:r>
      <w:proofErr w:type="spellStart"/>
      <w:r w:rsidRPr="00FD516E">
        <w:t>lbmol</w:t>
      </w:r>
      <w:proofErr w:type="spellEnd"/>
      <w:r w:rsidRPr="00FD516E">
        <w:t xml:space="preserve"> LFG/378.25 scf LFG]</w:t>
      </w:r>
    </w:p>
    <w:p w14:paraId="02220878" w14:textId="77777777" w:rsidR="00FD3A60" w:rsidRPr="00FD516E" w:rsidRDefault="00FD3A60" w:rsidP="001D5633">
      <w:pPr>
        <w:ind w:left="0" w:firstLine="0"/>
      </w:pPr>
    </w:p>
    <w:p w14:paraId="6EAB8D07" w14:textId="192DA29B" w:rsidR="00FD3A60" w:rsidRPr="00FD516E" w:rsidRDefault="009F2689" w:rsidP="001D5633">
      <w:pPr>
        <w:ind w:left="0" w:firstLine="0"/>
      </w:pPr>
      <w:r w:rsidRPr="00FD516E">
        <w:t>lb SO</w:t>
      </w:r>
      <w:r w:rsidRPr="00FD516E">
        <w:rPr>
          <w:vertAlign w:val="subscript"/>
        </w:rPr>
        <w:t>2</w:t>
      </w:r>
      <w:r w:rsidRPr="00FD516E">
        <w:t>/ ppmv H</w:t>
      </w:r>
      <w:r w:rsidRPr="00FD516E">
        <w:rPr>
          <w:vertAlign w:val="subscript"/>
        </w:rPr>
        <w:t>2</w:t>
      </w:r>
      <w:r w:rsidRPr="00FD516E">
        <w:t>S -scf LFG = 1.694E-7 lb SO</w:t>
      </w:r>
      <w:r w:rsidRPr="00FD516E">
        <w:rPr>
          <w:vertAlign w:val="subscript"/>
        </w:rPr>
        <w:t>2</w:t>
      </w:r>
      <w:r w:rsidRPr="00FD516E">
        <w:t>/ppmv H</w:t>
      </w:r>
      <w:r w:rsidRPr="00FD516E">
        <w:rPr>
          <w:vertAlign w:val="subscript"/>
        </w:rPr>
        <w:t>2</w:t>
      </w:r>
      <w:r w:rsidRPr="00FD516E">
        <w:t>S -scf LFG</w:t>
      </w:r>
    </w:p>
    <w:p w14:paraId="64C4AD93" w14:textId="77777777" w:rsidR="003E5633" w:rsidRPr="00FD516E" w:rsidRDefault="003E5633" w:rsidP="001D5633">
      <w:pPr>
        <w:ind w:left="0" w:firstLine="0"/>
      </w:pPr>
    </w:p>
    <w:p w14:paraId="654F8CAA" w14:textId="5614B196" w:rsidR="00106A4A" w:rsidRPr="009F5E32" w:rsidRDefault="00902665" w:rsidP="001D5633">
      <w:pPr>
        <w:ind w:left="0" w:firstLine="0"/>
      </w:pPr>
      <w:r w:rsidRPr="00FD516E">
        <w:t>The SO</w:t>
      </w:r>
      <w:r w:rsidRPr="00FD516E">
        <w:rPr>
          <w:vertAlign w:val="subscript"/>
        </w:rPr>
        <w:t>2</w:t>
      </w:r>
      <w:r w:rsidRPr="00FD516E">
        <w:t xml:space="preserve"> </w:t>
      </w:r>
      <w:r w:rsidR="003867C0" w:rsidRPr="00FD516E">
        <w:t xml:space="preserve">emissions </w:t>
      </w:r>
      <w:r w:rsidRPr="00FD516E">
        <w:t xml:space="preserve">generated by the combustion of LFG will be calculated each month, </w:t>
      </w:r>
      <w:r w:rsidR="00FD3A60" w:rsidRPr="00FD516E">
        <w:t>and the monthly</w:t>
      </w:r>
      <w:r w:rsidR="003867C0" w:rsidRPr="00FD516E">
        <w:t xml:space="preserve"> emissions</w:t>
      </w:r>
      <w:r w:rsidR="00FD3A60" w:rsidRPr="00FD516E">
        <w:t xml:space="preserve"> will be summed with the total </w:t>
      </w:r>
      <w:r w:rsidR="003867C0" w:rsidRPr="00FD516E">
        <w:t xml:space="preserve">of the </w:t>
      </w:r>
      <w:r w:rsidR="00FD3A60" w:rsidRPr="00FD516E">
        <w:t xml:space="preserve">emissions from the previous 11 months </w:t>
      </w:r>
      <w:r w:rsidRPr="00FD516E">
        <w:t>to insure that the rolling 12-month total of SO</w:t>
      </w:r>
      <w:r w:rsidRPr="00FD516E">
        <w:rPr>
          <w:vertAlign w:val="subscript"/>
        </w:rPr>
        <w:t>2</w:t>
      </w:r>
      <w:r w:rsidRPr="00FD516E">
        <w:t xml:space="preserve"> emissions does not equal or exceed 40 tons per rolling twelve-month period.</w:t>
      </w:r>
      <w:r w:rsidRPr="009F5E32">
        <w:t xml:space="preserve">  </w:t>
      </w:r>
    </w:p>
    <w:p w14:paraId="6313082A" w14:textId="77777777" w:rsidR="00106A4A" w:rsidRPr="00FD516E" w:rsidRDefault="00106A4A" w:rsidP="001D5633">
      <w:pPr>
        <w:ind w:left="0" w:firstLine="0"/>
      </w:pPr>
    </w:p>
    <w:p w14:paraId="69A4EC0A" w14:textId="094102F4" w:rsidR="009D3A34" w:rsidRPr="009F5E32" w:rsidRDefault="009D3A34" w:rsidP="009D3A34">
      <w:pPr>
        <w:ind w:left="0" w:firstLine="0"/>
        <w:rPr>
          <w:b/>
          <w:u w:val="single"/>
        </w:rPr>
      </w:pPr>
      <w:r w:rsidRPr="00FD516E">
        <w:rPr>
          <w:b/>
          <w:u w:val="single"/>
        </w:rPr>
        <w:t>Condition (</w:t>
      </w:r>
      <w:r w:rsidR="00B2528E">
        <w:rPr>
          <w:b/>
          <w:u w:val="single"/>
        </w:rPr>
        <w:t>29</w:t>
      </w:r>
      <w:r w:rsidRPr="00FD516E">
        <w:rPr>
          <w:b/>
          <w:u w:val="single"/>
        </w:rPr>
        <w:t xml:space="preserve">) of </w:t>
      </w:r>
      <w:r w:rsidRPr="00FD516E">
        <w:rPr>
          <w:b/>
          <w:u w:val="single"/>
          <w:vertAlign w:val="superscript"/>
        </w:rPr>
        <w:t>#</w:t>
      </w:r>
      <w:r w:rsidRPr="00FD516E">
        <w:rPr>
          <w:b/>
          <w:u w:val="single"/>
        </w:rPr>
        <w:t>AOP-17-018 / Condition (</w:t>
      </w:r>
      <w:r w:rsidR="00B2528E">
        <w:rPr>
          <w:b/>
          <w:u w:val="single"/>
        </w:rPr>
        <w:t>19</w:t>
      </w:r>
      <w:r w:rsidRPr="00FD516E">
        <w:rPr>
          <w:b/>
          <w:u w:val="single"/>
        </w:rPr>
        <w:t xml:space="preserve">) of </w:t>
      </w:r>
      <w:r w:rsidRPr="00FD516E">
        <w:rPr>
          <w:b/>
          <w:u w:val="single"/>
          <w:vertAlign w:val="superscript"/>
        </w:rPr>
        <w:t>#</w:t>
      </w:r>
      <w:r w:rsidRPr="00FD516E">
        <w:rPr>
          <w:b/>
          <w:u w:val="single"/>
        </w:rPr>
        <w:t>AOP-1</w:t>
      </w:r>
      <w:r w:rsidR="00497FB5" w:rsidRPr="00FD516E">
        <w:rPr>
          <w:b/>
          <w:u w:val="single"/>
        </w:rPr>
        <w:t>8</w:t>
      </w:r>
      <w:r w:rsidRPr="00FD516E">
        <w:rPr>
          <w:b/>
          <w:u w:val="single"/>
        </w:rPr>
        <w:t>-</w:t>
      </w:r>
      <w:r w:rsidR="00B06A19">
        <w:rPr>
          <w:b/>
          <w:u w:val="single"/>
        </w:rPr>
        <w:t>019</w:t>
      </w:r>
    </w:p>
    <w:p w14:paraId="55389EC3" w14:textId="77777777" w:rsidR="00F602CE" w:rsidRPr="009F5E32" w:rsidRDefault="00F602CE" w:rsidP="00F602CE">
      <w:pPr>
        <w:ind w:left="0" w:firstLine="0"/>
        <w:rPr>
          <w:b/>
          <w:u w:val="single"/>
        </w:rPr>
      </w:pPr>
    </w:p>
    <w:p w14:paraId="2EE32674" w14:textId="684699F1" w:rsidR="00525847" w:rsidRPr="00FD516E" w:rsidRDefault="00F602CE" w:rsidP="001D5633">
      <w:pPr>
        <w:ind w:left="0" w:firstLine="0"/>
      </w:pPr>
      <w:r w:rsidRPr="00FD516E">
        <w:t>These Conditions were developed</w:t>
      </w:r>
      <w:r w:rsidR="00525847" w:rsidRPr="00FD516E">
        <w:t xml:space="preserve"> to </w:t>
      </w:r>
      <w:r w:rsidR="007361A9" w:rsidRPr="00FD516E">
        <w:t xml:space="preserve">provide an enforceable restriction for </w:t>
      </w:r>
      <w:r w:rsidR="00525847" w:rsidRPr="00FD516E">
        <w:t>PM emissions from the Facility</w:t>
      </w:r>
      <w:r w:rsidR="007361A9" w:rsidRPr="00FD516E">
        <w:t>.  The MSER for</w:t>
      </w:r>
      <w:r w:rsidR="00805480" w:rsidRPr="00FD516E">
        <w:t xml:space="preserve"> PM emissions</w:t>
      </w:r>
      <w:r w:rsidR="007361A9" w:rsidRPr="00FD516E">
        <w:t xml:space="preserve"> included a limitation that Facility</w:t>
      </w:r>
      <w:r w:rsidR="00805480" w:rsidRPr="00FD516E">
        <w:t xml:space="preserve"> PM emissions not increase </w:t>
      </w:r>
      <w:r w:rsidR="007361A9" w:rsidRPr="00FD516E">
        <w:t xml:space="preserve">from the previous allowable PM emissions of 9.8 tons </w:t>
      </w:r>
      <w:r w:rsidR="00805480" w:rsidRPr="00FD516E">
        <w:t xml:space="preserve">by </w:t>
      </w:r>
      <w:r w:rsidR="007361A9" w:rsidRPr="00FD516E">
        <w:t>the significance threshold for PM</w:t>
      </w:r>
      <w:r w:rsidR="007361A9" w:rsidRPr="00FD516E">
        <w:rPr>
          <w:vertAlign w:val="subscript"/>
        </w:rPr>
        <w:t xml:space="preserve">2.5 </w:t>
      </w:r>
      <w:r w:rsidR="007361A9" w:rsidRPr="00FD516E">
        <w:t xml:space="preserve">of 10 tons, which results in an MSER limit for PM emissions from the Facility of not to </w:t>
      </w:r>
      <w:r w:rsidR="00133B3D" w:rsidRPr="00FD516E">
        <w:t xml:space="preserve">exceed </w:t>
      </w:r>
      <w:r w:rsidR="002952DB">
        <w:t>19.8</w:t>
      </w:r>
      <w:r w:rsidR="002952DB" w:rsidRPr="00FD516E">
        <w:t xml:space="preserve"> </w:t>
      </w:r>
      <w:r w:rsidR="007361A9" w:rsidRPr="00FD516E">
        <w:t>tons per rolling 12-month period</w:t>
      </w:r>
      <w:r w:rsidR="00805480" w:rsidRPr="00FD516E">
        <w:t xml:space="preserve">.  </w:t>
      </w:r>
      <w:r w:rsidR="002952DB">
        <w:t xml:space="preserve">Emissions of PM from non-road engines were included in the allowable emissions from the Facility as part of </w:t>
      </w:r>
      <w:r w:rsidR="002952DB" w:rsidRPr="00B2528E">
        <w:rPr>
          <w:vertAlign w:val="superscript"/>
        </w:rPr>
        <w:t>#</w:t>
      </w:r>
      <w:r w:rsidR="002952DB">
        <w:t xml:space="preserve">AOP-17-018, but the 0.71 tons of particulate matter associated with non-road engines was simply a quantification of pre-existing emissions that had been previously unaccounted for, and this was not considered an increase.  This resulted </w:t>
      </w:r>
      <w:r w:rsidR="002952DB">
        <w:lastRenderedPageBreak/>
        <w:t xml:space="preserve">in allowable PM emissions for the Facility of </w:t>
      </w:r>
      <w:r w:rsidR="008060F7">
        <w:t>20.5</w:t>
      </w:r>
      <w:r w:rsidR="002952DB">
        <w:t xml:space="preserve"> tons per rolling 12-mo</w:t>
      </w:r>
      <w:r w:rsidR="008060F7">
        <w:t>nth</w:t>
      </w:r>
      <w:r w:rsidR="002952DB">
        <w:t xml:space="preserve"> period.  </w:t>
      </w:r>
      <w:r w:rsidR="00805480" w:rsidRPr="00FD516E">
        <w:t xml:space="preserve">The same </w:t>
      </w:r>
      <w:r w:rsidR="008060F7">
        <w:t>20.5</w:t>
      </w:r>
      <w:r w:rsidR="008060F7" w:rsidRPr="00FD516E">
        <w:t xml:space="preserve"> </w:t>
      </w:r>
      <w:r w:rsidR="007361A9" w:rsidRPr="00FD516E">
        <w:t>tons per rolling 12-month period emission limitation was also</w:t>
      </w:r>
      <w:r w:rsidR="00805480" w:rsidRPr="00FD516E">
        <w:t xml:space="preserve"> established </w:t>
      </w:r>
      <w:r w:rsidR="00525847" w:rsidRPr="00FD516E">
        <w:t>as HMSER for SiO</w:t>
      </w:r>
      <w:r w:rsidR="00525847" w:rsidRPr="00FD516E">
        <w:rPr>
          <w:vertAlign w:val="subscript"/>
        </w:rPr>
        <w:t>2</w:t>
      </w:r>
      <w:r w:rsidR="00525847" w:rsidRPr="00FD516E">
        <w:t xml:space="preserve"> emissions.  </w:t>
      </w:r>
    </w:p>
    <w:p w14:paraId="75A173DA" w14:textId="77777777" w:rsidR="00E7198C" w:rsidRPr="00FD516E" w:rsidRDefault="00E7198C" w:rsidP="001D5633">
      <w:pPr>
        <w:ind w:left="0" w:firstLine="0"/>
      </w:pPr>
    </w:p>
    <w:p w14:paraId="15E610A5" w14:textId="77777777" w:rsidR="00E83167" w:rsidRPr="00FD516E" w:rsidRDefault="00E7198C" w:rsidP="001D5633">
      <w:pPr>
        <w:ind w:left="0" w:firstLine="0"/>
      </w:pPr>
      <w:r w:rsidRPr="00FD516E">
        <w:t xml:space="preserve">The formulae in this condition are based on the </w:t>
      </w:r>
      <w:r w:rsidR="00E83167" w:rsidRPr="00FD516E">
        <w:t xml:space="preserve">following </w:t>
      </w:r>
      <w:r w:rsidRPr="00FD516E">
        <w:t>assumption</w:t>
      </w:r>
      <w:r w:rsidR="00E83167" w:rsidRPr="00FD516E">
        <w:t>s:</w:t>
      </w:r>
    </w:p>
    <w:p w14:paraId="03896A33" w14:textId="77777777" w:rsidR="00E83167" w:rsidRPr="00FD516E" w:rsidRDefault="00E83167" w:rsidP="001D5633">
      <w:pPr>
        <w:ind w:left="0" w:firstLine="0"/>
      </w:pPr>
    </w:p>
    <w:p w14:paraId="4DE6770B" w14:textId="05627D48" w:rsidR="00E7198C" w:rsidRPr="00FD516E" w:rsidRDefault="00E7198C" w:rsidP="00E83167">
      <w:pPr>
        <w:pStyle w:val="ListParagraph"/>
        <w:numPr>
          <w:ilvl w:val="0"/>
          <w:numId w:val="34"/>
        </w:numPr>
      </w:pPr>
      <w:r w:rsidRPr="00FD516E">
        <w:t xml:space="preserve">PM emissions from the </w:t>
      </w:r>
      <w:r w:rsidR="00E26680" w:rsidRPr="00FD516E">
        <w:t>SRS</w:t>
      </w:r>
      <w:r w:rsidR="00E83167" w:rsidRPr="00FD516E">
        <w:t xml:space="preserve"> </w:t>
      </w:r>
      <w:r w:rsidR="00E97E8D" w:rsidRPr="00FD516E">
        <w:t>will of the sum of the PM emissions estimated using the AP-42 PM emission factor for landfill flares, and the emissions of SIO</w:t>
      </w:r>
      <w:r w:rsidR="00E97E8D" w:rsidRPr="00FD516E">
        <w:rPr>
          <w:vertAlign w:val="subscript"/>
        </w:rPr>
        <w:t>2</w:t>
      </w:r>
      <w:r w:rsidR="00E97E8D" w:rsidRPr="00FD516E">
        <w:t xml:space="preserve"> based on siloxane combustion.  </w:t>
      </w:r>
    </w:p>
    <w:p w14:paraId="1A8CA2AC" w14:textId="6CD097A2" w:rsidR="00E83167" w:rsidRPr="00FD516E" w:rsidRDefault="00E83167" w:rsidP="00E83167">
      <w:pPr>
        <w:pStyle w:val="ListParagraph"/>
        <w:numPr>
          <w:ilvl w:val="0"/>
          <w:numId w:val="34"/>
        </w:numPr>
      </w:pPr>
      <w:r w:rsidRPr="00FD516E">
        <w:t xml:space="preserve">PM emission from the CAT 3520C engines </w:t>
      </w:r>
      <w:r w:rsidR="00643DBF" w:rsidRPr="00FD516E">
        <w:t xml:space="preserve">will consist of the sum of the PM emissions estimated </w:t>
      </w:r>
      <w:r w:rsidR="001D7FEC" w:rsidRPr="00FD516E">
        <w:t xml:space="preserve">using </w:t>
      </w:r>
      <w:r w:rsidR="007226D2" w:rsidRPr="00FD516E">
        <w:t>a site-specific PM</w:t>
      </w:r>
      <w:r w:rsidR="001D7FEC" w:rsidRPr="00FD516E">
        <w:t xml:space="preserve"> emission factor </w:t>
      </w:r>
      <w:r w:rsidR="007226D2" w:rsidRPr="00FD516E">
        <w:t>for these</w:t>
      </w:r>
      <w:r w:rsidR="001D7FEC" w:rsidRPr="00FD516E">
        <w:t xml:space="preserve"> engines</w:t>
      </w:r>
      <w:r w:rsidR="00B36841" w:rsidRPr="00FD516E">
        <w:t xml:space="preserve">, the hours of operation for the engines, and the capacity factor for electrical generation at the </w:t>
      </w:r>
      <w:r w:rsidR="00EA1CCD" w:rsidRPr="00FD516E">
        <w:t>LFGTE Operation</w:t>
      </w:r>
      <w:r w:rsidR="00042086" w:rsidRPr="00FD516E">
        <w:t xml:space="preserve">.  </w:t>
      </w:r>
    </w:p>
    <w:p w14:paraId="310BE7B1" w14:textId="1EF9935A" w:rsidR="001D7FEC" w:rsidRDefault="001D7FEC" w:rsidP="00E83167">
      <w:pPr>
        <w:pStyle w:val="ListParagraph"/>
        <w:numPr>
          <w:ilvl w:val="0"/>
          <w:numId w:val="34"/>
        </w:numPr>
      </w:pPr>
      <w:r w:rsidRPr="00FD516E">
        <w:t xml:space="preserve">PM emissions from the landfill flare(s) will of the sum of the PM emissions estimated using the AP-42 PM emission factor for landfill flares, and the emissions of </w:t>
      </w:r>
      <w:r w:rsidR="00F04959" w:rsidRPr="00FD516E">
        <w:t>SIO</w:t>
      </w:r>
      <w:r w:rsidR="00F04959" w:rsidRPr="00FD516E">
        <w:rPr>
          <w:vertAlign w:val="subscript"/>
        </w:rPr>
        <w:t>2</w:t>
      </w:r>
      <w:r w:rsidR="00F04959" w:rsidRPr="00FD516E">
        <w:t xml:space="preserve"> </w:t>
      </w:r>
      <w:r w:rsidRPr="00FD516E">
        <w:t xml:space="preserve">based on </w:t>
      </w:r>
      <w:r w:rsidR="00F04959" w:rsidRPr="00FD516E">
        <w:t xml:space="preserve">siloxane </w:t>
      </w:r>
      <w:r w:rsidRPr="00FD516E">
        <w:t>combustion</w:t>
      </w:r>
      <w:r w:rsidR="00F04959" w:rsidRPr="00FD516E">
        <w:t>.</w:t>
      </w:r>
      <w:r w:rsidR="00042086" w:rsidRPr="00FD516E">
        <w:t xml:space="preserve">  </w:t>
      </w:r>
    </w:p>
    <w:p w14:paraId="6796AD1F" w14:textId="009AC9E5" w:rsidR="00DA4159" w:rsidRPr="00FD516E" w:rsidRDefault="00DA4159" w:rsidP="00E83167">
      <w:pPr>
        <w:pStyle w:val="ListParagraph"/>
        <w:numPr>
          <w:ilvl w:val="0"/>
          <w:numId w:val="34"/>
        </w:numPr>
      </w:pPr>
      <w:r>
        <w:t>PM emissions from the non-road engines are based on a Tier 2 PM emission factor of 0.15 g/bhp-hr applied to the entire non-road engine fleet.  The heat value for ULSD was assumed to be 1</w:t>
      </w:r>
      <w:r w:rsidR="00BE6645">
        <w:t>40</w:t>
      </w:r>
      <w:r>
        <w:t>,000 Btu/gallon, and engine combustion efficiency was assumed to be 36.1%.  This results in a PM emission factor for the non-road engine fleet of 0.0206</w:t>
      </w:r>
      <w:r w:rsidR="00450325">
        <w:t xml:space="preserve"> lb/gallon ULSD</w:t>
      </w:r>
    </w:p>
    <w:p w14:paraId="5B46EBB5" w14:textId="669DD5FB" w:rsidR="00525847" w:rsidRPr="00FD516E" w:rsidRDefault="00525847" w:rsidP="001D7FEC">
      <w:pPr>
        <w:pStyle w:val="ListParagraph"/>
        <w:ind w:left="0" w:firstLine="0"/>
      </w:pPr>
    </w:p>
    <w:p w14:paraId="370E2A1A" w14:textId="13E94EE4" w:rsidR="00162DA5" w:rsidRPr="00FD516E" w:rsidRDefault="00162DA5" w:rsidP="00162DA5">
      <w:pPr>
        <w:pStyle w:val="ListParagraph"/>
        <w:ind w:left="0" w:firstLine="0"/>
      </w:pPr>
      <w:r w:rsidRPr="00FD516E">
        <w:t xml:space="preserve">The total amount of </w:t>
      </w:r>
      <w:r w:rsidR="00BE6645">
        <w:t>PM</w:t>
      </w:r>
      <w:r w:rsidR="00BE6645" w:rsidRPr="00FD516E">
        <w:t xml:space="preserve"> </w:t>
      </w:r>
      <w:r w:rsidRPr="00FD516E">
        <w:t xml:space="preserve">emitted from the Facility will be calculated each month, and the monthly emissions will be summed with the total emissions from the previous 11 months </w:t>
      </w:r>
      <w:r w:rsidR="00133B3D" w:rsidRPr="00FD516E">
        <w:t>to ensure that</w:t>
      </w:r>
      <w:r w:rsidRPr="00FD516E">
        <w:t xml:space="preserve"> the rolling 12-month total of VOC emissions does not equal or exceed 50 tons per rolling twelve-month period.   </w:t>
      </w:r>
    </w:p>
    <w:p w14:paraId="42B50F06" w14:textId="77777777" w:rsidR="00162DA5" w:rsidRPr="00FD516E" w:rsidRDefault="00162DA5" w:rsidP="001D7FEC">
      <w:pPr>
        <w:pStyle w:val="ListParagraph"/>
        <w:ind w:left="0" w:firstLine="0"/>
      </w:pPr>
    </w:p>
    <w:p w14:paraId="4054836F" w14:textId="77777777" w:rsidR="0084361A" w:rsidRPr="00FD516E" w:rsidRDefault="0084361A" w:rsidP="0084361A">
      <w:pPr>
        <w:autoSpaceDE/>
        <w:autoSpaceDN/>
        <w:adjustRightInd/>
        <w:ind w:left="0" w:firstLine="0"/>
        <w:rPr>
          <w:snapToGrid w:val="0"/>
        </w:rPr>
      </w:pPr>
      <w:r w:rsidRPr="00FD516E">
        <w:rPr>
          <w:snapToGrid w:val="0"/>
        </w:rPr>
        <w:t xml:space="preserve">Monthly PM emissions shall be calculated in accordance with the following formulae:  </w:t>
      </w:r>
    </w:p>
    <w:p w14:paraId="05431591" w14:textId="77777777" w:rsidR="0084361A" w:rsidRPr="00FD516E" w:rsidRDefault="0084361A" w:rsidP="005C6573">
      <w:pPr>
        <w:autoSpaceDE/>
        <w:autoSpaceDN/>
        <w:adjustRightInd/>
        <w:ind w:left="0" w:firstLine="0"/>
        <w:rPr>
          <w:snapToGrid w:val="0"/>
        </w:rPr>
      </w:pPr>
    </w:p>
    <w:p w14:paraId="799EFFCA" w14:textId="4A1E6A57" w:rsidR="0084361A" w:rsidRPr="00FD516E" w:rsidRDefault="00CC7328" w:rsidP="00F65A4A">
      <w:pPr>
        <w:autoSpaceDE/>
        <w:autoSpaceDN/>
        <w:adjustRightInd/>
        <w:ind w:left="720" w:firstLine="0"/>
        <w:rPr>
          <w:snapToGrid w:val="0"/>
        </w:rPr>
      </w:pPr>
      <w:r w:rsidRPr="00CC7328">
        <w:rPr>
          <w:snapToGrid w:val="0"/>
        </w:rPr>
        <w:t>Equation 1:  PM</w:t>
      </w:r>
      <w:r w:rsidRPr="00CC7328">
        <w:rPr>
          <w:snapToGrid w:val="0"/>
          <w:vertAlign w:val="subscript"/>
        </w:rPr>
        <w:t xml:space="preserve"> total</w:t>
      </w:r>
      <w:r w:rsidRPr="00CC7328">
        <w:rPr>
          <w:snapToGrid w:val="0"/>
        </w:rPr>
        <w:t xml:space="preserve"> = PM </w:t>
      </w:r>
      <w:r w:rsidRPr="00CC7328">
        <w:rPr>
          <w:snapToGrid w:val="0"/>
          <w:vertAlign w:val="subscript"/>
        </w:rPr>
        <w:t>siloxane removal system</w:t>
      </w:r>
      <w:r w:rsidRPr="00CC7328">
        <w:rPr>
          <w:snapToGrid w:val="0"/>
        </w:rPr>
        <w:t xml:space="preserve"> + PM</w:t>
      </w:r>
      <w:r w:rsidRPr="00CC7328">
        <w:rPr>
          <w:snapToGrid w:val="0"/>
          <w:vertAlign w:val="subscript"/>
        </w:rPr>
        <w:t xml:space="preserve"> LFG flares</w:t>
      </w:r>
      <w:r w:rsidRPr="00CC7328">
        <w:rPr>
          <w:snapToGrid w:val="0"/>
        </w:rPr>
        <w:t xml:space="preserve"> + PM </w:t>
      </w:r>
      <w:r w:rsidRPr="00CC7328">
        <w:rPr>
          <w:snapToGrid w:val="0"/>
          <w:vertAlign w:val="subscript"/>
        </w:rPr>
        <w:t>engine combustion</w:t>
      </w:r>
      <w:r w:rsidRPr="00CC7328">
        <w:rPr>
          <w:snapToGrid w:val="0"/>
        </w:rPr>
        <w:t xml:space="preserve">+ PM </w:t>
      </w:r>
      <w:r w:rsidRPr="00CC7328">
        <w:rPr>
          <w:snapToGrid w:val="0"/>
          <w:vertAlign w:val="subscript"/>
        </w:rPr>
        <w:t>non-road engines</w:t>
      </w:r>
    </w:p>
    <w:p w14:paraId="63C7D75A" w14:textId="77777777" w:rsidR="0084361A" w:rsidRPr="00FD516E" w:rsidRDefault="0084361A">
      <w:pPr>
        <w:autoSpaceDE/>
        <w:autoSpaceDN/>
        <w:adjustRightInd/>
        <w:ind w:left="0" w:firstLine="0"/>
        <w:rPr>
          <w:snapToGrid w:val="0"/>
        </w:rPr>
      </w:pPr>
    </w:p>
    <w:p w14:paraId="049D71FD" w14:textId="77777777" w:rsidR="0084361A" w:rsidRPr="00FD516E" w:rsidRDefault="0084361A">
      <w:pPr>
        <w:autoSpaceDE/>
        <w:autoSpaceDN/>
        <w:adjustRightInd/>
        <w:ind w:left="720" w:firstLine="0"/>
        <w:rPr>
          <w:snapToGrid w:val="0"/>
        </w:rPr>
      </w:pPr>
      <w:r w:rsidRPr="00FD516E">
        <w:rPr>
          <w:snapToGrid w:val="0"/>
        </w:rPr>
        <w:t xml:space="preserve">Equation 2:  PM </w:t>
      </w:r>
      <w:r w:rsidRPr="00FD516E">
        <w:rPr>
          <w:snapToGrid w:val="0"/>
          <w:vertAlign w:val="subscript"/>
        </w:rPr>
        <w:t>siloxane removal system</w:t>
      </w:r>
      <w:r w:rsidRPr="00FD516E">
        <w:rPr>
          <w:snapToGrid w:val="0"/>
        </w:rPr>
        <w:t xml:space="preserve"> = [Si Concentration </w:t>
      </w:r>
      <w:proofErr w:type="spellStart"/>
      <w:r w:rsidRPr="00FD516E">
        <w:rPr>
          <w:snapToGrid w:val="0"/>
          <w:vertAlign w:val="subscript"/>
        </w:rPr>
        <w:t>srs</w:t>
      </w:r>
      <w:proofErr w:type="spellEnd"/>
      <w:r w:rsidRPr="00FD516E">
        <w:rPr>
          <w:snapToGrid w:val="0"/>
          <w:vertAlign w:val="subscript"/>
        </w:rPr>
        <w:t xml:space="preserve"> inlet</w:t>
      </w:r>
      <w:r w:rsidRPr="00FD516E">
        <w:rPr>
          <w:snapToGrid w:val="0"/>
        </w:rPr>
        <w:t xml:space="preserve"> - Si Concentration </w:t>
      </w:r>
      <w:proofErr w:type="spellStart"/>
      <w:r w:rsidRPr="00FD516E">
        <w:rPr>
          <w:snapToGrid w:val="0"/>
          <w:vertAlign w:val="subscript"/>
        </w:rPr>
        <w:t>srs</w:t>
      </w:r>
      <w:proofErr w:type="spellEnd"/>
      <w:r w:rsidRPr="00FD516E">
        <w:rPr>
          <w:snapToGrid w:val="0"/>
          <w:vertAlign w:val="subscript"/>
        </w:rPr>
        <w:t xml:space="preserve"> outlet</w:t>
      </w:r>
      <w:r w:rsidRPr="00FD516E">
        <w:rPr>
          <w:snapToGrid w:val="0"/>
        </w:rPr>
        <w:t xml:space="preserve">]*[1 cubic meter/35.31cubic feet]*[1 lb/453,592 mg]*[LFG </w:t>
      </w:r>
      <w:r w:rsidRPr="00FD516E">
        <w:rPr>
          <w:snapToGrid w:val="0"/>
          <w:vertAlign w:val="subscript"/>
        </w:rPr>
        <w:t>treated</w:t>
      </w:r>
      <w:r w:rsidRPr="00FD516E">
        <w:rPr>
          <w:snapToGrid w:val="0"/>
        </w:rPr>
        <w:t>]*[Molecular weight of SiO</w:t>
      </w:r>
      <w:r w:rsidRPr="00FD516E">
        <w:rPr>
          <w:snapToGrid w:val="0"/>
          <w:vertAlign w:val="subscript"/>
        </w:rPr>
        <w:t>2</w:t>
      </w:r>
      <w:r w:rsidRPr="00FD516E">
        <w:rPr>
          <w:snapToGrid w:val="0"/>
        </w:rPr>
        <w:t xml:space="preserve"> / Molecular weight of Si]*[1 ton/2,000 lb] + ([LFG </w:t>
      </w:r>
      <w:proofErr w:type="spellStart"/>
      <w:r w:rsidRPr="00FD516E">
        <w:rPr>
          <w:snapToGrid w:val="0"/>
          <w:vertAlign w:val="subscript"/>
        </w:rPr>
        <w:t>srs</w:t>
      </w:r>
      <w:proofErr w:type="spellEnd"/>
      <w:r w:rsidRPr="00FD516E">
        <w:rPr>
          <w:snapToGrid w:val="0"/>
        </w:rPr>
        <w:t xml:space="preserve">]*[LFG Heat Value]*[Flare Emission Factor]*[1 ton/2,000 lb])  </w:t>
      </w:r>
    </w:p>
    <w:p w14:paraId="272AA5AB" w14:textId="77777777" w:rsidR="0084361A" w:rsidRPr="00FD516E" w:rsidRDefault="0084361A">
      <w:pPr>
        <w:autoSpaceDE/>
        <w:autoSpaceDN/>
        <w:adjustRightInd/>
        <w:ind w:left="0" w:firstLine="0"/>
        <w:rPr>
          <w:snapToGrid w:val="0"/>
        </w:rPr>
      </w:pPr>
    </w:p>
    <w:p w14:paraId="2A2251C9" w14:textId="77777777" w:rsidR="0084361A" w:rsidRPr="00FD516E" w:rsidRDefault="0084361A">
      <w:pPr>
        <w:autoSpaceDE/>
        <w:autoSpaceDN/>
        <w:adjustRightInd/>
        <w:ind w:left="1440" w:firstLine="0"/>
        <w:rPr>
          <w:snapToGrid w:val="0"/>
        </w:rPr>
      </w:pPr>
      <w:r w:rsidRPr="00FD516E">
        <w:rPr>
          <w:snapToGrid w:val="0"/>
        </w:rPr>
        <w:t>Where:</w:t>
      </w:r>
    </w:p>
    <w:p w14:paraId="01A85C7F" w14:textId="1E1E4C62" w:rsidR="0084361A" w:rsidRPr="00FD516E" w:rsidRDefault="0084361A">
      <w:pPr>
        <w:autoSpaceDE/>
        <w:autoSpaceDN/>
        <w:adjustRightInd/>
        <w:ind w:left="1440" w:firstLine="0"/>
        <w:rPr>
          <w:snapToGrid w:val="0"/>
        </w:rPr>
      </w:pPr>
      <w:r w:rsidRPr="00FD516E">
        <w:rPr>
          <w:snapToGrid w:val="0"/>
        </w:rPr>
        <w:t xml:space="preserve">LFG </w:t>
      </w:r>
      <w:r w:rsidRPr="00FD516E">
        <w:rPr>
          <w:snapToGrid w:val="0"/>
          <w:vertAlign w:val="subscript"/>
        </w:rPr>
        <w:t>treated</w:t>
      </w:r>
      <w:r w:rsidRPr="00FD516E">
        <w:rPr>
          <w:snapToGrid w:val="0"/>
        </w:rPr>
        <w:t xml:space="preserve">= Total collected LFG flow in scf treated by the SRS at the </w:t>
      </w:r>
      <w:r w:rsidR="00EA1CCD" w:rsidRPr="00FD516E">
        <w:rPr>
          <w:snapToGrid w:val="0"/>
        </w:rPr>
        <w:t xml:space="preserve">LFGTE Operation </w:t>
      </w:r>
      <w:r w:rsidRPr="00FD516E">
        <w:rPr>
          <w:snapToGrid w:val="0"/>
        </w:rPr>
        <w:t>in that month</w:t>
      </w:r>
    </w:p>
    <w:p w14:paraId="32F12AC3" w14:textId="77777777" w:rsidR="0084361A" w:rsidRPr="00FD516E" w:rsidRDefault="0084361A">
      <w:pPr>
        <w:autoSpaceDE/>
        <w:autoSpaceDN/>
        <w:adjustRightInd/>
        <w:ind w:left="1440" w:firstLine="0"/>
        <w:rPr>
          <w:snapToGrid w:val="0"/>
        </w:rPr>
      </w:pPr>
      <w:r w:rsidRPr="00FD516E">
        <w:rPr>
          <w:snapToGrid w:val="0"/>
        </w:rPr>
        <w:t xml:space="preserve">Si Concentration </w:t>
      </w:r>
      <w:proofErr w:type="spellStart"/>
      <w:r w:rsidRPr="00FD516E">
        <w:rPr>
          <w:snapToGrid w:val="0"/>
          <w:vertAlign w:val="subscript"/>
        </w:rPr>
        <w:t>srs</w:t>
      </w:r>
      <w:proofErr w:type="spellEnd"/>
      <w:r w:rsidRPr="00FD516E">
        <w:rPr>
          <w:snapToGrid w:val="0"/>
          <w:vertAlign w:val="subscript"/>
        </w:rPr>
        <w:t xml:space="preserve"> inlet</w:t>
      </w:r>
      <w:r w:rsidRPr="00FD516E">
        <w:rPr>
          <w:snapToGrid w:val="0"/>
        </w:rPr>
        <w:t xml:space="preserve"> = Si concentration in LFG before treatment by the SRS in mg Si / cubic meter</w:t>
      </w:r>
    </w:p>
    <w:p w14:paraId="69023E46" w14:textId="77777777" w:rsidR="0084361A" w:rsidRPr="00FD516E" w:rsidRDefault="0084361A">
      <w:pPr>
        <w:autoSpaceDE/>
        <w:autoSpaceDN/>
        <w:adjustRightInd/>
        <w:ind w:left="1440" w:firstLine="0"/>
        <w:rPr>
          <w:snapToGrid w:val="0"/>
        </w:rPr>
      </w:pPr>
      <w:r w:rsidRPr="00FD516E">
        <w:rPr>
          <w:snapToGrid w:val="0"/>
        </w:rPr>
        <w:t xml:space="preserve">Si Concentration </w:t>
      </w:r>
      <w:proofErr w:type="spellStart"/>
      <w:r w:rsidRPr="00FD516E">
        <w:rPr>
          <w:snapToGrid w:val="0"/>
          <w:vertAlign w:val="subscript"/>
        </w:rPr>
        <w:t>srs</w:t>
      </w:r>
      <w:proofErr w:type="spellEnd"/>
      <w:r w:rsidRPr="00FD516E">
        <w:rPr>
          <w:snapToGrid w:val="0"/>
          <w:vertAlign w:val="subscript"/>
        </w:rPr>
        <w:t xml:space="preserve"> outlet</w:t>
      </w:r>
      <w:r w:rsidRPr="00FD516E">
        <w:rPr>
          <w:snapToGrid w:val="0"/>
        </w:rPr>
        <w:t xml:space="preserve"> = Si concentration in LFG after treatment in SRS in mg Si / cubic meter</w:t>
      </w:r>
    </w:p>
    <w:p w14:paraId="161BFB0E" w14:textId="77777777" w:rsidR="0084361A" w:rsidRPr="00FD516E" w:rsidRDefault="0084361A">
      <w:pPr>
        <w:autoSpaceDE/>
        <w:autoSpaceDN/>
        <w:adjustRightInd/>
        <w:ind w:left="1440" w:firstLine="0"/>
        <w:rPr>
          <w:snapToGrid w:val="0"/>
        </w:rPr>
      </w:pPr>
      <w:r w:rsidRPr="00FD516E">
        <w:rPr>
          <w:snapToGrid w:val="0"/>
        </w:rPr>
        <w:t xml:space="preserve">LFG </w:t>
      </w:r>
      <w:proofErr w:type="spellStart"/>
      <w:r w:rsidRPr="00FD516E">
        <w:rPr>
          <w:snapToGrid w:val="0"/>
          <w:vertAlign w:val="subscript"/>
        </w:rPr>
        <w:t>srs</w:t>
      </w:r>
      <w:proofErr w:type="spellEnd"/>
      <w:r w:rsidRPr="00FD516E">
        <w:rPr>
          <w:snapToGrid w:val="0"/>
        </w:rPr>
        <w:t xml:space="preserve"> = Total LFG flow in scf used to fire the SRS flare in that month</w:t>
      </w:r>
    </w:p>
    <w:p w14:paraId="4A7B0E5E" w14:textId="77777777" w:rsidR="0084361A" w:rsidRPr="00FD516E" w:rsidRDefault="0084361A">
      <w:pPr>
        <w:autoSpaceDE/>
        <w:autoSpaceDN/>
        <w:adjustRightInd/>
        <w:ind w:left="1440" w:firstLine="0"/>
        <w:rPr>
          <w:snapToGrid w:val="0"/>
        </w:rPr>
      </w:pPr>
      <w:r w:rsidRPr="00FD516E">
        <w:rPr>
          <w:snapToGrid w:val="0"/>
        </w:rPr>
        <w:t>LFG Heat Value = Heat Value of LFG in MMBtu/scf.  A default value of 5.0E-4 MMBtu/scf may be used or a site specific value approved by the Agency.</w:t>
      </w:r>
    </w:p>
    <w:p w14:paraId="6DE31485" w14:textId="77777777" w:rsidR="0084361A" w:rsidRPr="00FD516E" w:rsidRDefault="0084361A">
      <w:pPr>
        <w:autoSpaceDE/>
        <w:autoSpaceDN/>
        <w:adjustRightInd/>
        <w:ind w:left="1440" w:firstLine="0"/>
        <w:rPr>
          <w:snapToGrid w:val="0"/>
        </w:rPr>
      </w:pPr>
      <w:r w:rsidRPr="00FD516E">
        <w:rPr>
          <w:snapToGrid w:val="0"/>
        </w:rPr>
        <w:t>Flare Emission Factor = 1.</w:t>
      </w:r>
      <w:r w:rsidRPr="00FD516E" w:rsidDel="001A6B71">
        <w:rPr>
          <w:snapToGrid w:val="0"/>
        </w:rPr>
        <w:t xml:space="preserve"> </w:t>
      </w:r>
      <w:r w:rsidRPr="00FD516E">
        <w:rPr>
          <w:snapToGrid w:val="0"/>
        </w:rPr>
        <w:t xml:space="preserve">7E-2 lb/MMBtu </w:t>
      </w:r>
    </w:p>
    <w:p w14:paraId="3B97337E" w14:textId="77777777" w:rsidR="0084361A" w:rsidRPr="00FD516E" w:rsidRDefault="0084361A">
      <w:pPr>
        <w:autoSpaceDE/>
        <w:autoSpaceDN/>
        <w:adjustRightInd/>
        <w:ind w:left="0" w:firstLine="0"/>
        <w:rPr>
          <w:snapToGrid w:val="0"/>
        </w:rPr>
      </w:pPr>
    </w:p>
    <w:p w14:paraId="329F484F" w14:textId="77777777" w:rsidR="0084361A" w:rsidRPr="00FD516E" w:rsidRDefault="0084361A">
      <w:pPr>
        <w:autoSpaceDE/>
        <w:autoSpaceDN/>
        <w:adjustRightInd/>
        <w:ind w:left="720" w:firstLine="0"/>
        <w:rPr>
          <w:snapToGrid w:val="0"/>
        </w:rPr>
      </w:pPr>
      <w:r w:rsidRPr="00FD516E">
        <w:rPr>
          <w:snapToGrid w:val="0"/>
        </w:rPr>
        <w:lastRenderedPageBreak/>
        <w:t>Equation 3:  PM</w:t>
      </w:r>
      <w:r w:rsidRPr="00FD516E">
        <w:rPr>
          <w:snapToGrid w:val="0"/>
          <w:vertAlign w:val="subscript"/>
        </w:rPr>
        <w:t xml:space="preserve"> LFG flares</w:t>
      </w:r>
      <w:r w:rsidRPr="00FD516E">
        <w:rPr>
          <w:snapToGrid w:val="0"/>
        </w:rPr>
        <w:t xml:space="preserve"> = ( [LFG </w:t>
      </w:r>
      <w:r w:rsidRPr="00FD516E">
        <w:rPr>
          <w:snapToGrid w:val="0"/>
          <w:vertAlign w:val="subscript"/>
        </w:rPr>
        <w:t>month flare</w:t>
      </w:r>
      <w:r w:rsidRPr="00FD516E">
        <w:rPr>
          <w:snapToGrid w:val="0"/>
        </w:rPr>
        <w:t xml:space="preserve">]*[LFG Heat Value]*[Flare Emission Factor] )*[1 ton/2,000 lb]) + (([LFG </w:t>
      </w:r>
      <w:r w:rsidRPr="00FD516E">
        <w:rPr>
          <w:snapToGrid w:val="0"/>
          <w:vertAlign w:val="subscript"/>
        </w:rPr>
        <w:t>month flares</w:t>
      </w:r>
      <w:r w:rsidRPr="00FD516E">
        <w:rPr>
          <w:snapToGrid w:val="0"/>
        </w:rPr>
        <w:t xml:space="preserve">]*[Si Concentration </w:t>
      </w:r>
      <w:r w:rsidRPr="00FD516E">
        <w:rPr>
          <w:snapToGrid w:val="0"/>
          <w:vertAlign w:val="subscript"/>
        </w:rPr>
        <w:t>flares</w:t>
      </w:r>
      <w:r w:rsidRPr="00FD516E">
        <w:rPr>
          <w:snapToGrid w:val="0"/>
        </w:rPr>
        <w:t>]*[1 cubic meter/35.31cubic feet]*[1 lb/453,592 mg]*[Molecular weight of SiO</w:t>
      </w:r>
      <w:r w:rsidRPr="00FD516E">
        <w:rPr>
          <w:snapToGrid w:val="0"/>
          <w:vertAlign w:val="subscript"/>
        </w:rPr>
        <w:t>2</w:t>
      </w:r>
      <w:r w:rsidRPr="00FD516E">
        <w:rPr>
          <w:snapToGrid w:val="0"/>
        </w:rPr>
        <w:t xml:space="preserve"> / Molecular weight of Si]*[1 ton/2,000 lb]</w:t>
      </w:r>
    </w:p>
    <w:p w14:paraId="23A5C8E1" w14:textId="77777777" w:rsidR="0084361A" w:rsidRPr="00FD516E" w:rsidRDefault="0084361A">
      <w:pPr>
        <w:autoSpaceDE/>
        <w:autoSpaceDN/>
        <w:adjustRightInd/>
        <w:ind w:left="0" w:firstLine="0"/>
        <w:rPr>
          <w:snapToGrid w:val="0"/>
        </w:rPr>
      </w:pPr>
    </w:p>
    <w:p w14:paraId="2A1832D6" w14:textId="77777777" w:rsidR="0084361A" w:rsidRPr="00FD516E" w:rsidRDefault="0084361A">
      <w:pPr>
        <w:autoSpaceDE/>
        <w:autoSpaceDN/>
        <w:adjustRightInd/>
        <w:ind w:left="1440" w:firstLine="0"/>
        <w:rPr>
          <w:snapToGrid w:val="0"/>
        </w:rPr>
      </w:pPr>
      <w:r w:rsidRPr="00FD516E">
        <w:rPr>
          <w:snapToGrid w:val="0"/>
        </w:rPr>
        <w:t xml:space="preserve">Where: </w:t>
      </w:r>
    </w:p>
    <w:p w14:paraId="7D630013" w14:textId="77777777" w:rsidR="0084361A" w:rsidRPr="00FD516E" w:rsidRDefault="0084361A">
      <w:pPr>
        <w:autoSpaceDE/>
        <w:autoSpaceDN/>
        <w:adjustRightInd/>
        <w:ind w:left="1440" w:firstLine="0"/>
        <w:rPr>
          <w:snapToGrid w:val="0"/>
        </w:rPr>
      </w:pPr>
      <w:r w:rsidRPr="00FD516E">
        <w:rPr>
          <w:snapToGrid w:val="0"/>
        </w:rPr>
        <w:t xml:space="preserve">LFG </w:t>
      </w:r>
      <w:r w:rsidRPr="00FD516E">
        <w:rPr>
          <w:snapToGrid w:val="0"/>
          <w:vertAlign w:val="subscript"/>
        </w:rPr>
        <w:t xml:space="preserve">month flares </w:t>
      </w:r>
      <w:r w:rsidRPr="00FD516E">
        <w:rPr>
          <w:snapToGrid w:val="0"/>
        </w:rPr>
        <w:t>= Total collected LFG flow in scf delivered to the flare(s) at the Facility in that month</w:t>
      </w:r>
    </w:p>
    <w:p w14:paraId="5A06CBEA" w14:textId="77777777" w:rsidR="0084361A" w:rsidRPr="00FD516E" w:rsidRDefault="0084361A">
      <w:pPr>
        <w:autoSpaceDE/>
        <w:autoSpaceDN/>
        <w:adjustRightInd/>
        <w:ind w:left="1440" w:firstLine="0"/>
        <w:rPr>
          <w:snapToGrid w:val="0"/>
        </w:rPr>
      </w:pPr>
      <w:r w:rsidRPr="00FD516E">
        <w:rPr>
          <w:snapToGrid w:val="0"/>
        </w:rPr>
        <w:t>LFG Heat Value = Heat Value of LFG in MMBtu/scf.  A default value of 5.0E-4 MMBtu/scf may be used or a site specific value approved by the Agency.</w:t>
      </w:r>
    </w:p>
    <w:p w14:paraId="51C9C951" w14:textId="77777777" w:rsidR="0084361A" w:rsidRPr="00FD516E" w:rsidRDefault="0084361A">
      <w:pPr>
        <w:autoSpaceDE/>
        <w:autoSpaceDN/>
        <w:adjustRightInd/>
        <w:ind w:left="1440" w:firstLine="0"/>
        <w:rPr>
          <w:snapToGrid w:val="0"/>
        </w:rPr>
      </w:pPr>
      <w:r w:rsidRPr="00FD516E">
        <w:rPr>
          <w:snapToGrid w:val="0"/>
        </w:rPr>
        <w:t>Flare Emission Factor = 1.7E-2 lb/MMBtu</w:t>
      </w:r>
    </w:p>
    <w:p w14:paraId="453D0530" w14:textId="77777777" w:rsidR="0084361A" w:rsidRPr="00FD516E" w:rsidRDefault="0084361A">
      <w:pPr>
        <w:autoSpaceDE/>
        <w:autoSpaceDN/>
        <w:adjustRightInd/>
        <w:ind w:left="1440" w:firstLine="0"/>
        <w:rPr>
          <w:snapToGrid w:val="0"/>
        </w:rPr>
      </w:pPr>
      <w:r w:rsidRPr="00FD516E">
        <w:rPr>
          <w:snapToGrid w:val="0"/>
        </w:rPr>
        <w:t xml:space="preserve">Si Concentration </w:t>
      </w:r>
      <w:r w:rsidRPr="00FD516E">
        <w:rPr>
          <w:snapToGrid w:val="0"/>
          <w:vertAlign w:val="subscript"/>
        </w:rPr>
        <w:t>flares</w:t>
      </w:r>
      <w:r w:rsidRPr="00FD516E">
        <w:rPr>
          <w:snapToGrid w:val="0"/>
        </w:rPr>
        <w:t xml:space="preserve"> = Si concentration in LFG to flare(s) in mg Si / cubic meter</w:t>
      </w:r>
    </w:p>
    <w:p w14:paraId="50FCD755" w14:textId="77777777" w:rsidR="0084361A" w:rsidRPr="00FD516E" w:rsidRDefault="0084361A">
      <w:pPr>
        <w:autoSpaceDE/>
        <w:autoSpaceDN/>
        <w:adjustRightInd/>
        <w:ind w:left="1440" w:firstLine="0"/>
        <w:rPr>
          <w:snapToGrid w:val="0"/>
        </w:rPr>
      </w:pPr>
      <w:r w:rsidRPr="00FD516E">
        <w:rPr>
          <w:snapToGrid w:val="0"/>
        </w:rPr>
        <w:t>Molecular weight of Si = 28.09</w:t>
      </w:r>
    </w:p>
    <w:p w14:paraId="0EDDAA01" w14:textId="77777777" w:rsidR="0084361A" w:rsidRPr="00FD516E" w:rsidRDefault="0084361A">
      <w:pPr>
        <w:autoSpaceDE/>
        <w:autoSpaceDN/>
        <w:adjustRightInd/>
        <w:ind w:left="1440" w:firstLine="0"/>
        <w:rPr>
          <w:snapToGrid w:val="0"/>
        </w:rPr>
      </w:pPr>
      <w:r w:rsidRPr="00FD516E">
        <w:rPr>
          <w:snapToGrid w:val="0"/>
        </w:rPr>
        <w:t>Molecular weight of SiO</w:t>
      </w:r>
      <w:r w:rsidRPr="00FD516E">
        <w:rPr>
          <w:snapToGrid w:val="0"/>
          <w:vertAlign w:val="subscript"/>
        </w:rPr>
        <w:t>2</w:t>
      </w:r>
      <w:r w:rsidRPr="00FD516E">
        <w:rPr>
          <w:snapToGrid w:val="0"/>
        </w:rPr>
        <w:t xml:space="preserve"> = 60.08</w:t>
      </w:r>
    </w:p>
    <w:p w14:paraId="68CF9ED6" w14:textId="77777777" w:rsidR="0084361A" w:rsidRPr="00FD516E" w:rsidRDefault="0084361A">
      <w:pPr>
        <w:autoSpaceDE/>
        <w:autoSpaceDN/>
        <w:adjustRightInd/>
        <w:ind w:left="0" w:firstLine="0"/>
        <w:rPr>
          <w:snapToGrid w:val="0"/>
        </w:rPr>
      </w:pPr>
    </w:p>
    <w:p w14:paraId="000D539C" w14:textId="77777777" w:rsidR="0084361A" w:rsidRPr="00FD516E" w:rsidRDefault="0084361A">
      <w:pPr>
        <w:autoSpaceDE/>
        <w:autoSpaceDN/>
        <w:adjustRightInd/>
        <w:ind w:left="720" w:firstLine="0"/>
        <w:rPr>
          <w:snapToGrid w:val="0"/>
        </w:rPr>
      </w:pPr>
      <w:r w:rsidRPr="00FD516E">
        <w:rPr>
          <w:snapToGrid w:val="0"/>
        </w:rPr>
        <w:t xml:space="preserve">Equation 4:  PM </w:t>
      </w:r>
      <w:r w:rsidRPr="00FD516E">
        <w:rPr>
          <w:snapToGrid w:val="0"/>
          <w:vertAlign w:val="subscript"/>
        </w:rPr>
        <w:t>engine combustion</w:t>
      </w:r>
      <w:r w:rsidRPr="00FD516E">
        <w:rPr>
          <w:snapToGrid w:val="0"/>
        </w:rPr>
        <w:t xml:space="preserve"> = [Engine Emission Factor] *[1 lb/453.592 g]*[Hours of operation for 3520C engines]*[3520C engine rating]* [Capacity Factor] * [1 ton/2,000 lb]) </w:t>
      </w:r>
    </w:p>
    <w:p w14:paraId="1A4D2F50" w14:textId="77777777" w:rsidR="0084361A" w:rsidRPr="00FD516E" w:rsidRDefault="0084361A">
      <w:pPr>
        <w:autoSpaceDE/>
        <w:autoSpaceDN/>
        <w:adjustRightInd/>
        <w:ind w:left="0" w:firstLine="0"/>
        <w:rPr>
          <w:snapToGrid w:val="0"/>
        </w:rPr>
      </w:pPr>
    </w:p>
    <w:p w14:paraId="1E1CC6EA" w14:textId="77777777" w:rsidR="0084361A" w:rsidRPr="00FD516E" w:rsidRDefault="0084361A">
      <w:pPr>
        <w:autoSpaceDE/>
        <w:autoSpaceDN/>
        <w:adjustRightInd/>
        <w:ind w:left="720" w:firstLine="0"/>
        <w:rPr>
          <w:snapToGrid w:val="0"/>
        </w:rPr>
      </w:pPr>
      <w:r w:rsidRPr="00FD516E">
        <w:rPr>
          <w:snapToGrid w:val="0"/>
        </w:rPr>
        <w:t>Where:</w:t>
      </w:r>
    </w:p>
    <w:p w14:paraId="5107BEA4" w14:textId="6CA3C79D" w:rsidR="0084361A" w:rsidRPr="00FD516E" w:rsidRDefault="0084361A">
      <w:pPr>
        <w:autoSpaceDE/>
        <w:autoSpaceDN/>
        <w:adjustRightInd/>
        <w:ind w:left="720" w:firstLine="0"/>
        <w:rPr>
          <w:snapToGrid w:val="0"/>
        </w:rPr>
      </w:pPr>
      <w:r w:rsidRPr="00FD516E">
        <w:rPr>
          <w:snapToGrid w:val="0"/>
        </w:rPr>
        <w:t xml:space="preserve">Engine Emission Factor = 0.153 g/bhp-hr OR emission factor in g/bhp-hr obtained from stack testing required by Condition (27) of </w:t>
      </w:r>
      <w:r w:rsidRPr="00FD516E">
        <w:rPr>
          <w:snapToGrid w:val="0"/>
          <w:vertAlign w:val="superscript"/>
        </w:rPr>
        <w:t>#</w:t>
      </w:r>
      <w:r w:rsidRPr="00FD516E">
        <w:rPr>
          <w:snapToGrid w:val="0"/>
        </w:rPr>
        <w:t>AOP-15-032 at the Agency’s discretion.</w:t>
      </w:r>
    </w:p>
    <w:p w14:paraId="312973B8" w14:textId="77777777" w:rsidR="0084361A" w:rsidRPr="00FD516E" w:rsidRDefault="0084361A">
      <w:pPr>
        <w:autoSpaceDE/>
        <w:autoSpaceDN/>
        <w:adjustRightInd/>
        <w:ind w:left="720" w:firstLine="0"/>
        <w:rPr>
          <w:snapToGrid w:val="0"/>
        </w:rPr>
      </w:pPr>
      <w:r w:rsidRPr="00FD516E">
        <w:rPr>
          <w:snapToGrid w:val="0"/>
        </w:rPr>
        <w:t xml:space="preserve">Hours of operation for 3520C engines = Total number of hours of operation for all 3520C engines in that month.  </w:t>
      </w:r>
    </w:p>
    <w:p w14:paraId="1E492107" w14:textId="77777777" w:rsidR="0084361A" w:rsidRPr="00FD516E" w:rsidRDefault="0084361A">
      <w:pPr>
        <w:autoSpaceDE/>
        <w:autoSpaceDN/>
        <w:adjustRightInd/>
        <w:ind w:left="720" w:firstLine="0"/>
        <w:rPr>
          <w:snapToGrid w:val="0"/>
        </w:rPr>
      </w:pPr>
      <w:r w:rsidRPr="00FD516E">
        <w:rPr>
          <w:snapToGrid w:val="0"/>
        </w:rPr>
        <w:t xml:space="preserve">3520C engine rating = 2,221 bhp or a site specific value approved by the Agency.  </w:t>
      </w:r>
    </w:p>
    <w:p w14:paraId="7684D272" w14:textId="48A63FE8" w:rsidR="0084361A" w:rsidRPr="00FD516E" w:rsidRDefault="0084361A">
      <w:pPr>
        <w:autoSpaceDE/>
        <w:autoSpaceDN/>
        <w:adjustRightInd/>
        <w:ind w:left="720" w:firstLine="0"/>
        <w:rPr>
          <w:snapToGrid w:val="0"/>
          <w:vertAlign w:val="subscript"/>
        </w:rPr>
      </w:pPr>
      <w:r w:rsidRPr="00FD516E">
        <w:rPr>
          <w:snapToGrid w:val="0"/>
        </w:rPr>
        <w:t xml:space="preserve">Capacity Factor = Measured electrical output in MW of all 3520C engines at the </w:t>
      </w:r>
      <w:r w:rsidR="00EA1CCD" w:rsidRPr="00FD516E">
        <w:rPr>
          <w:snapToGrid w:val="0"/>
        </w:rPr>
        <w:t xml:space="preserve">LFGTE Operation </w:t>
      </w:r>
      <w:r w:rsidRPr="00FD516E">
        <w:rPr>
          <w:snapToGrid w:val="0"/>
        </w:rPr>
        <w:t xml:space="preserve">in that month / Electrical Output </w:t>
      </w:r>
      <w:r w:rsidRPr="00FD516E">
        <w:rPr>
          <w:snapToGrid w:val="0"/>
          <w:vertAlign w:val="subscript"/>
        </w:rPr>
        <w:t>theoretical</w:t>
      </w:r>
    </w:p>
    <w:p w14:paraId="608A5580" w14:textId="281D287C" w:rsidR="0084361A" w:rsidRPr="00FD516E" w:rsidRDefault="0084361A">
      <w:pPr>
        <w:autoSpaceDE/>
        <w:autoSpaceDN/>
        <w:adjustRightInd/>
        <w:ind w:left="720" w:firstLine="0"/>
        <w:rPr>
          <w:snapToGrid w:val="0"/>
        </w:rPr>
      </w:pPr>
      <w:r w:rsidRPr="00FD516E">
        <w:rPr>
          <w:snapToGrid w:val="0"/>
        </w:rPr>
        <w:t xml:space="preserve">Electrical Output </w:t>
      </w:r>
      <w:r w:rsidRPr="00FD516E">
        <w:rPr>
          <w:snapToGrid w:val="0"/>
          <w:vertAlign w:val="subscript"/>
        </w:rPr>
        <w:t xml:space="preserve">theoretical </w:t>
      </w:r>
      <w:r w:rsidRPr="00FD516E">
        <w:rPr>
          <w:snapToGrid w:val="0"/>
        </w:rPr>
        <w:t>= Electrical output in MW of all 3520C engines at the</w:t>
      </w:r>
      <w:r w:rsidR="00EA1CCD" w:rsidRPr="00FD516E">
        <w:rPr>
          <w:snapToGrid w:val="0"/>
        </w:rPr>
        <w:t xml:space="preserve"> LFGTE Operation</w:t>
      </w:r>
      <w:r w:rsidRPr="00FD516E">
        <w:rPr>
          <w:snapToGrid w:val="0"/>
        </w:rPr>
        <w:t xml:space="preserve"> in that month assuming they are operated at 100 percent output for the hours operated..  </w:t>
      </w:r>
    </w:p>
    <w:p w14:paraId="35FEF388" w14:textId="0CB9E2B7" w:rsidR="0084361A" w:rsidRDefault="0084361A">
      <w:pPr>
        <w:autoSpaceDE/>
        <w:autoSpaceDN/>
        <w:adjustRightInd/>
        <w:ind w:left="0" w:firstLine="0"/>
        <w:rPr>
          <w:snapToGrid w:val="0"/>
        </w:rPr>
      </w:pPr>
      <w:bookmarkStart w:id="10" w:name="_Hlk499823435"/>
    </w:p>
    <w:p w14:paraId="044FF5D7" w14:textId="38EF83D9" w:rsidR="00CC7328" w:rsidRPr="00CC7328" w:rsidRDefault="00CC7328" w:rsidP="00450325">
      <w:pPr>
        <w:autoSpaceDE/>
        <w:autoSpaceDN/>
        <w:adjustRightInd/>
        <w:ind w:left="3686" w:hanging="2966"/>
        <w:rPr>
          <w:snapToGrid w:val="0"/>
        </w:rPr>
      </w:pPr>
      <w:r w:rsidRPr="00CC7328">
        <w:rPr>
          <w:snapToGrid w:val="0"/>
        </w:rPr>
        <w:t xml:space="preserve">Equation 5:  PM </w:t>
      </w:r>
      <w:r w:rsidRPr="00CC7328">
        <w:rPr>
          <w:snapToGrid w:val="0"/>
          <w:vertAlign w:val="subscript"/>
        </w:rPr>
        <w:t>non-road engines</w:t>
      </w:r>
      <w:r w:rsidRPr="00CC7328">
        <w:rPr>
          <w:snapToGrid w:val="0"/>
        </w:rPr>
        <w:t xml:space="preserve"> = [Engine Emission Factor] *</w:t>
      </w:r>
      <w:r w:rsidR="00450325">
        <w:rPr>
          <w:snapToGrid w:val="0"/>
        </w:rPr>
        <w:t xml:space="preserve"> </w:t>
      </w:r>
      <w:r w:rsidRPr="00CC7328">
        <w:rPr>
          <w:snapToGrid w:val="0"/>
        </w:rPr>
        <w:t>[</w:t>
      </w:r>
      <w:r w:rsidR="00450325">
        <w:rPr>
          <w:snapToGrid w:val="0"/>
        </w:rPr>
        <w:t xml:space="preserve">Fuel Combustion in Non-Road Engines] </w:t>
      </w:r>
      <w:r w:rsidRPr="00CC7328">
        <w:rPr>
          <w:snapToGrid w:val="0"/>
        </w:rPr>
        <w:t>[1 ton/2,000 lb])</w:t>
      </w:r>
    </w:p>
    <w:p w14:paraId="19163507" w14:textId="10317E36" w:rsidR="00CC7328" w:rsidRDefault="00CC7328">
      <w:pPr>
        <w:autoSpaceDE/>
        <w:autoSpaceDN/>
        <w:adjustRightInd/>
        <w:ind w:left="0" w:firstLine="0"/>
        <w:rPr>
          <w:snapToGrid w:val="0"/>
        </w:rPr>
      </w:pPr>
    </w:p>
    <w:p w14:paraId="05ACC184" w14:textId="6C633989" w:rsidR="00450325" w:rsidRDefault="00450325" w:rsidP="00450325">
      <w:pPr>
        <w:autoSpaceDE/>
        <w:autoSpaceDN/>
        <w:adjustRightInd/>
        <w:ind w:left="720" w:firstLine="0"/>
        <w:rPr>
          <w:snapToGrid w:val="0"/>
        </w:rPr>
      </w:pPr>
      <w:r w:rsidRPr="00450325">
        <w:rPr>
          <w:snapToGrid w:val="0"/>
        </w:rPr>
        <w:t>Where:</w:t>
      </w:r>
    </w:p>
    <w:p w14:paraId="35A321D9" w14:textId="77777777" w:rsidR="00604D26" w:rsidRPr="00450325" w:rsidRDefault="00604D26" w:rsidP="00604D26">
      <w:pPr>
        <w:autoSpaceDE/>
        <w:autoSpaceDN/>
        <w:adjustRightInd/>
        <w:ind w:left="0" w:firstLine="0"/>
        <w:rPr>
          <w:snapToGrid w:val="0"/>
        </w:rPr>
      </w:pPr>
    </w:p>
    <w:p w14:paraId="55C3924A" w14:textId="35699B62" w:rsidR="00450325" w:rsidRDefault="00450325" w:rsidP="00450325">
      <w:pPr>
        <w:autoSpaceDE/>
        <w:autoSpaceDN/>
        <w:adjustRightInd/>
        <w:ind w:left="3355" w:hanging="2635"/>
        <w:rPr>
          <w:snapToGrid w:val="0"/>
        </w:rPr>
      </w:pPr>
      <w:r w:rsidRPr="00450325">
        <w:rPr>
          <w:snapToGrid w:val="0"/>
        </w:rPr>
        <w:t>Engine Emission Factor = 0.0206 lb/gallon ULSD</w:t>
      </w:r>
      <w:r>
        <w:rPr>
          <w:snapToGrid w:val="0"/>
        </w:rPr>
        <w:t xml:space="preserve"> OR </w:t>
      </w:r>
      <w:r w:rsidRPr="00450325">
        <w:rPr>
          <w:snapToGrid w:val="0"/>
        </w:rPr>
        <w:t xml:space="preserve">emission factor in g/bhp-hr </w:t>
      </w:r>
      <w:r>
        <w:rPr>
          <w:snapToGrid w:val="0"/>
        </w:rPr>
        <w:t xml:space="preserve">based on Tier ratings from the actual non-road engine fleet at the Facility, </w:t>
      </w:r>
      <w:r w:rsidRPr="00450325">
        <w:rPr>
          <w:snapToGrid w:val="0"/>
        </w:rPr>
        <w:t>at the Agency’s discretion</w:t>
      </w:r>
      <w:r>
        <w:rPr>
          <w:snapToGrid w:val="0"/>
        </w:rPr>
        <w:t xml:space="preserve">.  </w:t>
      </w:r>
    </w:p>
    <w:p w14:paraId="0024963C" w14:textId="2CF3A445" w:rsidR="00450325" w:rsidRPr="00FD516E" w:rsidRDefault="00450325" w:rsidP="00450325">
      <w:pPr>
        <w:autoSpaceDE/>
        <w:autoSpaceDN/>
        <w:adjustRightInd/>
        <w:ind w:left="4997" w:hanging="4277"/>
        <w:rPr>
          <w:snapToGrid w:val="0"/>
        </w:rPr>
      </w:pPr>
      <w:r w:rsidRPr="00450325">
        <w:rPr>
          <w:snapToGrid w:val="0"/>
        </w:rPr>
        <w:t xml:space="preserve">Fuel Combustion in Non-Road Engines </w:t>
      </w:r>
      <w:r>
        <w:rPr>
          <w:snapToGrid w:val="0"/>
        </w:rPr>
        <w:t>=</w:t>
      </w:r>
      <w:r w:rsidRPr="00FD516E">
        <w:rPr>
          <w:snapToGrid w:val="0"/>
        </w:rPr>
        <w:t xml:space="preserve"> Total </w:t>
      </w:r>
      <w:r>
        <w:rPr>
          <w:snapToGrid w:val="0"/>
        </w:rPr>
        <w:t xml:space="preserve">ULSD fuel combusted in the non-road engine fleet at the </w:t>
      </w:r>
      <w:r w:rsidRPr="00FD516E">
        <w:rPr>
          <w:snapToGrid w:val="0"/>
        </w:rPr>
        <w:t>Facility in that month</w:t>
      </w:r>
    </w:p>
    <w:bookmarkEnd w:id="10"/>
    <w:p w14:paraId="6BD372BA" w14:textId="77777777" w:rsidR="00450325" w:rsidRPr="00FD516E" w:rsidRDefault="00450325">
      <w:pPr>
        <w:autoSpaceDE/>
        <w:autoSpaceDN/>
        <w:adjustRightInd/>
        <w:ind w:left="0" w:firstLine="0"/>
        <w:rPr>
          <w:snapToGrid w:val="0"/>
        </w:rPr>
      </w:pPr>
    </w:p>
    <w:p w14:paraId="10D16EB1" w14:textId="77777777" w:rsidR="0084361A" w:rsidRPr="00FD516E" w:rsidRDefault="0084361A">
      <w:pPr>
        <w:autoSpaceDE/>
        <w:autoSpaceDN/>
        <w:adjustRightInd/>
        <w:ind w:left="720" w:firstLine="0"/>
        <w:rPr>
          <w:snapToGrid w:val="0"/>
        </w:rPr>
      </w:pPr>
      <w:r w:rsidRPr="00FD516E">
        <w:rPr>
          <w:snapToGrid w:val="0"/>
        </w:rPr>
        <w:t>Compliance with this limit shall be documented through measuring and recording:</w:t>
      </w:r>
    </w:p>
    <w:p w14:paraId="4D903E50" w14:textId="77777777" w:rsidR="0084361A" w:rsidRPr="00FD516E" w:rsidRDefault="0084361A">
      <w:pPr>
        <w:autoSpaceDE/>
        <w:autoSpaceDN/>
        <w:adjustRightInd/>
        <w:ind w:left="0" w:firstLine="0"/>
        <w:rPr>
          <w:snapToGrid w:val="0"/>
        </w:rPr>
      </w:pPr>
    </w:p>
    <w:p w14:paraId="31B35DE0" w14:textId="77777777" w:rsidR="0084361A" w:rsidRPr="00FD516E" w:rsidRDefault="0084361A">
      <w:pPr>
        <w:numPr>
          <w:ilvl w:val="0"/>
          <w:numId w:val="37"/>
        </w:numPr>
        <w:autoSpaceDE/>
        <w:autoSpaceDN/>
        <w:adjustRightInd/>
        <w:rPr>
          <w:snapToGrid w:val="0"/>
        </w:rPr>
      </w:pPr>
      <w:r w:rsidRPr="00FD516E">
        <w:rPr>
          <w:snapToGrid w:val="0"/>
        </w:rPr>
        <w:t>Monthly LFG flow treated by the SRS in standard cubic feet (scf).</w:t>
      </w:r>
    </w:p>
    <w:p w14:paraId="492539E9" w14:textId="77777777" w:rsidR="0084361A" w:rsidRPr="00FD516E" w:rsidRDefault="0084361A">
      <w:pPr>
        <w:numPr>
          <w:ilvl w:val="0"/>
          <w:numId w:val="37"/>
        </w:numPr>
        <w:autoSpaceDE/>
        <w:autoSpaceDN/>
        <w:adjustRightInd/>
        <w:rPr>
          <w:snapToGrid w:val="0"/>
        </w:rPr>
      </w:pPr>
      <w:r w:rsidRPr="00FD516E">
        <w:rPr>
          <w:snapToGrid w:val="0"/>
        </w:rPr>
        <w:t xml:space="preserve">Monthly LFG flow to the CAT 3520C engines in standard cubic feet (scf) </w:t>
      </w:r>
    </w:p>
    <w:p w14:paraId="342B69D3" w14:textId="77777777" w:rsidR="0084361A" w:rsidRPr="00FD516E" w:rsidRDefault="0084361A">
      <w:pPr>
        <w:numPr>
          <w:ilvl w:val="0"/>
          <w:numId w:val="37"/>
        </w:numPr>
        <w:autoSpaceDE/>
        <w:autoSpaceDN/>
        <w:adjustRightInd/>
        <w:rPr>
          <w:snapToGrid w:val="0"/>
        </w:rPr>
      </w:pPr>
      <w:r w:rsidRPr="00FD516E">
        <w:rPr>
          <w:snapToGrid w:val="0"/>
        </w:rPr>
        <w:t>Monthly LFG flow to each of the flare(s) in standard cubic feet (scf)</w:t>
      </w:r>
    </w:p>
    <w:p w14:paraId="008796C1" w14:textId="77777777" w:rsidR="0084361A" w:rsidRPr="00FD516E" w:rsidRDefault="0084361A">
      <w:pPr>
        <w:numPr>
          <w:ilvl w:val="0"/>
          <w:numId w:val="37"/>
        </w:numPr>
        <w:autoSpaceDE/>
        <w:autoSpaceDN/>
        <w:adjustRightInd/>
        <w:rPr>
          <w:snapToGrid w:val="0"/>
        </w:rPr>
      </w:pPr>
      <w:r w:rsidRPr="00FD516E">
        <w:rPr>
          <w:snapToGrid w:val="0"/>
        </w:rPr>
        <w:t xml:space="preserve">Silicon (Si) concentrations in untreated LFG in units of milligrams of Si per cubic meter of LFG measured every six (6) months.  </w:t>
      </w:r>
    </w:p>
    <w:p w14:paraId="6CAF0815" w14:textId="77777777" w:rsidR="0084361A" w:rsidRPr="00FD516E" w:rsidRDefault="0084361A">
      <w:pPr>
        <w:numPr>
          <w:ilvl w:val="0"/>
          <w:numId w:val="37"/>
        </w:numPr>
        <w:autoSpaceDE/>
        <w:autoSpaceDN/>
        <w:adjustRightInd/>
        <w:rPr>
          <w:snapToGrid w:val="0"/>
        </w:rPr>
      </w:pPr>
      <w:r w:rsidRPr="00FD516E">
        <w:rPr>
          <w:snapToGrid w:val="0"/>
        </w:rPr>
        <w:t xml:space="preserve">Silicon (Si) concentrations of LFG after treatment in the SRS in units of milligrams </w:t>
      </w:r>
      <w:r w:rsidRPr="00FD516E">
        <w:rPr>
          <w:snapToGrid w:val="0"/>
        </w:rPr>
        <w:lastRenderedPageBreak/>
        <w:t xml:space="preserve">of Si per cubic meter of LFG.  </w:t>
      </w:r>
    </w:p>
    <w:p w14:paraId="11D600A6" w14:textId="55A6198F" w:rsidR="0084361A" w:rsidRDefault="0084361A">
      <w:pPr>
        <w:numPr>
          <w:ilvl w:val="0"/>
          <w:numId w:val="37"/>
        </w:numPr>
        <w:autoSpaceDE/>
        <w:autoSpaceDN/>
        <w:adjustRightInd/>
        <w:rPr>
          <w:snapToGrid w:val="0"/>
        </w:rPr>
      </w:pPr>
      <w:r w:rsidRPr="00FD516E">
        <w:rPr>
          <w:snapToGrid w:val="0"/>
        </w:rPr>
        <w:t>Monthly hours of operation for the five (5) 3520C engines at the</w:t>
      </w:r>
      <w:r w:rsidR="00EA1CCD" w:rsidRPr="00FD516E">
        <w:rPr>
          <w:snapToGrid w:val="0"/>
        </w:rPr>
        <w:t xml:space="preserve"> LFGTE Operation</w:t>
      </w:r>
      <w:r w:rsidRPr="00FD516E">
        <w:rPr>
          <w:snapToGrid w:val="0"/>
        </w:rPr>
        <w:t xml:space="preserve"> recorded to the nearest tenth (0.1) hour.  </w:t>
      </w:r>
    </w:p>
    <w:p w14:paraId="602F5598" w14:textId="43137E96" w:rsidR="00604D26" w:rsidRPr="00FD516E" w:rsidRDefault="00604D26">
      <w:pPr>
        <w:numPr>
          <w:ilvl w:val="0"/>
          <w:numId w:val="37"/>
        </w:numPr>
        <w:autoSpaceDE/>
        <w:autoSpaceDN/>
        <w:adjustRightInd/>
        <w:rPr>
          <w:snapToGrid w:val="0"/>
        </w:rPr>
      </w:pPr>
      <w:bookmarkStart w:id="11" w:name="_Hlk499823478"/>
      <w:r>
        <w:rPr>
          <w:snapToGrid w:val="0"/>
        </w:rPr>
        <w:t xml:space="preserve">Recording monthly fuel usage in gallons in the non-road engine fleet at the Facility to the nearest gallon. </w:t>
      </w:r>
      <w:bookmarkEnd w:id="11"/>
      <w:r>
        <w:rPr>
          <w:snapToGrid w:val="0"/>
        </w:rPr>
        <w:t xml:space="preserve"> </w:t>
      </w:r>
    </w:p>
    <w:p w14:paraId="59E3986D" w14:textId="77777777" w:rsidR="0084361A" w:rsidRPr="00FD516E" w:rsidRDefault="0084361A">
      <w:pPr>
        <w:autoSpaceDE/>
        <w:autoSpaceDN/>
        <w:adjustRightInd/>
        <w:ind w:left="0" w:firstLine="0"/>
        <w:rPr>
          <w:snapToGrid w:val="0"/>
        </w:rPr>
      </w:pPr>
    </w:p>
    <w:p w14:paraId="780BC4D7" w14:textId="7528AB6A" w:rsidR="007226D2" w:rsidRPr="009F5E32" w:rsidRDefault="0084361A">
      <w:pPr>
        <w:pStyle w:val="ListParagraph"/>
        <w:ind w:left="0" w:firstLine="0"/>
      </w:pPr>
      <w:r w:rsidRPr="00FD516E">
        <w:rPr>
          <w:snapToGrid w:val="0"/>
        </w:rPr>
        <w:t xml:space="preserve">Concentrations of Si shall be measured before and after treatment in the siloxane removal system, and shall be measured </w:t>
      </w:r>
      <w:r w:rsidR="00133B3D">
        <w:rPr>
          <w:snapToGrid w:val="0"/>
        </w:rPr>
        <w:t>annually</w:t>
      </w:r>
      <w:r w:rsidRPr="00FD516E">
        <w:rPr>
          <w:snapToGrid w:val="0"/>
        </w:rPr>
        <w:t xml:space="preserve"> using sample collection and chemical analytical methods approved by the Agency</w:t>
      </w:r>
    </w:p>
    <w:p w14:paraId="59092FD4" w14:textId="77777777" w:rsidR="00A7325A" w:rsidRPr="009F5E32" w:rsidRDefault="00A7325A" w:rsidP="001D7FEC">
      <w:pPr>
        <w:pStyle w:val="ListParagraph"/>
        <w:ind w:left="0" w:firstLine="0"/>
      </w:pPr>
    </w:p>
    <w:p w14:paraId="4D29D7FF" w14:textId="401A8D67" w:rsidR="00F602CE" w:rsidRPr="00FD516E" w:rsidRDefault="00F602CE" w:rsidP="00F602CE">
      <w:pPr>
        <w:ind w:left="0" w:firstLine="0"/>
        <w:rPr>
          <w:b/>
          <w:u w:val="single"/>
        </w:rPr>
      </w:pPr>
      <w:r w:rsidRPr="00FD516E">
        <w:rPr>
          <w:b/>
          <w:u w:val="single"/>
        </w:rPr>
        <w:t>Condition (</w:t>
      </w:r>
      <w:r w:rsidR="00B2528E">
        <w:rPr>
          <w:b/>
          <w:u w:val="single"/>
        </w:rPr>
        <w:t>30</w:t>
      </w:r>
      <w:r w:rsidRPr="00FD516E">
        <w:rPr>
          <w:b/>
          <w:u w:val="single"/>
        </w:rPr>
        <w:t xml:space="preserve">) of </w:t>
      </w:r>
      <w:r w:rsidRPr="00FD516E">
        <w:rPr>
          <w:b/>
          <w:u w:val="single"/>
          <w:vertAlign w:val="superscript"/>
        </w:rPr>
        <w:t>#</w:t>
      </w:r>
      <w:r w:rsidRPr="00FD516E">
        <w:rPr>
          <w:b/>
          <w:u w:val="single"/>
        </w:rPr>
        <w:t>AOP-</w:t>
      </w:r>
      <w:r w:rsidR="007254B8" w:rsidRPr="00FD516E">
        <w:rPr>
          <w:b/>
          <w:u w:val="single"/>
        </w:rPr>
        <w:t>17</w:t>
      </w:r>
      <w:r w:rsidRPr="00FD516E">
        <w:rPr>
          <w:b/>
          <w:u w:val="single"/>
        </w:rPr>
        <w:t>-</w:t>
      </w:r>
      <w:r w:rsidR="007254B8" w:rsidRPr="00FD516E">
        <w:rPr>
          <w:b/>
          <w:u w:val="single"/>
        </w:rPr>
        <w:t xml:space="preserve">018 </w:t>
      </w:r>
      <w:r w:rsidRPr="00FD516E">
        <w:rPr>
          <w:b/>
          <w:u w:val="single"/>
        </w:rPr>
        <w:t>/ Condition (</w:t>
      </w:r>
      <w:r w:rsidR="00B2528E">
        <w:rPr>
          <w:b/>
          <w:u w:val="single"/>
        </w:rPr>
        <w:t>20</w:t>
      </w:r>
      <w:r w:rsidRPr="00FD516E">
        <w:rPr>
          <w:b/>
          <w:u w:val="single"/>
        </w:rPr>
        <w:t xml:space="preserve">) of </w:t>
      </w:r>
      <w:r w:rsidRPr="00FD516E">
        <w:rPr>
          <w:b/>
          <w:u w:val="single"/>
          <w:vertAlign w:val="superscript"/>
        </w:rPr>
        <w:t>#</w:t>
      </w:r>
      <w:r w:rsidRPr="00FD516E">
        <w:rPr>
          <w:b/>
          <w:u w:val="single"/>
        </w:rPr>
        <w:t>AOP-</w:t>
      </w:r>
      <w:r w:rsidR="007254B8" w:rsidRPr="00FD516E">
        <w:rPr>
          <w:b/>
          <w:u w:val="single"/>
        </w:rPr>
        <w:t>1</w:t>
      </w:r>
      <w:r w:rsidR="00497FB5" w:rsidRPr="00FD516E">
        <w:rPr>
          <w:b/>
          <w:u w:val="single"/>
        </w:rPr>
        <w:t>8</w:t>
      </w:r>
      <w:r w:rsidRPr="00FD516E">
        <w:rPr>
          <w:b/>
          <w:u w:val="single"/>
        </w:rPr>
        <w:t>-</w:t>
      </w:r>
      <w:r w:rsidR="00B06A19">
        <w:rPr>
          <w:b/>
          <w:u w:val="single"/>
        </w:rPr>
        <w:t>019</w:t>
      </w:r>
    </w:p>
    <w:p w14:paraId="26A66783" w14:textId="77777777" w:rsidR="00F602CE" w:rsidRPr="00FD516E" w:rsidRDefault="00F602CE" w:rsidP="00F602CE">
      <w:pPr>
        <w:ind w:left="0" w:firstLine="0"/>
        <w:rPr>
          <w:b/>
          <w:u w:val="single"/>
        </w:rPr>
      </w:pPr>
    </w:p>
    <w:p w14:paraId="234BB2E4" w14:textId="0F636C9D" w:rsidR="00C869DF" w:rsidRPr="00FD516E" w:rsidRDefault="00F602CE" w:rsidP="00C869DF">
      <w:pPr>
        <w:ind w:left="0" w:firstLine="0"/>
      </w:pPr>
      <w:r w:rsidRPr="00FD516E">
        <w:t xml:space="preserve">These Conditions were developed </w:t>
      </w:r>
      <w:r w:rsidR="00C869DF" w:rsidRPr="00FD516E">
        <w:t xml:space="preserve">to provide an enforceable restriction </w:t>
      </w:r>
      <w:r w:rsidR="007361A9" w:rsidRPr="00FD516E">
        <w:t xml:space="preserve">for </w:t>
      </w:r>
      <w:r w:rsidR="0061225D" w:rsidRPr="00FD516E">
        <w:t>the 50 ton</w:t>
      </w:r>
      <w:r w:rsidR="00332D89" w:rsidRPr="00FD516E">
        <w:t xml:space="preserve"> per </w:t>
      </w:r>
      <w:r w:rsidR="0061225D" w:rsidRPr="00FD516E">
        <w:t xml:space="preserve">year VOC emission limit </w:t>
      </w:r>
      <w:r w:rsidR="003867C0" w:rsidRPr="00FD516E">
        <w:t xml:space="preserve">established </w:t>
      </w:r>
      <w:r w:rsidR="00332D89" w:rsidRPr="00FD516E">
        <w:t>for the Facility</w:t>
      </w:r>
      <w:r w:rsidR="0061225D" w:rsidRPr="00FD516E">
        <w:t xml:space="preserve">.  </w:t>
      </w:r>
      <w:r w:rsidR="004357B8" w:rsidRPr="00FD516E">
        <w:t>VOCs are emitted by several sources at the Facility, including fugitive emissions from the Landfill, VOCs contained in collected LFG that are not destroyed by the</w:t>
      </w:r>
      <w:r w:rsidR="003867C0" w:rsidRPr="00FD516E">
        <w:t xml:space="preserve"> </w:t>
      </w:r>
      <w:r w:rsidR="004357B8" w:rsidRPr="00FD516E">
        <w:t>flares</w:t>
      </w:r>
      <w:r w:rsidR="002A2950" w:rsidRPr="00FD516E">
        <w:t xml:space="preserve"> and/or engines, and VOCs created as a result of incomplete combustion</w:t>
      </w:r>
      <w:r w:rsidR="003867C0" w:rsidRPr="00FD516E">
        <w:t xml:space="preserve"> in the engines</w:t>
      </w:r>
      <w:r w:rsidR="002A2950" w:rsidRPr="00FD516E">
        <w:t xml:space="preserve">. </w:t>
      </w:r>
      <w:r w:rsidR="004357B8" w:rsidRPr="00FD516E">
        <w:t xml:space="preserve"> </w:t>
      </w:r>
      <w:r w:rsidR="003638BC" w:rsidRPr="003638BC">
        <w:t xml:space="preserve">The contribution of </w:t>
      </w:r>
      <w:r w:rsidR="003638BC">
        <w:t>VOCs</w:t>
      </w:r>
      <w:r w:rsidR="003638BC" w:rsidRPr="003638BC">
        <w:t xml:space="preserve"> from non-road engine operation at the Facility was not included in this estimation, as the estimated emissions of </w:t>
      </w:r>
      <w:r w:rsidR="003638BC">
        <w:t>VOCs</w:t>
      </w:r>
      <w:r w:rsidR="003638BC" w:rsidRPr="003638BC">
        <w:t xml:space="preserve"> from non-road engine operation </w:t>
      </w:r>
      <w:r w:rsidR="003638BC">
        <w:t xml:space="preserve">using Tier 2 emission standards do not include any means of estimating VOCs, but rather include them in the NOx emission factor.  </w:t>
      </w:r>
    </w:p>
    <w:p w14:paraId="702DB379" w14:textId="77777777" w:rsidR="00C869DF" w:rsidRPr="00FD516E" w:rsidRDefault="00C869DF" w:rsidP="001D5633">
      <w:pPr>
        <w:ind w:left="0" w:firstLine="0"/>
      </w:pPr>
    </w:p>
    <w:p w14:paraId="2964CD65" w14:textId="07C3C36C" w:rsidR="002A2950" w:rsidRPr="00FD516E" w:rsidRDefault="00CE5AA7" w:rsidP="001D5633">
      <w:pPr>
        <w:ind w:left="0" w:firstLine="0"/>
      </w:pPr>
      <w:r w:rsidRPr="00FD516E">
        <w:t xml:space="preserve">It has been </w:t>
      </w:r>
      <w:r w:rsidR="00ED1AF6" w:rsidRPr="00FD516E">
        <w:t xml:space="preserve">assumed that </w:t>
      </w:r>
      <w:r w:rsidR="0061164B" w:rsidRPr="00FD516E">
        <w:t xml:space="preserve">the </w:t>
      </w:r>
      <w:r w:rsidR="00ED1AF6" w:rsidRPr="00FD516E">
        <w:t xml:space="preserve">cover and gas collection system at the </w:t>
      </w:r>
      <w:r w:rsidR="0061164B" w:rsidRPr="00FD516E">
        <w:t xml:space="preserve">Landfill has an 85 percent capture efficiency.  Thus, the total amount of captured LFG divided by </w:t>
      </w:r>
      <w:r w:rsidR="00ED1AF6" w:rsidRPr="00FD516E">
        <w:t>0.85 will equal the estimated total LFG generation from the Landfill, and 15 percent of the total LFG generation will be emitted as fugitive LFG.  Previous sampling and analysis of LFG indicated that VOC concentrations in LFG were 219 ppmv as hexane</w:t>
      </w:r>
      <w:r w:rsidR="00C85015" w:rsidRPr="00FD516E">
        <w:t xml:space="preserve"> (39% of the measured NMOC 561ppm)</w:t>
      </w:r>
      <w:r w:rsidR="00ED1AF6" w:rsidRPr="00FD516E">
        <w:t xml:space="preserve">, or 4.99E-05 lb VOC/scf LFG.  Accordingly, fugitive VOC emissions will be based on this VOC concentration, and the measured volume of collected LFG multiplied by (0.15/0.85) </w:t>
      </w:r>
    </w:p>
    <w:p w14:paraId="6774126E" w14:textId="77777777" w:rsidR="0061164B" w:rsidRPr="00FD516E" w:rsidRDefault="0061164B" w:rsidP="001D5633">
      <w:pPr>
        <w:ind w:left="0" w:firstLine="0"/>
      </w:pPr>
    </w:p>
    <w:p w14:paraId="5F693C03" w14:textId="785133AD" w:rsidR="0061164B" w:rsidRPr="00FD516E" w:rsidRDefault="0061164B" w:rsidP="001D5633">
      <w:pPr>
        <w:ind w:left="0" w:firstLine="0"/>
      </w:pPr>
      <w:r w:rsidRPr="00FD516E">
        <w:t xml:space="preserve">Combustion of LFG in the flares at the Facility is assumed to result in 98 percent destruction of any VOC compounds contained in the LFG.  Accordingly, </w:t>
      </w:r>
      <w:r w:rsidR="00B1455E" w:rsidRPr="00FD516E">
        <w:t>emissions of VOCs from the flare</w:t>
      </w:r>
      <w:r w:rsidRPr="00FD516E">
        <w:t xml:space="preserve"> will be based on the assumption that 2 percent of the 4.99E-05 lb VOC/scf</w:t>
      </w:r>
      <w:r w:rsidR="00094C57" w:rsidRPr="00FD516E">
        <w:t xml:space="preserve"> LFG</w:t>
      </w:r>
      <w:r w:rsidRPr="00FD516E">
        <w:t xml:space="preserve"> is emitted from LFG combustion in the flares.  </w:t>
      </w:r>
    </w:p>
    <w:p w14:paraId="4B5264EE" w14:textId="77777777" w:rsidR="0061164B" w:rsidRPr="00FD516E" w:rsidRDefault="0061164B" w:rsidP="001D5633">
      <w:pPr>
        <w:ind w:left="0" w:firstLine="0"/>
      </w:pPr>
    </w:p>
    <w:p w14:paraId="260462F6" w14:textId="1E293528" w:rsidR="00A7325A" w:rsidRPr="00FD516E" w:rsidRDefault="0061164B" w:rsidP="001D5633">
      <w:pPr>
        <w:ind w:left="0" w:firstLine="0"/>
      </w:pPr>
      <w:r w:rsidRPr="00FD516E">
        <w:t xml:space="preserve">Combustion of LFG in the </w:t>
      </w:r>
      <w:r w:rsidR="00A7238B" w:rsidRPr="00FD516E">
        <w:t xml:space="preserve">CAT </w:t>
      </w:r>
      <w:r w:rsidRPr="00FD516E">
        <w:t>3520C</w:t>
      </w:r>
      <w:r w:rsidR="00A7238B" w:rsidRPr="00FD516E">
        <w:t xml:space="preserve"> LE</w:t>
      </w:r>
      <w:r w:rsidRPr="00FD516E">
        <w:t xml:space="preserve"> engines at </w:t>
      </w:r>
      <w:r w:rsidR="00EA1CCD" w:rsidRPr="00FD516E">
        <w:t xml:space="preserve">the LFGTE Operation </w:t>
      </w:r>
      <w:r w:rsidRPr="00FD516E">
        <w:t>is more complex, in that VOCs</w:t>
      </w:r>
      <w:r w:rsidR="00094C57" w:rsidRPr="00FD516E">
        <w:t xml:space="preserve"> contained</w:t>
      </w:r>
      <w:r w:rsidRPr="00FD516E">
        <w:t xml:space="preserve"> in LFG are destroyed</w:t>
      </w:r>
      <w:r w:rsidR="00094C57" w:rsidRPr="00FD516E">
        <w:t xml:space="preserve"> by combustion</w:t>
      </w:r>
      <w:r w:rsidRPr="00FD516E">
        <w:t>, but VOCs (notably</w:t>
      </w:r>
      <w:r w:rsidR="000F1993" w:rsidRPr="00FD516E">
        <w:t xml:space="preserve"> acetaldehyde and</w:t>
      </w:r>
      <w:r w:rsidRPr="00FD516E">
        <w:t xml:space="preserve"> formaldehyde) are also created from incomplete combustion of methane in the LFG</w:t>
      </w:r>
      <w:r w:rsidR="00094C57" w:rsidRPr="00FD516E">
        <w:t xml:space="preserve">.  To estimate total VOC emissions from the engines, the Agency has determined that </w:t>
      </w:r>
      <w:r w:rsidR="00A7325A" w:rsidRPr="00FD516E">
        <w:t>combustion emissions of VOCs from the engines, exclusive of</w:t>
      </w:r>
      <w:r w:rsidR="000F1993" w:rsidRPr="00FD516E">
        <w:t xml:space="preserve"> acetaldehyde and</w:t>
      </w:r>
      <w:r w:rsidR="00A7325A" w:rsidRPr="00FD516E">
        <w:t xml:space="preserve"> formaldehyde </w:t>
      </w:r>
      <w:r w:rsidR="00CE5AA7" w:rsidRPr="00FD516E">
        <w:t>may be estimated as</w:t>
      </w:r>
      <w:r w:rsidR="00A7325A" w:rsidRPr="00FD516E">
        <w:t xml:space="preserve"> 39 percent of </w:t>
      </w:r>
      <w:r w:rsidR="00094C57" w:rsidRPr="00FD516E">
        <w:t xml:space="preserve">the </w:t>
      </w:r>
      <w:r w:rsidR="00A7325A" w:rsidRPr="00FD516E">
        <w:t xml:space="preserve">most recent </w:t>
      </w:r>
      <w:r w:rsidR="00094C57" w:rsidRPr="00FD516E">
        <w:t xml:space="preserve">measured value for NMOC emissions from stack testing of the </w:t>
      </w:r>
      <w:r w:rsidR="002D0237" w:rsidRPr="00FD516E">
        <w:t xml:space="preserve">CAT </w:t>
      </w:r>
      <w:r w:rsidR="00094C57" w:rsidRPr="00FD516E">
        <w:t xml:space="preserve">3520C LE engines at </w:t>
      </w:r>
      <w:r w:rsidR="00EA1CCD" w:rsidRPr="00FD516E">
        <w:t>the LFGTE Operation</w:t>
      </w:r>
      <w:r w:rsidR="00A7325A" w:rsidRPr="00FD516E">
        <w:t>.</w:t>
      </w:r>
      <w:r w:rsidR="00094C57" w:rsidRPr="00FD516E">
        <w:t xml:space="preserve">  To account for formaldehyde emissions, the formaldehyde emission factor of 5.28E-02 lb/MMBtu of heat input was obtained from AP-42, </w:t>
      </w:r>
      <w:r w:rsidR="00094C57" w:rsidRPr="00FD516E">
        <w:rPr>
          <w:i/>
        </w:rPr>
        <w:t>Chapter 3:  Stationary Internal Combustion Sources, Section 3.2, Natural Gas-fired Reciprocating Engines, Table 3.2-2 Uncontrolled Emission Factors for 4-Stroke Lean-Burn Engines, (Supplement F, August 2000).</w:t>
      </w:r>
      <w:r w:rsidR="00094C57" w:rsidRPr="00FD516E">
        <w:t xml:space="preserve">  Assuming a fuel heat value of 500 Btu/scf, and an LFG supply rate to each engine of 507.5 scf of LFG results in </w:t>
      </w:r>
      <w:r w:rsidR="000F1993" w:rsidRPr="00FD516E">
        <w:t xml:space="preserve">the originally </w:t>
      </w:r>
      <w:r w:rsidR="00094C57" w:rsidRPr="00FD516E">
        <w:t xml:space="preserve">estimated emission factor for formaldehyde of 0.164 g/bhp-hr.  </w:t>
      </w:r>
      <w:r w:rsidR="000F1993" w:rsidRPr="00FD516E">
        <w:t xml:space="preserve">Emission of acetaldehyde were assumed to be </w:t>
      </w:r>
      <w:r w:rsidR="008F657C">
        <w:t xml:space="preserve">a </w:t>
      </w:r>
      <w:r w:rsidR="000F1993" w:rsidRPr="00FD516E">
        <w:t>negligible</w:t>
      </w:r>
      <w:r w:rsidR="008F657C">
        <w:t xml:space="preserve"> component of overall facility VOC emissions</w:t>
      </w:r>
      <w:r w:rsidR="000F1993" w:rsidRPr="00FD516E">
        <w:t xml:space="preserve">.  </w:t>
      </w:r>
    </w:p>
    <w:p w14:paraId="0DDBB73C" w14:textId="77777777" w:rsidR="00A7325A" w:rsidRPr="00FB2520" w:rsidRDefault="00A7325A" w:rsidP="001D5633">
      <w:pPr>
        <w:ind w:left="0" w:firstLine="0"/>
        <w:rPr>
          <w:sz w:val="20"/>
        </w:rPr>
      </w:pPr>
    </w:p>
    <w:p w14:paraId="2A841A23" w14:textId="132862FA" w:rsidR="0061164B" w:rsidRPr="00FD516E" w:rsidRDefault="009257D5" w:rsidP="001D5633">
      <w:pPr>
        <w:ind w:left="0" w:firstLine="0"/>
      </w:pPr>
      <w:r w:rsidRPr="00FD516E">
        <w:lastRenderedPageBreak/>
        <w:t xml:space="preserve">Stack testing </w:t>
      </w:r>
      <w:r w:rsidR="000F1993" w:rsidRPr="00FD516E">
        <w:t>was performed</w:t>
      </w:r>
      <w:r w:rsidRPr="00FD516E">
        <w:t xml:space="preserve"> to assess if </w:t>
      </w:r>
      <w:r w:rsidR="000F1993" w:rsidRPr="00FD516E">
        <w:t xml:space="preserve">the estimated emission factors for acetaldehyde and </w:t>
      </w:r>
      <w:r w:rsidRPr="00FD516E">
        <w:t xml:space="preserve">formaldehyde </w:t>
      </w:r>
      <w:r w:rsidR="000F1993" w:rsidRPr="00FD516E">
        <w:t>were</w:t>
      </w:r>
      <w:r w:rsidRPr="00FD516E">
        <w:t xml:space="preserve"> appropriate</w:t>
      </w:r>
      <w:r w:rsidR="00A7325A" w:rsidRPr="00FD516E">
        <w:t xml:space="preserve">.  The </w:t>
      </w:r>
      <w:r w:rsidRPr="00FD516E">
        <w:t>emissions factor for compliance will be adjusted</w:t>
      </w:r>
      <w:r w:rsidR="00A7325A" w:rsidRPr="00FD516E">
        <w:t>, at the discretion of the Agency, to either the factor estimated as described above, or to the</w:t>
      </w:r>
      <w:r w:rsidRPr="00FD516E">
        <w:t xml:space="preserve"> stack test result</w:t>
      </w:r>
      <w:r w:rsidR="00A7325A" w:rsidRPr="00FD516E">
        <w:t xml:space="preserve"> obtained from emissions testing required as part of </w:t>
      </w:r>
      <w:r w:rsidR="00A7325A" w:rsidRPr="00FD516E">
        <w:rPr>
          <w:vertAlign w:val="superscript"/>
        </w:rPr>
        <w:t>#</w:t>
      </w:r>
      <w:r w:rsidR="00A7325A" w:rsidRPr="00FD516E">
        <w:t>AOP-15-032</w:t>
      </w:r>
      <w:r w:rsidRPr="00FD516E">
        <w:t xml:space="preserve">. </w:t>
      </w:r>
      <w:r w:rsidR="0061164B" w:rsidRPr="00FD516E">
        <w:t xml:space="preserve"> </w:t>
      </w:r>
    </w:p>
    <w:p w14:paraId="28EB6BD6" w14:textId="77777777" w:rsidR="0061164B" w:rsidRPr="00FD516E" w:rsidRDefault="0061164B" w:rsidP="001D5633">
      <w:pPr>
        <w:ind w:left="0" w:firstLine="0"/>
      </w:pPr>
      <w:bookmarkStart w:id="12" w:name="_GoBack"/>
    </w:p>
    <w:bookmarkEnd w:id="12"/>
    <w:p w14:paraId="653B9531" w14:textId="79486E79" w:rsidR="0061164B" w:rsidRPr="00FD516E" w:rsidRDefault="00536208" w:rsidP="001D5633">
      <w:pPr>
        <w:ind w:left="0" w:firstLine="0"/>
      </w:pPr>
      <w:r w:rsidRPr="00FD516E">
        <w:t>Total Facility emissions of VOCs will be the sum of fugitive VOC emissions, VOC emission</w:t>
      </w:r>
      <w:r w:rsidR="00CE5AA7" w:rsidRPr="00FD516E">
        <w:t>s</w:t>
      </w:r>
      <w:r w:rsidRPr="00FD516E">
        <w:t xml:space="preserve"> from the flares, and VOC emissions from the </w:t>
      </w:r>
      <w:r w:rsidR="002D0237" w:rsidRPr="00FD516E">
        <w:t xml:space="preserve">CAT </w:t>
      </w:r>
      <w:r w:rsidRPr="00FD516E">
        <w:t xml:space="preserve">3520C engines.  The equations used to calculate total VOC emissions are as follows:  </w:t>
      </w:r>
    </w:p>
    <w:p w14:paraId="6BAA9778" w14:textId="77777777" w:rsidR="00536208" w:rsidRPr="00FD516E" w:rsidRDefault="00536208" w:rsidP="001D5633">
      <w:pPr>
        <w:ind w:left="0" w:firstLine="0"/>
      </w:pPr>
    </w:p>
    <w:p w14:paraId="096286DE" w14:textId="77777777" w:rsidR="00332D89" w:rsidRPr="00FD516E" w:rsidRDefault="00332D89" w:rsidP="00332D89">
      <w:pPr>
        <w:autoSpaceDE/>
        <w:autoSpaceDN/>
        <w:adjustRightInd/>
        <w:ind w:left="720" w:firstLine="0"/>
        <w:rPr>
          <w:snapToGrid w:val="0"/>
        </w:rPr>
      </w:pPr>
      <w:r w:rsidRPr="00FD516E">
        <w:rPr>
          <w:snapToGrid w:val="0"/>
        </w:rPr>
        <w:t>The quantity of VOC emissions from the Facility shall be determined on a monthly basis in accordance with the following formulae:</w:t>
      </w:r>
    </w:p>
    <w:p w14:paraId="23DCB82F" w14:textId="77777777" w:rsidR="00332D89" w:rsidRPr="00FD516E" w:rsidRDefault="00332D89" w:rsidP="00332D89">
      <w:pPr>
        <w:autoSpaceDE/>
        <w:autoSpaceDN/>
        <w:adjustRightInd/>
        <w:ind w:left="0" w:firstLine="0"/>
        <w:rPr>
          <w:snapToGrid w:val="0"/>
        </w:rPr>
      </w:pPr>
    </w:p>
    <w:p w14:paraId="6592AC21" w14:textId="77777777" w:rsidR="00332D89" w:rsidRPr="00FD516E" w:rsidRDefault="00332D89" w:rsidP="00332D89">
      <w:pPr>
        <w:autoSpaceDE/>
        <w:autoSpaceDN/>
        <w:adjustRightInd/>
        <w:ind w:left="1440" w:hanging="720"/>
        <w:rPr>
          <w:snapToGrid w:val="0"/>
        </w:rPr>
      </w:pPr>
      <w:r w:rsidRPr="00FD516E">
        <w:rPr>
          <w:snapToGrid w:val="0"/>
        </w:rPr>
        <w:t>Equation 1:  VOC</w:t>
      </w:r>
      <w:r w:rsidRPr="00FD516E">
        <w:rPr>
          <w:snapToGrid w:val="0"/>
          <w:vertAlign w:val="subscript"/>
        </w:rPr>
        <w:t xml:space="preserve"> total</w:t>
      </w:r>
      <w:r w:rsidRPr="00FD516E">
        <w:rPr>
          <w:snapToGrid w:val="0"/>
        </w:rPr>
        <w:t xml:space="preserve"> = VOC </w:t>
      </w:r>
      <w:r w:rsidRPr="00FD516E">
        <w:rPr>
          <w:snapToGrid w:val="0"/>
          <w:vertAlign w:val="subscript"/>
        </w:rPr>
        <w:t>fugitive</w:t>
      </w:r>
      <w:r w:rsidRPr="00FD516E">
        <w:rPr>
          <w:snapToGrid w:val="0"/>
        </w:rPr>
        <w:t xml:space="preserve"> + VOC</w:t>
      </w:r>
      <w:r w:rsidRPr="00FD516E">
        <w:rPr>
          <w:snapToGrid w:val="0"/>
          <w:vertAlign w:val="subscript"/>
        </w:rPr>
        <w:t xml:space="preserve"> flares</w:t>
      </w:r>
      <w:r w:rsidRPr="00FD516E">
        <w:rPr>
          <w:snapToGrid w:val="0"/>
        </w:rPr>
        <w:t xml:space="preserve"> + VOC </w:t>
      </w:r>
      <w:r w:rsidRPr="00FD516E">
        <w:rPr>
          <w:snapToGrid w:val="0"/>
          <w:vertAlign w:val="subscript"/>
        </w:rPr>
        <w:t>engine combustion</w:t>
      </w:r>
    </w:p>
    <w:p w14:paraId="46E24BA6" w14:textId="77777777" w:rsidR="00332D89" w:rsidRPr="00FD516E" w:rsidRDefault="00332D89" w:rsidP="00332D89">
      <w:pPr>
        <w:autoSpaceDE/>
        <w:autoSpaceDN/>
        <w:adjustRightInd/>
        <w:ind w:left="1368" w:hanging="1368"/>
        <w:rPr>
          <w:snapToGrid w:val="0"/>
        </w:rPr>
      </w:pPr>
    </w:p>
    <w:p w14:paraId="727CFB17" w14:textId="77777777" w:rsidR="00332D89" w:rsidRPr="00FD516E" w:rsidRDefault="00332D89" w:rsidP="00332D89">
      <w:pPr>
        <w:autoSpaceDE/>
        <w:autoSpaceDN/>
        <w:adjustRightInd/>
        <w:ind w:left="2088" w:hanging="1368"/>
        <w:rPr>
          <w:snapToGrid w:val="0"/>
        </w:rPr>
      </w:pPr>
      <w:r w:rsidRPr="00FD516E">
        <w:rPr>
          <w:snapToGrid w:val="0"/>
        </w:rPr>
        <w:t xml:space="preserve">Equation 2:  LFG </w:t>
      </w:r>
      <w:r w:rsidRPr="00FD516E">
        <w:rPr>
          <w:snapToGrid w:val="0"/>
          <w:vertAlign w:val="subscript"/>
        </w:rPr>
        <w:t>fugitive</w:t>
      </w:r>
      <w:r w:rsidRPr="00FD516E">
        <w:rPr>
          <w:snapToGrid w:val="0"/>
        </w:rPr>
        <w:t xml:space="preserve"> = [LFG </w:t>
      </w:r>
      <w:r w:rsidRPr="00FD516E">
        <w:rPr>
          <w:snapToGrid w:val="0"/>
          <w:vertAlign w:val="subscript"/>
        </w:rPr>
        <w:t>month</w:t>
      </w:r>
      <w:r w:rsidRPr="00FD516E">
        <w:rPr>
          <w:snapToGrid w:val="0"/>
        </w:rPr>
        <w:t xml:space="preserve"> / Percent Capture Efficiency]*[1 - Percent Capture Efficiency]</w:t>
      </w:r>
    </w:p>
    <w:p w14:paraId="3FB98EC0" w14:textId="77777777" w:rsidR="00332D89" w:rsidRPr="00FD516E" w:rsidRDefault="00332D89" w:rsidP="00332D89">
      <w:pPr>
        <w:autoSpaceDE/>
        <w:autoSpaceDN/>
        <w:adjustRightInd/>
        <w:ind w:left="2088" w:hanging="1368"/>
        <w:rPr>
          <w:snapToGrid w:val="0"/>
        </w:rPr>
      </w:pPr>
      <w:r w:rsidRPr="00FD516E">
        <w:rPr>
          <w:snapToGrid w:val="0"/>
        </w:rPr>
        <w:t xml:space="preserve">Equation 3:  VOC </w:t>
      </w:r>
      <w:r w:rsidRPr="00FD516E">
        <w:rPr>
          <w:snapToGrid w:val="0"/>
          <w:vertAlign w:val="subscript"/>
        </w:rPr>
        <w:t>fugitive</w:t>
      </w:r>
      <w:r w:rsidRPr="00FD516E">
        <w:rPr>
          <w:snapToGrid w:val="0"/>
        </w:rPr>
        <w:t xml:space="preserve"> = [LFG</w:t>
      </w:r>
      <w:r w:rsidRPr="00FD516E">
        <w:rPr>
          <w:snapToGrid w:val="0"/>
          <w:vertAlign w:val="subscript"/>
        </w:rPr>
        <w:t xml:space="preserve"> fugitive</w:t>
      </w:r>
      <w:r w:rsidRPr="00FD516E">
        <w:rPr>
          <w:snapToGrid w:val="0"/>
        </w:rPr>
        <w:t>]*[4.99E-5 lb VOC/scf LFG]*[1 ton/2,000 pounds]</w:t>
      </w:r>
    </w:p>
    <w:p w14:paraId="4CA63D15" w14:textId="77777777" w:rsidR="00332D89" w:rsidRPr="00FB2520" w:rsidRDefault="00332D89" w:rsidP="00332D89">
      <w:pPr>
        <w:autoSpaceDE/>
        <w:autoSpaceDN/>
        <w:adjustRightInd/>
        <w:ind w:left="1368" w:hanging="1368"/>
        <w:rPr>
          <w:snapToGrid w:val="0"/>
          <w:sz w:val="20"/>
        </w:rPr>
      </w:pPr>
    </w:p>
    <w:p w14:paraId="20822699" w14:textId="77777777" w:rsidR="00332D89" w:rsidRPr="00FD516E" w:rsidRDefault="00332D89" w:rsidP="00332D89">
      <w:pPr>
        <w:autoSpaceDE/>
        <w:autoSpaceDN/>
        <w:adjustRightInd/>
        <w:ind w:left="2160" w:hanging="720"/>
        <w:rPr>
          <w:snapToGrid w:val="0"/>
        </w:rPr>
      </w:pPr>
      <w:r w:rsidRPr="00FD516E">
        <w:rPr>
          <w:snapToGrid w:val="0"/>
        </w:rPr>
        <w:t>Where:</w:t>
      </w:r>
    </w:p>
    <w:p w14:paraId="3C0F7880" w14:textId="77777777" w:rsidR="00332D89" w:rsidRPr="00FB2520" w:rsidRDefault="00332D89" w:rsidP="00332D89">
      <w:pPr>
        <w:autoSpaceDE/>
        <w:autoSpaceDN/>
        <w:adjustRightInd/>
        <w:ind w:left="720" w:hanging="720"/>
        <w:rPr>
          <w:snapToGrid w:val="0"/>
          <w:sz w:val="20"/>
        </w:rPr>
      </w:pPr>
    </w:p>
    <w:p w14:paraId="388E93D4" w14:textId="77777777" w:rsidR="00332D89" w:rsidRPr="00FD516E" w:rsidRDefault="00332D89" w:rsidP="00332D89">
      <w:pPr>
        <w:autoSpaceDE/>
        <w:autoSpaceDN/>
        <w:adjustRightInd/>
        <w:ind w:left="2664" w:hanging="1224"/>
        <w:rPr>
          <w:snapToGrid w:val="0"/>
        </w:rPr>
      </w:pPr>
      <w:r w:rsidRPr="00FD516E">
        <w:rPr>
          <w:snapToGrid w:val="0"/>
        </w:rPr>
        <w:t xml:space="preserve">LFG </w:t>
      </w:r>
      <w:r w:rsidRPr="00FD516E">
        <w:rPr>
          <w:snapToGrid w:val="0"/>
          <w:vertAlign w:val="subscript"/>
        </w:rPr>
        <w:t>month</w:t>
      </w:r>
      <w:r w:rsidRPr="00FD516E">
        <w:rPr>
          <w:snapToGrid w:val="0"/>
        </w:rPr>
        <w:t xml:space="preserve"> = The total collected LFG flow in scf delivered to all combustion devices at the Facility in that month</w:t>
      </w:r>
    </w:p>
    <w:p w14:paraId="50C9F0E0" w14:textId="77777777" w:rsidR="00332D89" w:rsidRPr="00FD516E" w:rsidRDefault="00332D89" w:rsidP="00332D89">
      <w:pPr>
        <w:autoSpaceDE/>
        <w:autoSpaceDN/>
        <w:adjustRightInd/>
        <w:ind w:left="2664" w:hanging="1224"/>
        <w:rPr>
          <w:snapToGrid w:val="0"/>
        </w:rPr>
      </w:pPr>
      <w:r w:rsidRPr="00FD516E">
        <w:rPr>
          <w:snapToGrid w:val="0"/>
        </w:rPr>
        <w:t xml:space="preserve">LFG </w:t>
      </w:r>
      <w:r w:rsidRPr="00FD516E">
        <w:rPr>
          <w:snapToGrid w:val="0"/>
          <w:vertAlign w:val="subscript"/>
        </w:rPr>
        <w:t>fugitive</w:t>
      </w:r>
      <w:r w:rsidRPr="00FD516E">
        <w:rPr>
          <w:snapToGrid w:val="0"/>
        </w:rPr>
        <w:t xml:space="preserve"> = The total fugitive LFG emitted from the Facility in that month</w:t>
      </w:r>
    </w:p>
    <w:p w14:paraId="6E2A9870" w14:textId="77777777" w:rsidR="00332D89" w:rsidRPr="00FD516E" w:rsidRDefault="00332D89" w:rsidP="00332D89">
      <w:pPr>
        <w:autoSpaceDE/>
        <w:autoSpaceDN/>
        <w:adjustRightInd/>
        <w:ind w:left="2160" w:hanging="720"/>
        <w:rPr>
          <w:snapToGrid w:val="0"/>
        </w:rPr>
      </w:pPr>
      <w:r w:rsidRPr="00FD516E">
        <w:rPr>
          <w:snapToGrid w:val="0"/>
        </w:rPr>
        <w:t xml:space="preserve">Percent Capture Efficiency = 0.85 </w:t>
      </w:r>
    </w:p>
    <w:p w14:paraId="7327036F" w14:textId="77777777" w:rsidR="00332D89" w:rsidRPr="00FD516E" w:rsidRDefault="00332D89" w:rsidP="00332D89">
      <w:pPr>
        <w:autoSpaceDE/>
        <w:autoSpaceDN/>
        <w:adjustRightInd/>
        <w:ind w:left="2160" w:hanging="720"/>
        <w:rPr>
          <w:snapToGrid w:val="0"/>
        </w:rPr>
      </w:pPr>
      <w:r w:rsidRPr="00FD516E">
        <w:rPr>
          <w:snapToGrid w:val="0"/>
        </w:rPr>
        <w:t>Percent Fugitive Emissions = [1 - Percent Capture Efficiency]</w:t>
      </w:r>
    </w:p>
    <w:p w14:paraId="3ABBB82E" w14:textId="77777777" w:rsidR="00332D89" w:rsidRPr="00FD516E" w:rsidRDefault="00332D89" w:rsidP="00332D89">
      <w:pPr>
        <w:autoSpaceDE/>
        <w:autoSpaceDN/>
        <w:adjustRightInd/>
        <w:ind w:left="2160" w:hanging="720"/>
        <w:rPr>
          <w:snapToGrid w:val="0"/>
        </w:rPr>
      </w:pPr>
      <w:r w:rsidRPr="00FD516E">
        <w:rPr>
          <w:snapToGrid w:val="0"/>
        </w:rPr>
        <w:t>Percent capture efficiency is expressed as a decimal equivalent (i.e. 85% = 0.85)</w:t>
      </w:r>
    </w:p>
    <w:p w14:paraId="4E95841E" w14:textId="77777777" w:rsidR="00332D89" w:rsidRPr="00FB2520" w:rsidRDefault="00332D89" w:rsidP="00332D89">
      <w:pPr>
        <w:autoSpaceDE/>
        <w:autoSpaceDN/>
        <w:adjustRightInd/>
        <w:ind w:left="720" w:hanging="720"/>
        <w:rPr>
          <w:snapToGrid w:val="0"/>
          <w:sz w:val="20"/>
        </w:rPr>
      </w:pPr>
    </w:p>
    <w:p w14:paraId="58FA50B5" w14:textId="77777777" w:rsidR="00332D89" w:rsidRPr="00FD516E" w:rsidRDefault="00332D89" w:rsidP="00332D89">
      <w:pPr>
        <w:autoSpaceDE/>
        <w:autoSpaceDN/>
        <w:adjustRightInd/>
        <w:ind w:left="1440" w:hanging="720"/>
        <w:rPr>
          <w:snapToGrid w:val="0"/>
        </w:rPr>
      </w:pPr>
      <w:r w:rsidRPr="00FD516E">
        <w:rPr>
          <w:snapToGrid w:val="0"/>
        </w:rPr>
        <w:t xml:space="preserve">Equation 4:  VOC </w:t>
      </w:r>
      <w:r w:rsidRPr="00FD516E">
        <w:rPr>
          <w:snapToGrid w:val="0"/>
          <w:vertAlign w:val="subscript"/>
        </w:rPr>
        <w:t>flares</w:t>
      </w:r>
      <w:r w:rsidRPr="00FD516E">
        <w:rPr>
          <w:snapToGrid w:val="0"/>
        </w:rPr>
        <w:t xml:space="preserve"> = [LFG flow in scf delivered to </w:t>
      </w:r>
      <w:proofErr w:type="gramStart"/>
      <w:r w:rsidRPr="00FD516E">
        <w:rPr>
          <w:snapToGrid w:val="0"/>
        </w:rPr>
        <w:t>flares]*</w:t>
      </w:r>
      <w:proofErr w:type="gramEnd"/>
      <w:r w:rsidRPr="00FD516E">
        <w:rPr>
          <w:snapToGrid w:val="0"/>
        </w:rPr>
        <w:t>[4.99E-5 lb VOC/scf LFG]</w:t>
      </w:r>
    </w:p>
    <w:p w14:paraId="15F7197B" w14:textId="77777777" w:rsidR="00332D89" w:rsidRPr="00FD516E" w:rsidRDefault="00332D89" w:rsidP="00332D89">
      <w:pPr>
        <w:autoSpaceDE/>
        <w:autoSpaceDN/>
        <w:adjustRightInd/>
        <w:ind w:left="3096" w:firstLine="0"/>
        <w:rPr>
          <w:snapToGrid w:val="0"/>
        </w:rPr>
      </w:pPr>
      <w:r w:rsidRPr="00FD516E">
        <w:rPr>
          <w:snapToGrid w:val="0"/>
        </w:rPr>
        <w:t>*[1-Destruction Efficiency]*[1 ton/2,000 pounds]</w:t>
      </w:r>
    </w:p>
    <w:p w14:paraId="43994279" w14:textId="77777777" w:rsidR="00332D89" w:rsidRPr="00FB2520" w:rsidRDefault="00332D89" w:rsidP="00332D89">
      <w:pPr>
        <w:autoSpaceDE/>
        <w:autoSpaceDN/>
        <w:adjustRightInd/>
        <w:ind w:left="720" w:hanging="720"/>
        <w:rPr>
          <w:snapToGrid w:val="0"/>
          <w:sz w:val="20"/>
        </w:rPr>
      </w:pPr>
    </w:p>
    <w:p w14:paraId="6997FE09" w14:textId="77777777" w:rsidR="00332D89" w:rsidRPr="00FD516E" w:rsidRDefault="00332D89" w:rsidP="00332D89">
      <w:pPr>
        <w:autoSpaceDE/>
        <w:autoSpaceDN/>
        <w:adjustRightInd/>
        <w:ind w:left="1440" w:hanging="720"/>
        <w:rPr>
          <w:snapToGrid w:val="0"/>
        </w:rPr>
      </w:pPr>
      <w:r w:rsidRPr="00FD516E">
        <w:rPr>
          <w:snapToGrid w:val="0"/>
        </w:rPr>
        <w:t>Where:</w:t>
      </w:r>
    </w:p>
    <w:p w14:paraId="06F9968F" w14:textId="77777777" w:rsidR="00332D89" w:rsidRPr="00FD516E" w:rsidRDefault="00332D89" w:rsidP="00332D89">
      <w:pPr>
        <w:autoSpaceDE/>
        <w:autoSpaceDN/>
        <w:adjustRightInd/>
        <w:ind w:left="2160" w:hanging="720"/>
        <w:rPr>
          <w:snapToGrid w:val="0"/>
        </w:rPr>
      </w:pPr>
      <w:r w:rsidRPr="00FD516E">
        <w:rPr>
          <w:snapToGrid w:val="0"/>
        </w:rPr>
        <w:t xml:space="preserve">Destruction Efficiency = 0.98 </w:t>
      </w:r>
    </w:p>
    <w:p w14:paraId="3011A605" w14:textId="77777777" w:rsidR="00332D89" w:rsidRPr="00FD516E" w:rsidRDefault="00332D89" w:rsidP="00332D89">
      <w:pPr>
        <w:autoSpaceDE/>
        <w:autoSpaceDN/>
        <w:adjustRightInd/>
        <w:ind w:left="2160" w:hanging="720"/>
        <w:rPr>
          <w:snapToGrid w:val="0"/>
        </w:rPr>
      </w:pPr>
      <w:r w:rsidRPr="00FD516E">
        <w:rPr>
          <w:snapToGrid w:val="0"/>
        </w:rPr>
        <w:t>Percent destruction efficiency is expressed as a decimal equivalent (i.e. 98% = 0.98)</w:t>
      </w:r>
    </w:p>
    <w:p w14:paraId="301ADEE4" w14:textId="77777777" w:rsidR="00332D89" w:rsidRPr="00FB2520" w:rsidRDefault="00332D89" w:rsidP="00332D89">
      <w:pPr>
        <w:autoSpaceDE/>
        <w:autoSpaceDN/>
        <w:adjustRightInd/>
        <w:ind w:left="720" w:hanging="720"/>
        <w:rPr>
          <w:snapToGrid w:val="0"/>
          <w:sz w:val="20"/>
        </w:rPr>
      </w:pPr>
    </w:p>
    <w:p w14:paraId="11E598D6" w14:textId="77777777" w:rsidR="00332D89" w:rsidRPr="00FD516E" w:rsidRDefault="00332D89" w:rsidP="00332D89">
      <w:pPr>
        <w:autoSpaceDE/>
        <w:autoSpaceDN/>
        <w:adjustRightInd/>
        <w:ind w:left="2160" w:hanging="1440"/>
        <w:rPr>
          <w:snapToGrid w:val="0"/>
        </w:rPr>
      </w:pPr>
      <w:r w:rsidRPr="00FD516E">
        <w:rPr>
          <w:snapToGrid w:val="0"/>
        </w:rPr>
        <w:t xml:space="preserve">Equation 5:  VOC </w:t>
      </w:r>
      <w:r w:rsidRPr="00FD516E">
        <w:rPr>
          <w:snapToGrid w:val="0"/>
          <w:vertAlign w:val="subscript"/>
        </w:rPr>
        <w:t>engine combustion</w:t>
      </w:r>
      <w:r w:rsidRPr="00FD516E">
        <w:rPr>
          <w:snapToGrid w:val="0"/>
        </w:rPr>
        <w:t xml:space="preserve"> = [Total Engine Operating Hours*Engine Horsepower] * [Capacity Factor] * [VOC Emission Factor] * [1 lb/453.59 g] *[1 ton/2,000 pounds]</w:t>
      </w:r>
    </w:p>
    <w:p w14:paraId="30251293" w14:textId="77777777" w:rsidR="00332D89" w:rsidRPr="00FB2520" w:rsidRDefault="00332D89" w:rsidP="00332D89">
      <w:pPr>
        <w:autoSpaceDE/>
        <w:autoSpaceDN/>
        <w:adjustRightInd/>
        <w:ind w:left="720" w:hanging="720"/>
        <w:rPr>
          <w:snapToGrid w:val="0"/>
          <w:sz w:val="20"/>
        </w:rPr>
      </w:pPr>
    </w:p>
    <w:p w14:paraId="19465A29" w14:textId="77777777" w:rsidR="00332D89" w:rsidRPr="00FD516E" w:rsidRDefault="00332D89" w:rsidP="00332D89">
      <w:pPr>
        <w:autoSpaceDE/>
        <w:autoSpaceDN/>
        <w:adjustRightInd/>
        <w:ind w:left="1440" w:hanging="720"/>
        <w:rPr>
          <w:snapToGrid w:val="0"/>
        </w:rPr>
      </w:pPr>
      <w:r w:rsidRPr="00FD516E">
        <w:rPr>
          <w:snapToGrid w:val="0"/>
        </w:rPr>
        <w:t>Where:</w:t>
      </w:r>
    </w:p>
    <w:p w14:paraId="3AFD98AF" w14:textId="77777777" w:rsidR="00332D89" w:rsidRPr="00FB2520" w:rsidRDefault="00332D89" w:rsidP="00332D89">
      <w:pPr>
        <w:autoSpaceDE/>
        <w:autoSpaceDN/>
        <w:adjustRightInd/>
        <w:ind w:left="720" w:hanging="720"/>
        <w:rPr>
          <w:snapToGrid w:val="0"/>
          <w:sz w:val="20"/>
        </w:rPr>
      </w:pPr>
    </w:p>
    <w:p w14:paraId="2DD7377C" w14:textId="683B6307" w:rsidR="00332D89" w:rsidRPr="00FD516E" w:rsidRDefault="00332D89" w:rsidP="00332D89">
      <w:pPr>
        <w:autoSpaceDE/>
        <w:autoSpaceDN/>
        <w:adjustRightInd/>
        <w:ind w:left="3744" w:hanging="2304"/>
        <w:rPr>
          <w:snapToGrid w:val="0"/>
        </w:rPr>
      </w:pPr>
      <w:r w:rsidRPr="00FD516E">
        <w:rPr>
          <w:snapToGrid w:val="0"/>
        </w:rPr>
        <w:t xml:space="preserve">Total Engine Operating Hours = The total operating hours for all 3520C engines at the </w:t>
      </w:r>
      <w:r w:rsidR="00EA1CCD" w:rsidRPr="00FD516E">
        <w:rPr>
          <w:snapToGrid w:val="0"/>
        </w:rPr>
        <w:t xml:space="preserve">LFGTE Operation </w:t>
      </w:r>
      <w:r w:rsidRPr="00FD516E">
        <w:rPr>
          <w:snapToGrid w:val="0"/>
        </w:rPr>
        <w:t>in that month.</w:t>
      </w:r>
    </w:p>
    <w:p w14:paraId="34785595" w14:textId="77777777" w:rsidR="00332D89" w:rsidRPr="00FD516E" w:rsidRDefault="00332D89" w:rsidP="00332D89">
      <w:pPr>
        <w:autoSpaceDE/>
        <w:autoSpaceDN/>
        <w:adjustRightInd/>
        <w:ind w:left="2160" w:hanging="720"/>
        <w:rPr>
          <w:snapToGrid w:val="0"/>
        </w:rPr>
      </w:pPr>
      <w:r w:rsidRPr="00FD516E">
        <w:rPr>
          <w:snapToGrid w:val="0"/>
        </w:rPr>
        <w:t>Engine Horsepower = Rated output of a 3520C engine, or 2,221 bhp</w:t>
      </w:r>
    </w:p>
    <w:p w14:paraId="0777FE30" w14:textId="2406AECD" w:rsidR="00332D89" w:rsidRPr="00FD516E" w:rsidRDefault="00332D89" w:rsidP="00332D89">
      <w:pPr>
        <w:autoSpaceDE/>
        <w:autoSpaceDN/>
        <w:adjustRightInd/>
        <w:ind w:left="2160" w:hanging="720"/>
        <w:rPr>
          <w:snapToGrid w:val="0"/>
          <w:vertAlign w:val="subscript"/>
        </w:rPr>
      </w:pPr>
      <w:r w:rsidRPr="00FD516E">
        <w:rPr>
          <w:snapToGrid w:val="0"/>
        </w:rPr>
        <w:t xml:space="preserve">Capacity Factor = Measured electrical output in MW of all 3520C engines at </w:t>
      </w:r>
      <w:r w:rsidR="00EA1CCD" w:rsidRPr="00FD516E">
        <w:rPr>
          <w:snapToGrid w:val="0"/>
        </w:rPr>
        <w:t xml:space="preserve">the LFGTE Operation </w:t>
      </w:r>
      <w:r w:rsidRPr="00FD516E">
        <w:rPr>
          <w:snapToGrid w:val="0"/>
        </w:rPr>
        <w:t xml:space="preserve">in that month / Electrical Output </w:t>
      </w:r>
      <w:r w:rsidRPr="00FD516E">
        <w:rPr>
          <w:snapToGrid w:val="0"/>
          <w:vertAlign w:val="subscript"/>
        </w:rPr>
        <w:t>theoretical</w:t>
      </w:r>
    </w:p>
    <w:p w14:paraId="215F2EBD" w14:textId="1AC2A519" w:rsidR="00332D89" w:rsidRPr="00FD516E" w:rsidRDefault="00332D89" w:rsidP="00332D89">
      <w:pPr>
        <w:autoSpaceDE/>
        <w:autoSpaceDN/>
        <w:adjustRightInd/>
        <w:ind w:left="2160" w:hanging="720"/>
        <w:rPr>
          <w:snapToGrid w:val="0"/>
        </w:rPr>
      </w:pPr>
      <w:r w:rsidRPr="00FD516E">
        <w:rPr>
          <w:snapToGrid w:val="0"/>
        </w:rPr>
        <w:t xml:space="preserve">Electrical Output </w:t>
      </w:r>
      <w:r w:rsidRPr="00FD516E">
        <w:rPr>
          <w:snapToGrid w:val="0"/>
          <w:vertAlign w:val="subscript"/>
        </w:rPr>
        <w:t xml:space="preserve">theoretical </w:t>
      </w:r>
      <w:r w:rsidRPr="00FD516E">
        <w:rPr>
          <w:snapToGrid w:val="0"/>
        </w:rPr>
        <w:t xml:space="preserve">= Electrical output in MW of all 3520C engines at </w:t>
      </w:r>
      <w:r w:rsidR="00EA1CCD" w:rsidRPr="00FD516E">
        <w:rPr>
          <w:snapToGrid w:val="0"/>
        </w:rPr>
        <w:t>the LFGTE Operation</w:t>
      </w:r>
      <w:r w:rsidRPr="00FD516E">
        <w:rPr>
          <w:snapToGrid w:val="0"/>
        </w:rPr>
        <w:t xml:space="preserve"> in that month assuming they are operated at 100 percent output for the hours operated..  </w:t>
      </w:r>
    </w:p>
    <w:p w14:paraId="5B90BE15" w14:textId="77777777" w:rsidR="00332D89" w:rsidRPr="00FD516E" w:rsidRDefault="00332D89" w:rsidP="00332D89">
      <w:pPr>
        <w:autoSpaceDE/>
        <w:autoSpaceDN/>
        <w:adjustRightInd/>
        <w:ind w:left="720" w:hanging="720"/>
        <w:rPr>
          <w:snapToGrid w:val="0"/>
        </w:rPr>
      </w:pPr>
    </w:p>
    <w:p w14:paraId="09B0A0FA" w14:textId="0F6EA261" w:rsidR="00332D89" w:rsidRPr="00FD516E" w:rsidRDefault="00332D89" w:rsidP="00126ABC">
      <w:pPr>
        <w:autoSpaceDE/>
        <w:autoSpaceDN/>
        <w:adjustRightInd/>
        <w:ind w:left="1440" w:firstLine="0"/>
        <w:rPr>
          <w:snapToGrid w:val="0"/>
        </w:rPr>
      </w:pPr>
      <w:r w:rsidRPr="00FD516E">
        <w:rPr>
          <w:snapToGrid w:val="0"/>
        </w:rPr>
        <w:t xml:space="preserve">VOC Emission Factor = 39 percent of the measured NMOC emission factor from the most recent yearly engine emissions testing in accordance with Condition (25) of </w:t>
      </w:r>
      <w:r w:rsidRPr="00FD516E">
        <w:rPr>
          <w:snapToGrid w:val="0"/>
          <w:vertAlign w:val="superscript"/>
        </w:rPr>
        <w:t>#</w:t>
      </w:r>
      <w:r w:rsidRPr="00FD516E">
        <w:rPr>
          <w:snapToGrid w:val="0"/>
        </w:rPr>
        <w:t xml:space="preserve">AOP-15-032 in grams per brake horsepower-hour </w:t>
      </w:r>
      <w:r w:rsidR="00126ABC" w:rsidRPr="00A70018">
        <w:rPr>
          <w:u w:val="single"/>
        </w:rPr>
        <w:t>plus</w:t>
      </w:r>
      <w:r w:rsidR="00126ABC" w:rsidRPr="00D161A1">
        <w:t xml:space="preserve"> the measured emission factor of 0.302 grams per bhp-hr for formaldehyde and 0.004 grams per bhp-hr for acetaldehyde obtained from stack testing performed </w:t>
      </w:r>
      <w:r w:rsidR="00126ABC">
        <w:t>i</w:t>
      </w:r>
      <w:r w:rsidR="00126ABC" w:rsidRPr="00D161A1">
        <w:t>n February 2017.</w:t>
      </w:r>
      <w:r w:rsidRPr="00FD516E">
        <w:rPr>
          <w:snapToGrid w:val="0"/>
        </w:rPr>
        <w:t xml:space="preserve">  </w:t>
      </w:r>
    </w:p>
    <w:p w14:paraId="09E51D8C" w14:textId="77777777" w:rsidR="009257D5" w:rsidRPr="00FD516E" w:rsidRDefault="009257D5" w:rsidP="0061225D">
      <w:pPr>
        <w:ind w:left="0" w:firstLine="0"/>
      </w:pPr>
    </w:p>
    <w:p w14:paraId="254E218B" w14:textId="541377BB" w:rsidR="0061225D" w:rsidRPr="00FD516E" w:rsidRDefault="0061225D" w:rsidP="0061225D">
      <w:pPr>
        <w:ind w:left="0" w:firstLine="0"/>
      </w:pPr>
      <w:r w:rsidRPr="00FD516E">
        <w:t xml:space="preserve">The total amount of VOCs emitted from the Facility will be calculated each month, and the monthly </w:t>
      </w:r>
      <w:r w:rsidR="00B663CC" w:rsidRPr="00FD516E">
        <w:t xml:space="preserve">emissions </w:t>
      </w:r>
      <w:r w:rsidRPr="00FD516E">
        <w:t xml:space="preserve">will be summed with the total emissions from the previous 11 months to insure that the rolling 12-month total of VOC emissions does not equal or exceed 50 tons per rolling twelve-month period.   </w:t>
      </w:r>
    </w:p>
    <w:p w14:paraId="496AE7DF" w14:textId="77777777" w:rsidR="0061225D" w:rsidRPr="00FD516E" w:rsidRDefault="0061225D" w:rsidP="001D5633">
      <w:pPr>
        <w:ind w:left="0" w:firstLine="0"/>
      </w:pPr>
    </w:p>
    <w:p w14:paraId="4A51F3D9" w14:textId="29C6ADFE" w:rsidR="00F602CE" w:rsidRPr="00FD516E" w:rsidRDefault="00F602CE" w:rsidP="00F602CE">
      <w:pPr>
        <w:ind w:left="0" w:firstLine="0"/>
        <w:rPr>
          <w:b/>
          <w:u w:val="single"/>
        </w:rPr>
      </w:pPr>
      <w:r w:rsidRPr="00FD516E">
        <w:rPr>
          <w:b/>
          <w:u w:val="single"/>
        </w:rPr>
        <w:t>Condition (</w:t>
      </w:r>
      <w:r w:rsidR="00B2528E">
        <w:rPr>
          <w:b/>
          <w:u w:val="single"/>
        </w:rPr>
        <w:t>27</w:t>
      </w:r>
      <w:r w:rsidRPr="00FD516E">
        <w:rPr>
          <w:b/>
          <w:u w:val="single"/>
        </w:rPr>
        <w:t xml:space="preserve">) of </w:t>
      </w:r>
      <w:r w:rsidRPr="00FD516E">
        <w:rPr>
          <w:b/>
          <w:u w:val="single"/>
          <w:vertAlign w:val="superscript"/>
        </w:rPr>
        <w:t>#</w:t>
      </w:r>
      <w:r w:rsidRPr="00FD516E">
        <w:rPr>
          <w:b/>
          <w:u w:val="single"/>
        </w:rPr>
        <w:t>AOP-</w:t>
      </w:r>
      <w:r w:rsidR="007254B8" w:rsidRPr="00FD516E">
        <w:rPr>
          <w:b/>
          <w:u w:val="single"/>
        </w:rPr>
        <w:t>1</w:t>
      </w:r>
      <w:r w:rsidR="00497FB5" w:rsidRPr="00FD516E">
        <w:rPr>
          <w:b/>
          <w:u w:val="single"/>
        </w:rPr>
        <w:t>8</w:t>
      </w:r>
      <w:r w:rsidRPr="00FD516E">
        <w:rPr>
          <w:b/>
          <w:u w:val="single"/>
        </w:rPr>
        <w:t>-</w:t>
      </w:r>
      <w:r w:rsidR="00B06A19">
        <w:rPr>
          <w:b/>
          <w:u w:val="single"/>
        </w:rPr>
        <w:t>019</w:t>
      </w:r>
    </w:p>
    <w:p w14:paraId="4504B3AF" w14:textId="77777777" w:rsidR="00F602CE" w:rsidRPr="00FD516E" w:rsidRDefault="00F602CE" w:rsidP="00F602CE">
      <w:pPr>
        <w:ind w:left="0" w:firstLine="0"/>
        <w:rPr>
          <w:u w:val="single"/>
        </w:rPr>
      </w:pPr>
    </w:p>
    <w:p w14:paraId="45511DAD" w14:textId="68039234" w:rsidR="005E20C5" w:rsidRPr="001F2393" w:rsidRDefault="00F602CE" w:rsidP="00042086">
      <w:pPr>
        <w:ind w:left="0" w:firstLine="0"/>
        <w:rPr>
          <w:rFonts w:cs="Arial"/>
          <w:szCs w:val="22"/>
        </w:rPr>
      </w:pPr>
      <w:r w:rsidRPr="00FD516E">
        <w:t>Th</w:t>
      </w:r>
      <w:r w:rsidR="001F16AE" w:rsidRPr="00FD516E">
        <w:t>is</w:t>
      </w:r>
      <w:r w:rsidRPr="00FD516E">
        <w:t xml:space="preserve"> Condition</w:t>
      </w:r>
      <w:r w:rsidR="001F16AE" w:rsidRPr="00FD516E">
        <w:t xml:space="preserve"> was </w:t>
      </w:r>
      <w:r w:rsidRPr="00FD516E">
        <w:t xml:space="preserve">developed </w:t>
      </w:r>
      <w:r w:rsidR="00902665" w:rsidRPr="00FD516E">
        <w:rPr>
          <w:rFonts w:cs="Arial"/>
          <w:szCs w:val="22"/>
        </w:rPr>
        <w:t>to</w:t>
      </w:r>
      <w:r w:rsidR="00106A4A" w:rsidRPr="00FD516E">
        <w:rPr>
          <w:rFonts w:cs="Arial"/>
          <w:szCs w:val="22"/>
        </w:rPr>
        <w:t xml:space="preserve"> </w:t>
      </w:r>
      <w:r w:rsidR="00902665" w:rsidRPr="00FD516E">
        <w:rPr>
          <w:rFonts w:cs="Arial"/>
          <w:szCs w:val="22"/>
        </w:rPr>
        <w:t xml:space="preserve">verify that emissions </w:t>
      </w:r>
      <w:r w:rsidR="001F16AE" w:rsidRPr="00FD516E">
        <w:rPr>
          <w:rFonts w:cs="Arial"/>
          <w:szCs w:val="22"/>
        </w:rPr>
        <w:t xml:space="preserve">from the CAT 3520C engines </w:t>
      </w:r>
      <w:r w:rsidR="00902665" w:rsidRPr="00FD516E">
        <w:rPr>
          <w:rFonts w:cs="Arial"/>
          <w:szCs w:val="22"/>
        </w:rPr>
        <w:t>do not exceed the limits for CO</w:t>
      </w:r>
      <w:r w:rsidR="00E7012B" w:rsidRPr="00FD516E">
        <w:rPr>
          <w:rFonts w:cs="Arial"/>
          <w:szCs w:val="22"/>
        </w:rPr>
        <w:t xml:space="preserve">, </w:t>
      </w:r>
      <w:r w:rsidR="00902665" w:rsidRPr="00FD516E">
        <w:rPr>
          <w:rFonts w:cs="Arial"/>
          <w:szCs w:val="22"/>
        </w:rPr>
        <w:t>NOx</w:t>
      </w:r>
      <w:r w:rsidR="00E7012B" w:rsidRPr="00FD516E">
        <w:rPr>
          <w:rFonts w:cs="Arial"/>
          <w:szCs w:val="22"/>
        </w:rPr>
        <w:t xml:space="preserve"> and NMOCs identified in </w:t>
      </w:r>
      <w:r w:rsidR="00B2528E" w:rsidRPr="00B2528E">
        <w:rPr>
          <w:rFonts w:cs="Arial"/>
          <w:szCs w:val="22"/>
        </w:rPr>
        <w:t>of Condition (16) of AOP-18-019</w:t>
      </w:r>
      <w:r w:rsidR="003108AC">
        <w:rPr>
          <w:rFonts w:cs="Arial"/>
          <w:szCs w:val="22"/>
        </w:rPr>
        <w:t>.</w:t>
      </w:r>
      <w:r w:rsidR="00E7012B" w:rsidRPr="00FD516E">
        <w:rPr>
          <w:rFonts w:cs="Arial"/>
          <w:szCs w:val="22"/>
        </w:rPr>
        <w:t xml:space="preserve">  Engine No. 5 is the only engine at </w:t>
      </w:r>
      <w:r w:rsidR="00EA1CCD" w:rsidRPr="00FD516E">
        <w:rPr>
          <w:rFonts w:cs="Arial"/>
          <w:szCs w:val="22"/>
        </w:rPr>
        <w:t xml:space="preserve">the LFGTE Operation </w:t>
      </w:r>
      <w:r w:rsidR="00E7012B" w:rsidRPr="00FD516E">
        <w:rPr>
          <w:rFonts w:cs="Arial"/>
          <w:szCs w:val="22"/>
        </w:rPr>
        <w:t>that is required to perform periodic emissions testing under 40 CFR, Part 60. Subpart JJJJ.  Engines No. 1 -3 are regulated under 40 CFR, Part 63. Subpart ZZZZ, but this regulation does not require periodic testing of these engines.  Engine No. 4 is not regulated under either Subpart JJJJ or Subpart ZZZZ.  The combustion of siloxane</w:t>
      </w:r>
      <w:r w:rsidR="008E7C7F" w:rsidRPr="00FD516E">
        <w:rPr>
          <w:rFonts w:cs="Arial"/>
          <w:szCs w:val="22"/>
        </w:rPr>
        <w:t>s</w:t>
      </w:r>
      <w:r w:rsidR="00E7012B" w:rsidRPr="00FD516E">
        <w:rPr>
          <w:rFonts w:cs="Arial"/>
          <w:szCs w:val="22"/>
        </w:rPr>
        <w:t xml:space="preserve"> contain</w:t>
      </w:r>
      <w:r w:rsidR="008E7C7F" w:rsidRPr="00FD516E">
        <w:rPr>
          <w:rFonts w:cs="Arial"/>
          <w:szCs w:val="22"/>
        </w:rPr>
        <w:t>ed</w:t>
      </w:r>
      <w:r w:rsidR="00E7012B" w:rsidRPr="00FD516E">
        <w:rPr>
          <w:rFonts w:cs="Arial"/>
          <w:szCs w:val="22"/>
        </w:rPr>
        <w:t xml:space="preserve"> in LFG has a cumulative, detrimental effect of the emissions performance of these engines.  Accordingly, the Agency has determined that testing of Engines No. 1-No. 4 every two years is appropriate to monitor compliance with the requirements of </w:t>
      </w:r>
      <w:r w:rsidR="001F16AE" w:rsidRPr="00FD516E">
        <w:rPr>
          <w:rFonts w:cs="Arial"/>
          <w:szCs w:val="22"/>
        </w:rPr>
        <w:t>Condition (</w:t>
      </w:r>
      <w:r w:rsidR="00B2528E">
        <w:rPr>
          <w:rFonts w:cs="Arial"/>
          <w:szCs w:val="22"/>
        </w:rPr>
        <w:t>16</w:t>
      </w:r>
      <w:r w:rsidR="001F16AE" w:rsidRPr="00FD516E">
        <w:rPr>
          <w:rFonts w:cs="Arial"/>
          <w:szCs w:val="22"/>
        </w:rPr>
        <w:t>) of AOP-</w:t>
      </w:r>
      <w:r w:rsidR="00B2528E">
        <w:rPr>
          <w:rFonts w:cs="Arial"/>
          <w:szCs w:val="22"/>
        </w:rPr>
        <w:t>18</w:t>
      </w:r>
      <w:r w:rsidR="001F16AE" w:rsidRPr="00FD516E">
        <w:rPr>
          <w:rFonts w:cs="Arial"/>
          <w:szCs w:val="22"/>
        </w:rPr>
        <w:t>-</w:t>
      </w:r>
      <w:r w:rsidR="00B2528E" w:rsidRPr="00FD516E">
        <w:rPr>
          <w:rFonts w:cs="Arial"/>
          <w:szCs w:val="22"/>
        </w:rPr>
        <w:t>0</w:t>
      </w:r>
      <w:r w:rsidR="00B2528E">
        <w:rPr>
          <w:rFonts w:cs="Arial"/>
          <w:szCs w:val="22"/>
        </w:rPr>
        <w:t>19</w:t>
      </w:r>
      <w:r w:rsidR="001F16AE" w:rsidRPr="00FD516E">
        <w:rPr>
          <w:rFonts w:cs="Arial"/>
          <w:szCs w:val="22"/>
        </w:rPr>
        <w:t xml:space="preserve">.  </w:t>
      </w:r>
    </w:p>
    <w:sectPr w:rsidR="005E20C5" w:rsidRPr="001F2393" w:rsidSect="00F47C3B">
      <w:footnotePr>
        <w:numRestart w:val="eachSect"/>
      </w:footnotePr>
      <w:endnotePr>
        <w:numFmt w:val="decimal"/>
      </w:endnotePr>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B849" w14:textId="77777777" w:rsidR="00750B59" w:rsidRDefault="00750B59">
      <w:r>
        <w:separator/>
      </w:r>
    </w:p>
  </w:endnote>
  <w:endnote w:type="continuationSeparator" w:id="0">
    <w:p w14:paraId="688AC6FF" w14:textId="77777777" w:rsidR="00750B59" w:rsidRDefault="0075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man-WP">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HLEN N+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BE3" w14:textId="77777777" w:rsidR="005A5A0B" w:rsidRPr="0039374F" w:rsidRDefault="005A5A0B" w:rsidP="0039374F">
    <w:pPr>
      <w:tabs>
        <w:tab w:val="center" w:pos="4320"/>
        <w:tab w:val="right" w:pos="8640"/>
      </w:tabs>
      <w:autoSpaceDE/>
      <w:autoSpaceDN/>
      <w:adjustRightInd/>
      <w:ind w:left="0" w:firstLine="0"/>
      <w:jc w:val="center"/>
      <w:rPr>
        <w:rFonts w:cs="Arial"/>
        <w:snapToGrid w:val="0"/>
      </w:rPr>
    </w:pPr>
  </w:p>
  <w:p w14:paraId="45CFA4D5" w14:textId="58575072" w:rsidR="005A5A0B" w:rsidRPr="0039374F" w:rsidRDefault="005A5A0B" w:rsidP="0039374F">
    <w:pPr>
      <w:tabs>
        <w:tab w:val="center" w:pos="4320"/>
        <w:tab w:val="right" w:pos="8640"/>
      </w:tabs>
      <w:autoSpaceDE/>
      <w:autoSpaceDN/>
      <w:adjustRightInd/>
      <w:ind w:left="0" w:firstLine="0"/>
      <w:jc w:val="center"/>
      <w:rPr>
        <w:rFonts w:cs="Arial"/>
        <w:snapToGrid w:val="0"/>
      </w:rPr>
    </w:pPr>
    <w:r w:rsidRPr="0039374F">
      <w:rPr>
        <w:rFonts w:cs="Arial"/>
        <w:snapToGrid w:val="0"/>
      </w:rPr>
      <w:t xml:space="preserve">Page </w:t>
    </w:r>
    <w:r w:rsidRPr="0039374F">
      <w:rPr>
        <w:rFonts w:cs="Arial"/>
        <w:snapToGrid w:val="0"/>
      </w:rPr>
      <w:fldChar w:fldCharType="begin"/>
    </w:r>
    <w:r w:rsidRPr="0039374F">
      <w:rPr>
        <w:rFonts w:cs="Arial"/>
        <w:snapToGrid w:val="0"/>
      </w:rPr>
      <w:instrText xml:space="preserve"> PAGE </w:instrText>
    </w:r>
    <w:r w:rsidRPr="0039374F">
      <w:rPr>
        <w:rFonts w:cs="Arial"/>
        <w:snapToGrid w:val="0"/>
      </w:rPr>
      <w:fldChar w:fldCharType="separate"/>
    </w:r>
    <w:r>
      <w:rPr>
        <w:rFonts w:cs="Arial"/>
        <w:noProof/>
        <w:snapToGrid w:val="0"/>
      </w:rPr>
      <w:t>6</w:t>
    </w:r>
    <w:r w:rsidRPr="0039374F">
      <w:rPr>
        <w:rFonts w:cs="Arial"/>
        <w:snapToGrid w:val="0"/>
      </w:rPr>
      <w:fldChar w:fldCharType="end"/>
    </w:r>
    <w:r w:rsidRPr="0039374F">
      <w:rPr>
        <w:rFonts w:cs="Arial"/>
        <w:snapToGrid w:val="0"/>
      </w:rPr>
      <w:t xml:space="preserve"> of </w:t>
    </w:r>
    <w:r w:rsidRPr="0039374F">
      <w:rPr>
        <w:rFonts w:cs="Arial"/>
        <w:snapToGrid w:val="0"/>
      </w:rPr>
      <w:fldChar w:fldCharType="begin"/>
    </w:r>
    <w:r w:rsidRPr="0039374F">
      <w:rPr>
        <w:rFonts w:cs="Arial"/>
        <w:snapToGrid w:val="0"/>
      </w:rPr>
      <w:instrText xml:space="preserve"> NUMPAGES </w:instrText>
    </w:r>
    <w:r w:rsidRPr="0039374F">
      <w:rPr>
        <w:rFonts w:cs="Arial"/>
        <w:snapToGrid w:val="0"/>
      </w:rPr>
      <w:fldChar w:fldCharType="separate"/>
    </w:r>
    <w:r>
      <w:rPr>
        <w:rFonts w:cs="Arial"/>
        <w:noProof/>
        <w:snapToGrid w:val="0"/>
      </w:rPr>
      <w:t>45</w:t>
    </w:r>
    <w:r w:rsidRPr="0039374F">
      <w:rPr>
        <w:rFonts w:cs="Arial"/>
        <w:snapToGrid w:val="0"/>
      </w:rPr>
      <w:fldChar w:fldCharType="end"/>
    </w:r>
  </w:p>
  <w:p w14:paraId="39CDCF88" w14:textId="77777777" w:rsidR="005A5A0B" w:rsidRDefault="005A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9354" w14:textId="77777777" w:rsidR="00750B59" w:rsidRDefault="00750B59">
      <w:r>
        <w:separator/>
      </w:r>
    </w:p>
  </w:footnote>
  <w:footnote w:type="continuationSeparator" w:id="0">
    <w:p w14:paraId="4807328F" w14:textId="77777777" w:rsidR="00750B59" w:rsidRDefault="0075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D991" w14:textId="33EEE7FC" w:rsidR="005A5A0B" w:rsidRDefault="005A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5ADB" w14:textId="6F4674D4" w:rsidR="005A5A0B" w:rsidRPr="00A773AE" w:rsidRDefault="005A5A0B" w:rsidP="009F5824">
    <w:pPr>
      <w:pStyle w:val="Header"/>
      <w:tabs>
        <w:tab w:val="clear" w:pos="8640"/>
        <w:tab w:val="right" w:pos="9360"/>
      </w:tabs>
      <w:rPr>
        <w:rFonts w:cs="Arial"/>
        <w:szCs w:val="22"/>
      </w:rPr>
    </w:pPr>
    <w:r w:rsidRPr="007A14EC">
      <w:rPr>
        <w:rFonts w:cs="Arial"/>
        <w:szCs w:val="22"/>
      </w:rPr>
      <w:t xml:space="preserve">NEWSVT / CCEC. –Landfill </w:t>
    </w:r>
    <w:r>
      <w:rPr>
        <w:rFonts w:cs="Arial"/>
        <w:szCs w:val="22"/>
      </w:rPr>
      <w:t>Operation</w:t>
    </w:r>
    <w:r w:rsidRPr="007A14EC">
      <w:rPr>
        <w:rFonts w:cs="Arial"/>
        <w:szCs w:val="22"/>
      </w:rPr>
      <w:t xml:space="preserve">/ LFGTE </w:t>
    </w:r>
    <w:r>
      <w:rPr>
        <w:rFonts w:cs="Arial"/>
        <w:szCs w:val="22"/>
      </w:rPr>
      <w:t>Operation</w:t>
    </w:r>
    <w:r w:rsidRPr="00A773AE">
      <w:rPr>
        <w:rFonts w:cs="Arial"/>
        <w:szCs w:val="22"/>
      </w:rPr>
      <w:tab/>
    </w:r>
    <w:r w:rsidRPr="00A773AE">
      <w:rPr>
        <w:rFonts w:cs="Arial"/>
        <w:szCs w:val="22"/>
        <w:vertAlign w:val="superscript"/>
      </w:rPr>
      <w:t>#</w:t>
    </w:r>
    <w:r w:rsidRPr="00A773AE">
      <w:rPr>
        <w:rFonts w:cs="Arial"/>
        <w:szCs w:val="22"/>
      </w:rPr>
      <w:t>AOP-1</w:t>
    </w:r>
    <w:r>
      <w:rPr>
        <w:rFonts w:cs="Arial"/>
        <w:szCs w:val="22"/>
      </w:rPr>
      <w:t>7</w:t>
    </w:r>
    <w:r w:rsidRPr="00A773AE">
      <w:rPr>
        <w:rFonts w:cs="Arial"/>
        <w:szCs w:val="22"/>
      </w:rPr>
      <w:t>-0</w:t>
    </w:r>
    <w:r>
      <w:rPr>
        <w:rFonts w:cs="Arial"/>
        <w:szCs w:val="22"/>
      </w:rPr>
      <w:t>18 / AOP-18-019</w:t>
    </w:r>
  </w:p>
  <w:p w14:paraId="0EBD377D" w14:textId="77777777" w:rsidR="005A5A0B" w:rsidRDefault="005A5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A15A" w14:textId="032B6C85" w:rsidR="005A5A0B" w:rsidRDefault="005A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FD0192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68226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464EFA"/>
    <w:multiLevelType w:val="multilevel"/>
    <w:tmpl w:val="1BF6F1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CC35240"/>
    <w:multiLevelType w:val="hybridMultilevel"/>
    <w:tmpl w:val="DA4897FA"/>
    <w:lvl w:ilvl="0" w:tplc="09A0B6DE">
      <w:start w:val="1"/>
      <w:numFmt w:val="lowerRoman"/>
      <w:lvlText w:val="(%1)"/>
      <w:lvlJc w:val="left"/>
      <w:pPr>
        <w:ind w:left="1843" w:hanging="72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 w15:restartNumberingAfterBreak="0">
    <w:nsid w:val="0FF26FDD"/>
    <w:multiLevelType w:val="multilevel"/>
    <w:tmpl w:val="B9381CBA"/>
    <w:lvl w:ilvl="0">
      <w:start w:val="3"/>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1A51EFD"/>
    <w:multiLevelType w:val="multilevel"/>
    <w:tmpl w:val="5D200A3C"/>
    <w:lvl w:ilvl="0">
      <w:start w:val="1"/>
      <w:numFmt w:val="decimal"/>
      <w:lvlText w:val="(%1)"/>
      <w:lvlJc w:val="left"/>
      <w:pPr>
        <w:tabs>
          <w:tab w:val="num" w:pos="720"/>
        </w:tabs>
        <w:ind w:left="720" w:hanging="720"/>
      </w:pPr>
      <w:rPr>
        <w:rFonts w:ascii="Arial" w:hAnsi="Arial" w:hint="default"/>
        <w:b w:val="0"/>
        <w:i w:val="0"/>
        <w:sz w:val="22"/>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Restart w:val="0"/>
      <w:lvlText w:val=""/>
      <w:lvlJc w:val="left"/>
      <w:pPr>
        <w:tabs>
          <w:tab w:val="num" w:pos="2880"/>
        </w:tabs>
        <w:ind w:left="2880" w:hanging="72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9C16A2"/>
    <w:multiLevelType w:val="hybridMultilevel"/>
    <w:tmpl w:val="0EC6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7FAF"/>
    <w:multiLevelType w:val="hybridMultilevel"/>
    <w:tmpl w:val="7E44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D75FD7"/>
    <w:multiLevelType w:val="hybridMultilevel"/>
    <w:tmpl w:val="242E39BC"/>
    <w:lvl w:ilvl="0" w:tplc="593CEB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E3B65"/>
    <w:multiLevelType w:val="hybridMultilevel"/>
    <w:tmpl w:val="7F78B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041F5E"/>
    <w:multiLevelType w:val="hybridMultilevel"/>
    <w:tmpl w:val="434E53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1B97B94"/>
    <w:multiLevelType w:val="hybridMultilevel"/>
    <w:tmpl w:val="52CE2D28"/>
    <w:lvl w:ilvl="0" w:tplc="69044C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52A6F3D"/>
    <w:multiLevelType w:val="multilevel"/>
    <w:tmpl w:val="916662E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B0939B0"/>
    <w:multiLevelType w:val="multilevel"/>
    <w:tmpl w:val="AF26F61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BFA17AC"/>
    <w:multiLevelType w:val="hybridMultilevel"/>
    <w:tmpl w:val="F7BEF3E6"/>
    <w:lvl w:ilvl="0" w:tplc="66A6645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92FF7"/>
    <w:multiLevelType w:val="hybridMultilevel"/>
    <w:tmpl w:val="D3EA7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6B2D3B"/>
    <w:multiLevelType w:val="hybridMultilevel"/>
    <w:tmpl w:val="E5CE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D802B0"/>
    <w:multiLevelType w:val="hybridMultilevel"/>
    <w:tmpl w:val="7452D6F0"/>
    <w:lvl w:ilvl="0" w:tplc="90EC178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486051"/>
    <w:multiLevelType w:val="hybridMultilevel"/>
    <w:tmpl w:val="82D6C24C"/>
    <w:lvl w:ilvl="0" w:tplc="593CEB1E">
      <w:start w:val="1"/>
      <w:numFmt w:val="lowerRoman"/>
      <w:lvlText w:val="(%1)"/>
      <w:lvlJc w:val="left"/>
      <w:pPr>
        <w:ind w:left="1560" w:hanging="360"/>
      </w:pPr>
      <w:rPr>
        <w:rFonts w:cs="Times New Roman" w:hint="default"/>
      </w:rPr>
    </w:lvl>
    <w:lvl w:ilvl="1" w:tplc="04090019">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9" w15:restartNumberingAfterBreak="0">
    <w:nsid w:val="65CE5986"/>
    <w:multiLevelType w:val="hybridMultilevel"/>
    <w:tmpl w:val="730C0E26"/>
    <w:lvl w:ilvl="0" w:tplc="D50E36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6C67CBA"/>
    <w:multiLevelType w:val="multilevel"/>
    <w:tmpl w:val="67D4B86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6DF47AE7"/>
    <w:multiLevelType w:val="hybridMultilevel"/>
    <w:tmpl w:val="9E72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DA5CD8"/>
    <w:multiLevelType w:val="hybridMultilevel"/>
    <w:tmpl w:val="B43015BA"/>
    <w:lvl w:ilvl="0" w:tplc="6406C67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D4D5C"/>
    <w:multiLevelType w:val="hybridMultilevel"/>
    <w:tmpl w:val="03BE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744A66"/>
    <w:multiLevelType w:val="hybridMultilevel"/>
    <w:tmpl w:val="B9381CBA"/>
    <w:lvl w:ilvl="0" w:tplc="8FD8CEB6">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4721322"/>
    <w:multiLevelType w:val="hybridMultilevel"/>
    <w:tmpl w:val="6316D38C"/>
    <w:lvl w:ilvl="0" w:tplc="D50E3624">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3045C5"/>
    <w:multiLevelType w:val="hybridMultilevel"/>
    <w:tmpl w:val="361ACB64"/>
    <w:lvl w:ilvl="0" w:tplc="AF40CB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24"/>
  </w:num>
  <w:num w:numId="16">
    <w:abstractNumId w:val="4"/>
  </w:num>
  <w:num w:numId="17">
    <w:abstractNumId w:val="11"/>
  </w:num>
  <w:num w:numId="18">
    <w:abstractNumId w:val="20"/>
  </w:num>
  <w:num w:numId="19">
    <w:abstractNumId w:val="2"/>
  </w:num>
  <w:num w:numId="20">
    <w:abstractNumId w:val="12"/>
  </w:num>
  <w:num w:numId="21">
    <w:abstractNumId w:val="13"/>
  </w:num>
  <w:num w:numId="22">
    <w:abstractNumId w:val="15"/>
  </w:num>
  <w:num w:numId="23">
    <w:abstractNumId w:val="23"/>
  </w:num>
  <w:num w:numId="24">
    <w:abstractNumId w:val="21"/>
  </w:num>
  <w:num w:numId="25">
    <w:abstractNumId w:val="18"/>
  </w:num>
  <w:num w:numId="26">
    <w:abstractNumId w:val="9"/>
  </w:num>
  <w:num w:numId="27">
    <w:abstractNumId w:val="19"/>
  </w:num>
  <w:num w:numId="28">
    <w:abstractNumId w:val="25"/>
  </w:num>
  <w:num w:numId="29">
    <w:abstractNumId w:val="14"/>
  </w:num>
  <w:num w:numId="30">
    <w:abstractNumId w:val="26"/>
  </w:num>
  <w:num w:numId="31">
    <w:abstractNumId w:val="22"/>
  </w:num>
  <w:num w:numId="32">
    <w:abstractNumId w:val="7"/>
  </w:num>
  <w:num w:numId="33">
    <w:abstractNumId w:val="17"/>
  </w:num>
  <w:num w:numId="34">
    <w:abstractNumId w:val="6"/>
  </w:num>
  <w:num w:numId="35">
    <w:abstractNumId w:val="16"/>
  </w:num>
  <w:num w:numId="36">
    <w:abstractNumId w:val="5"/>
  </w:num>
  <w:num w:numId="37">
    <w:abstractNumId w:val="10"/>
  </w:num>
  <w:num w:numId="38">
    <w:abstractNumId w:val="8"/>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6"/>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29"/>
    <w:rsid w:val="000017D4"/>
    <w:rsid w:val="00003405"/>
    <w:rsid w:val="00005304"/>
    <w:rsid w:val="00005DC0"/>
    <w:rsid w:val="00006B97"/>
    <w:rsid w:val="00011E8E"/>
    <w:rsid w:val="000124DB"/>
    <w:rsid w:val="00013AF2"/>
    <w:rsid w:val="00014263"/>
    <w:rsid w:val="0001483E"/>
    <w:rsid w:val="00015634"/>
    <w:rsid w:val="000217B1"/>
    <w:rsid w:val="000219F8"/>
    <w:rsid w:val="00022588"/>
    <w:rsid w:val="000261F5"/>
    <w:rsid w:val="00026A13"/>
    <w:rsid w:val="000311CE"/>
    <w:rsid w:val="00033758"/>
    <w:rsid w:val="000375B4"/>
    <w:rsid w:val="00042086"/>
    <w:rsid w:val="000421C6"/>
    <w:rsid w:val="00043FA8"/>
    <w:rsid w:val="000447BB"/>
    <w:rsid w:val="00045F59"/>
    <w:rsid w:val="00050CFE"/>
    <w:rsid w:val="000527DB"/>
    <w:rsid w:val="000544A8"/>
    <w:rsid w:val="00056B34"/>
    <w:rsid w:val="00056CAD"/>
    <w:rsid w:val="00062B4E"/>
    <w:rsid w:val="000637D8"/>
    <w:rsid w:val="00066DD0"/>
    <w:rsid w:val="00067130"/>
    <w:rsid w:val="00067B07"/>
    <w:rsid w:val="000726D2"/>
    <w:rsid w:val="000732DE"/>
    <w:rsid w:val="000734EB"/>
    <w:rsid w:val="00075E3F"/>
    <w:rsid w:val="00076C3E"/>
    <w:rsid w:val="00081C00"/>
    <w:rsid w:val="00083333"/>
    <w:rsid w:val="00083B11"/>
    <w:rsid w:val="000845BC"/>
    <w:rsid w:val="00085229"/>
    <w:rsid w:val="00085F42"/>
    <w:rsid w:val="00087C26"/>
    <w:rsid w:val="00094C57"/>
    <w:rsid w:val="000958C3"/>
    <w:rsid w:val="00095D5E"/>
    <w:rsid w:val="00096EE7"/>
    <w:rsid w:val="000A0000"/>
    <w:rsid w:val="000A2A56"/>
    <w:rsid w:val="000A6467"/>
    <w:rsid w:val="000A6C76"/>
    <w:rsid w:val="000A7DC0"/>
    <w:rsid w:val="000A7F5B"/>
    <w:rsid w:val="000B1CDA"/>
    <w:rsid w:val="000B2169"/>
    <w:rsid w:val="000B2C65"/>
    <w:rsid w:val="000B3C7A"/>
    <w:rsid w:val="000B42D9"/>
    <w:rsid w:val="000B5073"/>
    <w:rsid w:val="000B5D81"/>
    <w:rsid w:val="000B66CF"/>
    <w:rsid w:val="000C11C2"/>
    <w:rsid w:val="000C1618"/>
    <w:rsid w:val="000C1AFA"/>
    <w:rsid w:val="000C32FF"/>
    <w:rsid w:val="000C4308"/>
    <w:rsid w:val="000C43EC"/>
    <w:rsid w:val="000D0539"/>
    <w:rsid w:val="000D0F38"/>
    <w:rsid w:val="000D111B"/>
    <w:rsid w:val="000D1BE1"/>
    <w:rsid w:val="000D24D0"/>
    <w:rsid w:val="000D2A68"/>
    <w:rsid w:val="000D50B1"/>
    <w:rsid w:val="000E0356"/>
    <w:rsid w:val="000E2192"/>
    <w:rsid w:val="000E29B9"/>
    <w:rsid w:val="000E37ED"/>
    <w:rsid w:val="000E4E91"/>
    <w:rsid w:val="000E738A"/>
    <w:rsid w:val="000F1993"/>
    <w:rsid w:val="000F3FFB"/>
    <w:rsid w:val="000F5432"/>
    <w:rsid w:val="000F5A3D"/>
    <w:rsid w:val="000F5E3F"/>
    <w:rsid w:val="000F6385"/>
    <w:rsid w:val="00106A4A"/>
    <w:rsid w:val="00112CC0"/>
    <w:rsid w:val="0011650C"/>
    <w:rsid w:val="00120B57"/>
    <w:rsid w:val="00120B9F"/>
    <w:rsid w:val="00120DB1"/>
    <w:rsid w:val="00122337"/>
    <w:rsid w:val="001231F9"/>
    <w:rsid w:val="00123DB5"/>
    <w:rsid w:val="00125750"/>
    <w:rsid w:val="00125C5F"/>
    <w:rsid w:val="00125EF0"/>
    <w:rsid w:val="00126ABC"/>
    <w:rsid w:val="00130059"/>
    <w:rsid w:val="00130248"/>
    <w:rsid w:val="00130EF3"/>
    <w:rsid w:val="001325AC"/>
    <w:rsid w:val="001328F0"/>
    <w:rsid w:val="00132978"/>
    <w:rsid w:val="00133B3D"/>
    <w:rsid w:val="001353F8"/>
    <w:rsid w:val="00142465"/>
    <w:rsid w:val="00143EE3"/>
    <w:rsid w:val="00144EEB"/>
    <w:rsid w:val="00145088"/>
    <w:rsid w:val="0014716D"/>
    <w:rsid w:val="00147FBB"/>
    <w:rsid w:val="00151312"/>
    <w:rsid w:val="001526CE"/>
    <w:rsid w:val="00154F36"/>
    <w:rsid w:val="001566F0"/>
    <w:rsid w:val="001575AB"/>
    <w:rsid w:val="0016198B"/>
    <w:rsid w:val="00162DA5"/>
    <w:rsid w:val="00164B7D"/>
    <w:rsid w:val="001723CE"/>
    <w:rsid w:val="001750ED"/>
    <w:rsid w:val="00175BA9"/>
    <w:rsid w:val="0018070B"/>
    <w:rsid w:val="00185EDA"/>
    <w:rsid w:val="00186C6F"/>
    <w:rsid w:val="0018742C"/>
    <w:rsid w:val="001902CD"/>
    <w:rsid w:val="0019185D"/>
    <w:rsid w:val="001919B1"/>
    <w:rsid w:val="00191B1E"/>
    <w:rsid w:val="00194010"/>
    <w:rsid w:val="00194500"/>
    <w:rsid w:val="001969EC"/>
    <w:rsid w:val="00196BCE"/>
    <w:rsid w:val="001971BA"/>
    <w:rsid w:val="00197C26"/>
    <w:rsid w:val="001A11DC"/>
    <w:rsid w:val="001A2FB1"/>
    <w:rsid w:val="001A55C0"/>
    <w:rsid w:val="001A5FC9"/>
    <w:rsid w:val="001B1849"/>
    <w:rsid w:val="001B20F2"/>
    <w:rsid w:val="001B279A"/>
    <w:rsid w:val="001B584B"/>
    <w:rsid w:val="001B750D"/>
    <w:rsid w:val="001C2E28"/>
    <w:rsid w:val="001C374C"/>
    <w:rsid w:val="001C7832"/>
    <w:rsid w:val="001D07CB"/>
    <w:rsid w:val="001D0A54"/>
    <w:rsid w:val="001D16B4"/>
    <w:rsid w:val="001D25B1"/>
    <w:rsid w:val="001D34D1"/>
    <w:rsid w:val="001D3E96"/>
    <w:rsid w:val="001D4671"/>
    <w:rsid w:val="001D516A"/>
    <w:rsid w:val="001D5633"/>
    <w:rsid w:val="001D5F00"/>
    <w:rsid w:val="001D7FEC"/>
    <w:rsid w:val="001E1302"/>
    <w:rsid w:val="001E192F"/>
    <w:rsid w:val="001E2268"/>
    <w:rsid w:val="001E3544"/>
    <w:rsid w:val="001E450A"/>
    <w:rsid w:val="001E5DE7"/>
    <w:rsid w:val="001E66FF"/>
    <w:rsid w:val="001F094E"/>
    <w:rsid w:val="001F16AE"/>
    <w:rsid w:val="001F2393"/>
    <w:rsid w:val="001F36FD"/>
    <w:rsid w:val="001F3767"/>
    <w:rsid w:val="001F5662"/>
    <w:rsid w:val="001F5913"/>
    <w:rsid w:val="001F5D13"/>
    <w:rsid w:val="00201A1F"/>
    <w:rsid w:val="00202541"/>
    <w:rsid w:val="0020335D"/>
    <w:rsid w:val="00203BA6"/>
    <w:rsid w:val="00206BCF"/>
    <w:rsid w:val="00207E84"/>
    <w:rsid w:val="00207F0F"/>
    <w:rsid w:val="00210881"/>
    <w:rsid w:val="0021282A"/>
    <w:rsid w:val="00212AA8"/>
    <w:rsid w:val="00212F6C"/>
    <w:rsid w:val="00213573"/>
    <w:rsid w:val="00214B79"/>
    <w:rsid w:val="0022132A"/>
    <w:rsid w:val="00222AFA"/>
    <w:rsid w:val="00223E2F"/>
    <w:rsid w:val="002256BC"/>
    <w:rsid w:val="00227514"/>
    <w:rsid w:val="00231D9E"/>
    <w:rsid w:val="00232FEE"/>
    <w:rsid w:val="0023519E"/>
    <w:rsid w:val="00237BD5"/>
    <w:rsid w:val="00237DDB"/>
    <w:rsid w:val="00237F30"/>
    <w:rsid w:val="00240234"/>
    <w:rsid w:val="00242644"/>
    <w:rsid w:val="00245045"/>
    <w:rsid w:val="0024616E"/>
    <w:rsid w:val="00250ABF"/>
    <w:rsid w:val="002512B4"/>
    <w:rsid w:val="00251F55"/>
    <w:rsid w:val="002520D2"/>
    <w:rsid w:val="00252B21"/>
    <w:rsid w:val="00253F23"/>
    <w:rsid w:val="00254104"/>
    <w:rsid w:val="002547B0"/>
    <w:rsid w:val="00254806"/>
    <w:rsid w:val="00255D1B"/>
    <w:rsid w:val="00264C7E"/>
    <w:rsid w:val="002654A3"/>
    <w:rsid w:val="00265BE8"/>
    <w:rsid w:val="0026721B"/>
    <w:rsid w:val="0027403C"/>
    <w:rsid w:val="002744EC"/>
    <w:rsid w:val="00274F01"/>
    <w:rsid w:val="002753C7"/>
    <w:rsid w:val="002774EB"/>
    <w:rsid w:val="00277D97"/>
    <w:rsid w:val="002827DD"/>
    <w:rsid w:val="002831D0"/>
    <w:rsid w:val="00285F66"/>
    <w:rsid w:val="00287B12"/>
    <w:rsid w:val="002904BD"/>
    <w:rsid w:val="002927C7"/>
    <w:rsid w:val="00293C50"/>
    <w:rsid w:val="002952DB"/>
    <w:rsid w:val="00297F0A"/>
    <w:rsid w:val="002A2950"/>
    <w:rsid w:val="002A4255"/>
    <w:rsid w:val="002A51EB"/>
    <w:rsid w:val="002A6A8E"/>
    <w:rsid w:val="002B0F48"/>
    <w:rsid w:val="002B660F"/>
    <w:rsid w:val="002B7F41"/>
    <w:rsid w:val="002C25FA"/>
    <w:rsid w:val="002C2BED"/>
    <w:rsid w:val="002C4BC8"/>
    <w:rsid w:val="002D0237"/>
    <w:rsid w:val="002D065B"/>
    <w:rsid w:val="002D23B6"/>
    <w:rsid w:val="002D44B0"/>
    <w:rsid w:val="002D49E9"/>
    <w:rsid w:val="002D4A4A"/>
    <w:rsid w:val="002D6081"/>
    <w:rsid w:val="002E1064"/>
    <w:rsid w:val="002E2B87"/>
    <w:rsid w:val="002E36BE"/>
    <w:rsid w:val="002E550E"/>
    <w:rsid w:val="002E69F4"/>
    <w:rsid w:val="002E6FC4"/>
    <w:rsid w:val="002E7460"/>
    <w:rsid w:val="002E7D19"/>
    <w:rsid w:val="002F100C"/>
    <w:rsid w:val="002F2CC7"/>
    <w:rsid w:val="002F5CE7"/>
    <w:rsid w:val="002F7920"/>
    <w:rsid w:val="002F7B29"/>
    <w:rsid w:val="002F7C29"/>
    <w:rsid w:val="0030359A"/>
    <w:rsid w:val="00303A26"/>
    <w:rsid w:val="003047BB"/>
    <w:rsid w:val="00304B15"/>
    <w:rsid w:val="00304BCD"/>
    <w:rsid w:val="00305ECE"/>
    <w:rsid w:val="003108AC"/>
    <w:rsid w:val="00312756"/>
    <w:rsid w:val="00312D26"/>
    <w:rsid w:val="00313D42"/>
    <w:rsid w:val="00313DC4"/>
    <w:rsid w:val="00314BA9"/>
    <w:rsid w:val="00314F62"/>
    <w:rsid w:val="00315C1F"/>
    <w:rsid w:val="00315EE0"/>
    <w:rsid w:val="00322F07"/>
    <w:rsid w:val="0032493A"/>
    <w:rsid w:val="003249C5"/>
    <w:rsid w:val="00330616"/>
    <w:rsid w:val="00331DC8"/>
    <w:rsid w:val="00332D89"/>
    <w:rsid w:val="00332F7D"/>
    <w:rsid w:val="00333CB2"/>
    <w:rsid w:val="00334C14"/>
    <w:rsid w:val="0033529E"/>
    <w:rsid w:val="00336A16"/>
    <w:rsid w:val="003409BD"/>
    <w:rsid w:val="00340BEE"/>
    <w:rsid w:val="00341686"/>
    <w:rsid w:val="003417E0"/>
    <w:rsid w:val="003422CD"/>
    <w:rsid w:val="00343B3B"/>
    <w:rsid w:val="003441E4"/>
    <w:rsid w:val="003471ED"/>
    <w:rsid w:val="00350EB3"/>
    <w:rsid w:val="00351466"/>
    <w:rsid w:val="00351F57"/>
    <w:rsid w:val="003521D4"/>
    <w:rsid w:val="003529CF"/>
    <w:rsid w:val="00355987"/>
    <w:rsid w:val="003559C9"/>
    <w:rsid w:val="0036032F"/>
    <w:rsid w:val="00362092"/>
    <w:rsid w:val="00362B39"/>
    <w:rsid w:val="003638BC"/>
    <w:rsid w:val="00364AD7"/>
    <w:rsid w:val="003666D1"/>
    <w:rsid w:val="00367021"/>
    <w:rsid w:val="00367D4F"/>
    <w:rsid w:val="00370263"/>
    <w:rsid w:val="00372A2C"/>
    <w:rsid w:val="00373B10"/>
    <w:rsid w:val="00373F1E"/>
    <w:rsid w:val="003769E1"/>
    <w:rsid w:val="00383828"/>
    <w:rsid w:val="0038444C"/>
    <w:rsid w:val="003867C0"/>
    <w:rsid w:val="00390D11"/>
    <w:rsid w:val="00393646"/>
    <w:rsid w:val="0039374F"/>
    <w:rsid w:val="00394699"/>
    <w:rsid w:val="00396191"/>
    <w:rsid w:val="00396473"/>
    <w:rsid w:val="003A037C"/>
    <w:rsid w:val="003A1DFD"/>
    <w:rsid w:val="003A61DB"/>
    <w:rsid w:val="003A6528"/>
    <w:rsid w:val="003A6D0D"/>
    <w:rsid w:val="003B1C58"/>
    <w:rsid w:val="003B3654"/>
    <w:rsid w:val="003B4E84"/>
    <w:rsid w:val="003B71A0"/>
    <w:rsid w:val="003C1C06"/>
    <w:rsid w:val="003C2973"/>
    <w:rsid w:val="003C3879"/>
    <w:rsid w:val="003C707C"/>
    <w:rsid w:val="003D53E3"/>
    <w:rsid w:val="003D541E"/>
    <w:rsid w:val="003D748E"/>
    <w:rsid w:val="003D793B"/>
    <w:rsid w:val="003D7B67"/>
    <w:rsid w:val="003D7F04"/>
    <w:rsid w:val="003E19E1"/>
    <w:rsid w:val="003E2BDB"/>
    <w:rsid w:val="003E464F"/>
    <w:rsid w:val="003E5633"/>
    <w:rsid w:val="003E57E4"/>
    <w:rsid w:val="003E764D"/>
    <w:rsid w:val="003F0CBC"/>
    <w:rsid w:val="003F20D0"/>
    <w:rsid w:val="003F22E3"/>
    <w:rsid w:val="003F2408"/>
    <w:rsid w:val="003F3E27"/>
    <w:rsid w:val="003F4868"/>
    <w:rsid w:val="003F5D42"/>
    <w:rsid w:val="003F7A39"/>
    <w:rsid w:val="00401AF8"/>
    <w:rsid w:val="00402D74"/>
    <w:rsid w:val="004049A1"/>
    <w:rsid w:val="004061F6"/>
    <w:rsid w:val="00407E73"/>
    <w:rsid w:val="00410726"/>
    <w:rsid w:val="00411589"/>
    <w:rsid w:val="00420DED"/>
    <w:rsid w:val="00421CCA"/>
    <w:rsid w:val="00423A64"/>
    <w:rsid w:val="0042558F"/>
    <w:rsid w:val="00425A7B"/>
    <w:rsid w:val="00427F04"/>
    <w:rsid w:val="00430A6C"/>
    <w:rsid w:val="004357B8"/>
    <w:rsid w:val="00440801"/>
    <w:rsid w:val="00442DE8"/>
    <w:rsid w:val="00447CB3"/>
    <w:rsid w:val="00450325"/>
    <w:rsid w:val="00453FD5"/>
    <w:rsid w:val="00454C06"/>
    <w:rsid w:val="00456EB4"/>
    <w:rsid w:val="00457E22"/>
    <w:rsid w:val="004605DC"/>
    <w:rsid w:val="004611FC"/>
    <w:rsid w:val="00464C9C"/>
    <w:rsid w:val="004661BF"/>
    <w:rsid w:val="004667AE"/>
    <w:rsid w:val="004719CC"/>
    <w:rsid w:val="004730B6"/>
    <w:rsid w:val="00473CAD"/>
    <w:rsid w:val="00474261"/>
    <w:rsid w:val="004746AD"/>
    <w:rsid w:val="00476B03"/>
    <w:rsid w:val="00476FC0"/>
    <w:rsid w:val="00480E58"/>
    <w:rsid w:val="004821C7"/>
    <w:rsid w:val="00484511"/>
    <w:rsid w:val="004869EB"/>
    <w:rsid w:val="004904FA"/>
    <w:rsid w:val="00491EE3"/>
    <w:rsid w:val="00495862"/>
    <w:rsid w:val="0049699A"/>
    <w:rsid w:val="00497D72"/>
    <w:rsid w:val="00497FB5"/>
    <w:rsid w:val="004A00DF"/>
    <w:rsid w:val="004A3F11"/>
    <w:rsid w:val="004A6239"/>
    <w:rsid w:val="004A7C06"/>
    <w:rsid w:val="004B0056"/>
    <w:rsid w:val="004B0840"/>
    <w:rsid w:val="004B3DF7"/>
    <w:rsid w:val="004B56A4"/>
    <w:rsid w:val="004B652B"/>
    <w:rsid w:val="004B65DB"/>
    <w:rsid w:val="004B7080"/>
    <w:rsid w:val="004B789B"/>
    <w:rsid w:val="004B79AF"/>
    <w:rsid w:val="004C04D8"/>
    <w:rsid w:val="004C0EAC"/>
    <w:rsid w:val="004C112C"/>
    <w:rsid w:val="004C229C"/>
    <w:rsid w:val="004C26C9"/>
    <w:rsid w:val="004D0B4E"/>
    <w:rsid w:val="004D41BE"/>
    <w:rsid w:val="004D47AA"/>
    <w:rsid w:val="004D4AD9"/>
    <w:rsid w:val="004D57EB"/>
    <w:rsid w:val="004E07E0"/>
    <w:rsid w:val="004E5115"/>
    <w:rsid w:val="004E6E8F"/>
    <w:rsid w:val="004F0C87"/>
    <w:rsid w:val="004F20A9"/>
    <w:rsid w:val="004F3541"/>
    <w:rsid w:val="004F5AA6"/>
    <w:rsid w:val="004F5E4D"/>
    <w:rsid w:val="004F6702"/>
    <w:rsid w:val="00500E56"/>
    <w:rsid w:val="00501108"/>
    <w:rsid w:val="005015A2"/>
    <w:rsid w:val="005031ED"/>
    <w:rsid w:val="00503248"/>
    <w:rsid w:val="00504CFA"/>
    <w:rsid w:val="0050560E"/>
    <w:rsid w:val="00506429"/>
    <w:rsid w:val="00507A6C"/>
    <w:rsid w:val="00510F37"/>
    <w:rsid w:val="005121B9"/>
    <w:rsid w:val="005124B0"/>
    <w:rsid w:val="005135BB"/>
    <w:rsid w:val="0051397A"/>
    <w:rsid w:val="00513A66"/>
    <w:rsid w:val="00515097"/>
    <w:rsid w:val="00515473"/>
    <w:rsid w:val="00520640"/>
    <w:rsid w:val="00522476"/>
    <w:rsid w:val="00522F14"/>
    <w:rsid w:val="00523647"/>
    <w:rsid w:val="005243EB"/>
    <w:rsid w:val="00525847"/>
    <w:rsid w:val="005302CA"/>
    <w:rsid w:val="0053079D"/>
    <w:rsid w:val="00532322"/>
    <w:rsid w:val="0053432A"/>
    <w:rsid w:val="00534BD1"/>
    <w:rsid w:val="00535EB7"/>
    <w:rsid w:val="00536208"/>
    <w:rsid w:val="00536FE8"/>
    <w:rsid w:val="00537D5B"/>
    <w:rsid w:val="00542603"/>
    <w:rsid w:val="00543B29"/>
    <w:rsid w:val="00545155"/>
    <w:rsid w:val="00545BE2"/>
    <w:rsid w:val="00546623"/>
    <w:rsid w:val="00547A97"/>
    <w:rsid w:val="00550E2E"/>
    <w:rsid w:val="00550EDC"/>
    <w:rsid w:val="00551B58"/>
    <w:rsid w:val="0055238F"/>
    <w:rsid w:val="00552434"/>
    <w:rsid w:val="0055385A"/>
    <w:rsid w:val="005538BC"/>
    <w:rsid w:val="00555B58"/>
    <w:rsid w:val="0055609D"/>
    <w:rsid w:val="0056105B"/>
    <w:rsid w:val="0056561C"/>
    <w:rsid w:val="00565E0B"/>
    <w:rsid w:val="0056613F"/>
    <w:rsid w:val="00570A58"/>
    <w:rsid w:val="005711F5"/>
    <w:rsid w:val="00572759"/>
    <w:rsid w:val="005761E5"/>
    <w:rsid w:val="00576CC3"/>
    <w:rsid w:val="005804B6"/>
    <w:rsid w:val="00580BE5"/>
    <w:rsid w:val="00581ACC"/>
    <w:rsid w:val="00581C68"/>
    <w:rsid w:val="00582272"/>
    <w:rsid w:val="005833A2"/>
    <w:rsid w:val="00586219"/>
    <w:rsid w:val="00587E89"/>
    <w:rsid w:val="005906BC"/>
    <w:rsid w:val="0059581A"/>
    <w:rsid w:val="005A0BD2"/>
    <w:rsid w:val="005A0D61"/>
    <w:rsid w:val="005A4150"/>
    <w:rsid w:val="005A5A0B"/>
    <w:rsid w:val="005A750C"/>
    <w:rsid w:val="005A7578"/>
    <w:rsid w:val="005B101E"/>
    <w:rsid w:val="005B3FE6"/>
    <w:rsid w:val="005B4A64"/>
    <w:rsid w:val="005B5E49"/>
    <w:rsid w:val="005B7159"/>
    <w:rsid w:val="005B7698"/>
    <w:rsid w:val="005C0511"/>
    <w:rsid w:val="005C1154"/>
    <w:rsid w:val="005C17F5"/>
    <w:rsid w:val="005C412A"/>
    <w:rsid w:val="005C6573"/>
    <w:rsid w:val="005D07EB"/>
    <w:rsid w:val="005D62C4"/>
    <w:rsid w:val="005D6ECA"/>
    <w:rsid w:val="005D7BA9"/>
    <w:rsid w:val="005E20C5"/>
    <w:rsid w:val="005E2B67"/>
    <w:rsid w:val="005E30F7"/>
    <w:rsid w:val="005E388A"/>
    <w:rsid w:val="005F1323"/>
    <w:rsid w:val="005F1C4D"/>
    <w:rsid w:val="005F2F72"/>
    <w:rsid w:val="005F2FD5"/>
    <w:rsid w:val="005F32C8"/>
    <w:rsid w:val="005F3535"/>
    <w:rsid w:val="005F3B4C"/>
    <w:rsid w:val="005F55B2"/>
    <w:rsid w:val="005F712A"/>
    <w:rsid w:val="00600E59"/>
    <w:rsid w:val="0060184C"/>
    <w:rsid w:val="0060201D"/>
    <w:rsid w:val="0060235D"/>
    <w:rsid w:val="00602605"/>
    <w:rsid w:val="0060380B"/>
    <w:rsid w:val="0060385D"/>
    <w:rsid w:val="00604D26"/>
    <w:rsid w:val="00605958"/>
    <w:rsid w:val="006061DF"/>
    <w:rsid w:val="0061164B"/>
    <w:rsid w:val="0061225D"/>
    <w:rsid w:val="00612F53"/>
    <w:rsid w:val="00614C9C"/>
    <w:rsid w:val="00614D45"/>
    <w:rsid w:val="006163B5"/>
    <w:rsid w:val="0061647F"/>
    <w:rsid w:val="0061670C"/>
    <w:rsid w:val="00621C2B"/>
    <w:rsid w:val="006241D4"/>
    <w:rsid w:val="00626D8E"/>
    <w:rsid w:val="00627605"/>
    <w:rsid w:val="006301F0"/>
    <w:rsid w:val="00631138"/>
    <w:rsid w:val="00632563"/>
    <w:rsid w:val="00642AD9"/>
    <w:rsid w:val="00643626"/>
    <w:rsid w:val="00643DBF"/>
    <w:rsid w:val="00645E12"/>
    <w:rsid w:val="00645FB7"/>
    <w:rsid w:val="0065135C"/>
    <w:rsid w:val="0065219D"/>
    <w:rsid w:val="0065314E"/>
    <w:rsid w:val="00653E5E"/>
    <w:rsid w:val="00655589"/>
    <w:rsid w:val="006556ED"/>
    <w:rsid w:val="0066165D"/>
    <w:rsid w:val="00662FFB"/>
    <w:rsid w:val="0066368E"/>
    <w:rsid w:val="00663758"/>
    <w:rsid w:val="006645D4"/>
    <w:rsid w:val="0067307D"/>
    <w:rsid w:val="00674AC4"/>
    <w:rsid w:val="00675C73"/>
    <w:rsid w:val="00675EA0"/>
    <w:rsid w:val="00675EDA"/>
    <w:rsid w:val="0068082D"/>
    <w:rsid w:val="00681F75"/>
    <w:rsid w:val="0068714A"/>
    <w:rsid w:val="006877D0"/>
    <w:rsid w:val="00690508"/>
    <w:rsid w:val="006917DD"/>
    <w:rsid w:val="00692621"/>
    <w:rsid w:val="00692EC1"/>
    <w:rsid w:val="0069662F"/>
    <w:rsid w:val="00696E85"/>
    <w:rsid w:val="00697679"/>
    <w:rsid w:val="0069783F"/>
    <w:rsid w:val="00697E50"/>
    <w:rsid w:val="006A2617"/>
    <w:rsid w:val="006A2B48"/>
    <w:rsid w:val="006A6B7B"/>
    <w:rsid w:val="006A7161"/>
    <w:rsid w:val="006A725E"/>
    <w:rsid w:val="006A7B74"/>
    <w:rsid w:val="006B325D"/>
    <w:rsid w:val="006B4932"/>
    <w:rsid w:val="006B4F97"/>
    <w:rsid w:val="006B5061"/>
    <w:rsid w:val="006B725E"/>
    <w:rsid w:val="006C11CC"/>
    <w:rsid w:val="006C148E"/>
    <w:rsid w:val="006C4CB6"/>
    <w:rsid w:val="006C7879"/>
    <w:rsid w:val="006C7A14"/>
    <w:rsid w:val="006C7E30"/>
    <w:rsid w:val="006D1173"/>
    <w:rsid w:val="006D7A1E"/>
    <w:rsid w:val="006E0C85"/>
    <w:rsid w:val="006E0DF2"/>
    <w:rsid w:val="006E2AB3"/>
    <w:rsid w:val="006E3362"/>
    <w:rsid w:val="006E46B3"/>
    <w:rsid w:val="006E7135"/>
    <w:rsid w:val="006E7A34"/>
    <w:rsid w:val="006F2C87"/>
    <w:rsid w:val="006F3141"/>
    <w:rsid w:val="006F354D"/>
    <w:rsid w:val="006F4724"/>
    <w:rsid w:val="006F5AE8"/>
    <w:rsid w:val="00701025"/>
    <w:rsid w:val="00701055"/>
    <w:rsid w:val="00701E74"/>
    <w:rsid w:val="00705B58"/>
    <w:rsid w:val="00706078"/>
    <w:rsid w:val="00714F45"/>
    <w:rsid w:val="007161E3"/>
    <w:rsid w:val="00720925"/>
    <w:rsid w:val="00721140"/>
    <w:rsid w:val="007226D2"/>
    <w:rsid w:val="007230A7"/>
    <w:rsid w:val="00723EFE"/>
    <w:rsid w:val="00724898"/>
    <w:rsid w:val="00724C09"/>
    <w:rsid w:val="00725147"/>
    <w:rsid w:val="007251C5"/>
    <w:rsid w:val="007254B8"/>
    <w:rsid w:val="007258F4"/>
    <w:rsid w:val="007303F6"/>
    <w:rsid w:val="0073040B"/>
    <w:rsid w:val="00732843"/>
    <w:rsid w:val="00733857"/>
    <w:rsid w:val="00734767"/>
    <w:rsid w:val="007356CF"/>
    <w:rsid w:val="007361A9"/>
    <w:rsid w:val="00736C43"/>
    <w:rsid w:val="007374AB"/>
    <w:rsid w:val="00742345"/>
    <w:rsid w:val="00745668"/>
    <w:rsid w:val="00745F7D"/>
    <w:rsid w:val="0074616A"/>
    <w:rsid w:val="00746CE8"/>
    <w:rsid w:val="007470B4"/>
    <w:rsid w:val="00750B59"/>
    <w:rsid w:val="00753C61"/>
    <w:rsid w:val="00754E2F"/>
    <w:rsid w:val="00755B0F"/>
    <w:rsid w:val="00757474"/>
    <w:rsid w:val="00760BB8"/>
    <w:rsid w:val="00765F66"/>
    <w:rsid w:val="00767EBE"/>
    <w:rsid w:val="00770368"/>
    <w:rsid w:val="00772AEB"/>
    <w:rsid w:val="0077365A"/>
    <w:rsid w:val="00774586"/>
    <w:rsid w:val="00776E98"/>
    <w:rsid w:val="00777B9B"/>
    <w:rsid w:val="00782802"/>
    <w:rsid w:val="00785CDB"/>
    <w:rsid w:val="00786015"/>
    <w:rsid w:val="00786368"/>
    <w:rsid w:val="0078673A"/>
    <w:rsid w:val="00786BD4"/>
    <w:rsid w:val="00787369"/>
    <w:rsid w:val="007905F7"/>
    <w:rsid w:val="00790E76"/>
    <w:rsid w:val="00791169"/>
    <w:rsid w:val="0079210A"/>
    <w:rsid w:val="00792141"/>
    <w:rsid w:val="0079492C"/>
    <w:rsid w:val="00794B73"/>
    <w:rsid w:val="0079504C"/>
    <w:rsid w:val="0079511C"/>
    <w:rsid w:val="007958A9"/>
    <w:rsid w:val="007A14EC"/>
    <w:rsid w:val="007A1B47"/>
    <w:rsid w:val="007A27AF"/>
    <w:rsid w:val="007A400F"/>
    <w:rsid w:val="007A6A9E"/>
    <w:rsid w:val="007B0809"/>
    <w:rsid w:val="007B117C"/>
    <w:rsid w:val="007B5CED"/>
    <w:rsid w:val="007B5D43"/>
    <w:rsid w:val="007B671A"/>
    <w:rsid w:val="007B6E6F"/>
    <w:rsid w:val="007B7747"/>
    <w:rsid w:val="007C056E"/>
    <w:rsid w:val="007C0A0D"/>
    <w:rsid w:val="007C1CB2"/>
    <w:rsid w:val="007C6094"/>
    <w:rsid w:val="007D0571"/>
    <w:rsid w:val="007D0AEE"/>
    <w:rsid w:val="007D0EEB"/>
    <w:rsid w:val="007D1847"/>
    <w:rsid w:val="007D243D"/>
    <w:rsid w:val="007D51B3"/>
    <w:rsid w:val="007D7CEB"/>
    <w:rsid w:val="007E0371"/>
    <w:rsid w:val="007E1BC9"/>
    <w:rsid w:val="007E2254"/>
    <w:rsid w:val="007E46DE"/>
    <w:rsid w:val="007E60BE"/>
    <w:rsid w:val="007F11AB"/>
    <w:rsid w:val="007F1FDD"/>
    <w:rsid w:val="007F3822"/>
    <w:rsid w:val="007F3D8B"/>
    <w:rsid w:val="007F4862"/>
    <w:rsid w:val="007F5087"/>
    <w:rsid w:val="007F52A0"/>
    <w:rsid w:val="007F539B"/>
    <w:rsid w:val="007F54E9"/>
    <w:rsid w:val="008024E3"/>
    <w:rsid w:val="00802C46"/>
    <w:rsid w:val="00802E83"/>
    <w:rsid w:val="008045FB"/>
    <w:rsid w:val="00805480"/>
    <w:rsid w:val="008060F7"/>
    <w:rsid w:val="008069C5"/>
    <w:rsid w:val="00810BF8"/>
    <w:rsid w:val="00810E91"/>
    <w:rsid w:val="00811B6E"/>
    <w:rsid w:val="0081217D"/>
    <w:rsid w:val="00813B5C"/>
    <w:rsid w:val="00813E8D"/>
    <w:rsid w:val="00814532"/>
    <w:rsid w:val="008147F7"/>
    <w:rsid w:val="008153E7"/>
    <w:rsid w:val="00815413"/>
    <w:rsid w:val="00815B41"/>
    <w:rsid w:val="008163B5"/>
    <w:rsid w:val="00817C79"/>
    <w:rsid w:val="00820C02"/>
    <w:rsid w:val="0082121F"/>
    <w:rsid w:val="00821333"/>
    <w:rsid w:val="0082239A"/>
    <w:rsid w:val="00825B0C"/>
    <w:rsid w:val="00826B62"/>
    <w:rsid w:val="00827269"/>
    <w:rsid w:val="00830FD6"/>
    <w:rsid w:val="0083426D"/>
    <w:rsid w:val="00834664"/>
    <w:rsid w:val="0083473D"/>
    <w:rsid w:val="008364A2"/>
    <w:rsid w:val="008412DD"/>
    <w:rsid w:val="008414BF"/>
    <w:rsid w:val="0084361A"/>
    <w:rsid w:val="008445AE"/>
    <w:rsid w:val="00845833"/>
    <w:rsid w:val="00847121"/>
    <w:rsid w:val="00851D9B"/>
    <w:rsid w:val="00853258"/>
    <w:rsid w:val="00853A3A"/>
    <w:rsid w:val="00855244"/>
    <w:rsid w:val="008576CD"/>
    <w:rsid w:val="008607A1"/>
    <w:rsid w:val="00860F38"/>
    <w:rsid w:val="00867537"/>
    <w:rsid w:val="00870238"/>
    <w:rsid w:val="0087127E"/>
    <w:rsid w:val="00872BF8"/>
    <w:rsid w:val="00874BDE"/>
    <w:rsid w:val="00874DA7"/>
    <w:rsid w:val="008804B5"/>
    <w:rsid w:val="00883650"/>
    <w:rsid w:val="00883656"/>
    <w:rsid w:val="0089159C"/>
    <w:rsid w:val="008918B8"/>
    <w:rsid w:val="00894C61"/>
    <w:rsid w:val="00894E21"/>
    <w:rsid w:val="008962CA"/>
    <w:rsid w:val="008A0431"/>
    <w:rsid w:val="008A3395"/>
    <w:rsid w:val="008A3EFC"/>
    <w:rsid w:val="008A46CD"/>
    <w:rsid w:val="008A5589"/>
    <w:rsid w:val="008A5A29"/>
    <w:rsid w:val="008A661D"/>
    <w:rsid w:val="008A6BD8"/>
    <w:rsid w:val="008B1C87"/>
    <w:rsid w:val="008B222C"/>
    <w:rsid w:val="008B4728"/>
    <w:rsid w:val="008B5D42"/>
    <w:rsid w:val="008B5D8A"/>
    <w:rsid w:val="008B6C50"/>
    <w:rsid w:val="008B7946"/>
    <w:rsid w:val="008C0428"/>
    <w:rsid w:val="008C38C2"/>
    <w:rsid w:val="008C43EB"/>
    <w:rsid w:val="008D0472"/>
    <w:rsid w:val="008D04FE"/>
    <w:rsid w:val="008D1160"/>
    <w:rsid w:val="008D247C"/>
    <w:rsid w:val="008D24BA"/>
    <w:rsid w:val="008D3DCB"/>
    <w:rsid w:val="008D4CA8"/>
    <w:rsid w:val="008D6CB2"/>
    <w:rsid w:val="008E0BF9"/>
    <w:rsid w:val="008E0D6C"/>
    <w:rsid w:val="008E3ACC"/>
    <w:rsid w:val="008E5848"/>
    <w:rsid w:val="008E7BA1"/>
    <w:rsid w:val="008E7C7F"/>
    <w:rsid w:val="008F0B10"/>
    <w:rsid w:val="008F0C61"/>
    <w:rsid w:val="008F657C"/>
    <w:rsid w:val="00901C56"/>
    <w:rsid w:val="00902140"/>
    <w:rsid w:val="00902665"/>
    <w:rsid w:val="009111DA"/>
    <w:rsid w:val="00911583"/>
    <w:rsid w:val="00913EA3"/>
    <w:rsid w:val="00915827"/>
    <w:rsid w:val="0091638A"/>
    <w:rsid w:val="0091667A"/>
    <w:rsid w:val="009204EC"/>
    <w:rsid w:val="00920A60"/>
    <w:rsid w:val="0092254A"/>
    <w:rsid w:val="009234C4"/>
    <w:rsid w:val="00923591"/>
    <w:rsid w:val="00923712"/>
    <w:rsid w:val="009257D5"/>
    <w:rsid w:val="00932F94"/>
    <w:rsid w:val="009330DB"/>
    <w:rsid w:val="009331C3"/>
    <w:rsid w:val="00936729"/>
    <w:rsid w:val="00941D3C"/>
    <w:rsid w:val="00942D8A"/>
    <w:rsid w:val="00943C0D"/>
    <w:rsid w:val="00943F22"/>
    <w:rsid w:val="009462F3"/>
    <w:rsid w:val="00951855"/>
    <w:rsid w:val="009526C4"/>
    <w:rsid w:val="00953E7D"/>
    <w:rsid w:val="009545AA"/>
    <w:rsid w:val="00955190"/>
    <w:rsid w:val="00963D63"/>
    <w:rsid w:val="00965C87"/>
    <w:rsid w:val="00970667"/>
    <w:rsid w:val="00970784"/>
    <w:rsid w:val="00971EEE"/>
    <w:rsid w:val="00972905"/>
    <w:rsid w:val="00976A90"/>
    <w:rsid w:val="00976B82"/>
    <w:rsid w:val="00980840"/>
    <w:rsid w:val="00981361"/>
    <w:rsid w:val="00984073"/>
    <w:rsid w:val="009848D5"/>
    <w:rsid w:val="00984BE3"/>
    <w:rsid w:val="00984FFF"/>
    <w:rsid w:val="00986BBF"/>
    <w:rsid w:val="00986C29"/>
    <w:rsid w:val="009878CA"/>
    <w:rsid w:val="00987A60"/>
    <w:rsid w:val="00990626"/>
    <w:rsid w:val="009909B5"/>
    <w:rsid w:val="00992635"/>
    <w:rsid w:val="009927DB"/>
    <w:rsid w:val="009942CC"/>
    <w:rsid w:val="009974D4"/>
    <w:rsid w:val="00997565"/>
    <w:rsid w:val="00997E47"/>
    <w:rsid w:val="009A172F"/>
    <w:rsid w:val="009A571B"/>
    <w:rsid w:val="009A663C"/>
    <w:rsid w:val="009A7F82"/>
    <w:rsid w:val="009C0F49"/>
    <w:rsid w:val="009C1273"/>
    <w:rsid w:val="009C2752"/>
    <w:rsid w:val="009C4E7D"/>
    <w:rsid w:val="009C597C"/>
    <w:rsid w:val="009D1B9B"/>
    <w:rsid w:val="009D2B86"/>
    <w:rsid w:val="009D3A34"/>
    <w:rsid w:val="009D4671"/>
    <w:rsid w:val="009D468E"/>
    <w:rsid w:val="009E3C9C"/>
    <w:rsid w:val="009E6D84"/>
    <w:rsid w:val="009F0AEA"/>
    <w:rsid w:val="009F2689"/>
    <w:rsid w:val="009F5824"/>
    <w:rsid w:val="009F5E32"/>
    <w:rsid w:val="009F607D"/>
    <w:rsid w:val="009F6D84"/>
    <w:rsid w:val="009F6F3C"/>
    <w:rsid w:val="00A01729"/>
    <w:rsid w:val="00A02DA4"/>
    <w:rsid w:val="00A055DD"/>
    <w:rsid w:val="00A06245"/>
    <w:rsid w:val="00A07880"/>
    <w:rsid w:val="00A10B25"/>
    <w:rsid w:val="00A12601"/>
    <w:rsid w:val="00A14522"/>
    <w:rsid w:val="00A15405"/>
    <w:rsid w:val="00A15F2C"/>
    <w:rsid w:val="00A17FBA"/>
    <w:rsid w:val="00A20D2D"/>
    <w:rsid w:val="00A23830"/>
    <w:rsid w:val="00A27F53"/>
    <w:rsid w:val="00A303B6"/>
    <w:rsid w:val="00A3049C"/>
    <w:rsid w:val="00A307CC"/>
    <w:rsid w:val="00A3156F"/>
    <w:rsid w:val="00A33B70"/>
    <w:rsid w:val="00A36F19"/>
    <w:rsid w:val="00A403AF"/>
    <w:rsid w:val="00A435D4"/>
    <w:rsid w:val="00A44D2B"/>
    <w:rsid w:val="00A465C9"/>
    <w:rsid w:val="00A47F44"/>
    <w:rsid w:val="00A52796"/>
    <w:rsid w:val="00A52C07"/>
    <w:rsid w:val="00A549C1"/>
    <w:rsid w:val="00A56C01"/>
    <w:rsid w:val="00A57BFA"/>
    <w:rsid w:val="00A6054F"/>
    <w:rsid w:val="00A607D1"/>
    <w:rsid w:val="00A62A35"/>
    <w:rsid w:val="00A64A44"/>
    <w:rsid w:val="00A653C1"/>
    <w:rsid w:val="00A660BE"/>
    <w:rsid w:val="00A705E0"/>
    <w:rsid w:val="00A70990"/>
    <w:rsid w:val="00A7100E"/>
    <w:rsid w:val="00A71626"/>
    <w:rsid w:val="00A71FA8"/>
    <w:rsid w:val="00A7238B"/>
    <w:rsid w:val="00A728F0"/>
    <w:rsid w:val="00A72A6E"/>
    <w:rsid w:val="00A7325A"/>
    <w:rsid w:val="00A739C4"/>
    <w:rsid w:val="00A73A43"/>
    <w:rsid w:val="00A748D0"/>
    <w:rsid w:val="00A749E6"/>
    <w:rsid w:val="00A74A80"/>
    <w:rsid w:val="00A76C84"/>
    <w:rsid w:val="00A773AE"/>
    <w:rsid w:val="00A80199"/>
    <w:rsid w:val="00A80566"/>
    <w:rsid w:val="00A8271B"/>
    <w:rsid w:val="00A83928"/>
    <w:rsid w:val="00A919A7"/>
    <w:rsid w:val="00A91E6D"/>
    <w:rsid w:val="00A93391"/>
    <w:rsid w:val="00A955C5"/>
    <w:rsid w:val="00A96AF1"/>
    <w:rsid w:val="00AA28C2"/>
    <w:rsid w:val="00AA4B94"/>
    <w:rsid w:val="00AA5FCB"/>
    <w:rsid w:val="00AB0C75"/>
    <w:rsid w:val="00AB156D"/>
    <w:rsid w:val="00AB2BDE"/>
    <w:rsid w:val="00AB4710"/>
    <w:rsid w:val="00AB4D9F"/>
    <w:rsid w:val="00AB4E72"/>
    <w:rsid w:val="00AB72CB"/>
    <w:rsid w:val="00AC1FDA"/>
    <w:rsid w:val="00AC26B5"/>
    <w:rsid w:val="00AC2A3C"/>
    <w:rsid w:val="00AC2CBD"/>
    <w:rsid w:val="00AC46D9"/>
    <w:rsid w:val="00AC699C"/>
    <w:rsid w:val="00AC7153"/>
    <w:rsid w:val="00AD0FAE"/>
    <w:rsid w:val="00AD175D"/>
    <w:rsid w:val="00AD22C7"/>
    <w:rsid w:val="00AD29B0"/>
    <w:rsid w:val="00AD354E"/>
    <w:rsid w:val="00AD452F"/>
    <w:rsid w:val="00AD708C"/>
    <w:rsid w:val="00AD70F2"/>
    <w:rsid w:val="00AD79C8"/>
    <w:rsid w:val="00AE13D4"/>
    <w:rsid w:val="00AE279A"/>
    <w:rsid w:val="00AE33C0"/>
    <w:rsid w:val="00AE6E54"/>
    <w:rsid w:val="00AE713C"/>
    <w:rsid w:val="00AE7ACF"/>
    <w:rsid w:val="00AF14C3"/>
    <w:rsid w:val="00AF14D2"/>
    <w:rsid w:val="00AF2F1B"/>
    <w:rsid w:val="00AF783D"/>
    <w:rsid w:val="00B018F2"/>
    <w:rsid w:val="00B05DDA"/>
    <w:rsid w:val="00B06A19"/>
    <w:rsid w:val="00B06E61"/>
    <w:rsid w:val="00B102CE"/>
    <w:rsid w:val="00B10F86"/>
    <w:rsid w:val="00B135AB"/>
    <w:rsid w:val="00B14222"/>
    <w:rsid w:val="00B1447B"/>
    <w:rsid w:val="00B1455E"/>
    <w:rsid w:val="00B2154C"/>
    <w:rsid w:val="00B2196C"/>
    <w:rsid w:val="00B21C03"/>
    <w:rsid w:val="00B22D90"/>
    <w:rsid w:val="00B238BF"/>
    <w:rsid w:val="00B2396B"/>
    <w:rsid w:val="00B246CC"/>
    <w:rsid w:val="00B24DD9"/>
    <w:rsid w:val="00B2528E"/>
    <w:rsid w:val="00B2577F"/>
    <w:rsid w:val="00B27A16"/>
    <w:rsid w:val="00B33F98"/>
    <w:rsid w:val="00B33FC5"/>
    <w:rsid w:val="00B34FD9"/>
    <w:rsid w:val="00B36841"/>
    <w:rsid w:val="00B40F25"/>
    <w:rsid w:val="00B41FF5"/>
    <w:rsid w:val="00B45789"/>
    <w:rsid w:val="00B5180A"/>
    <w:rsid w:val="00B51CC9"/>
    <w:rsid w:val="00B52BED"/>
    <w:rsid w:val="00B57941"/>
    <w:rsid w:val="00B57C39"/>
    <w:rsid w:val="00B609AE"/>
    <w:rsid w:val="00B61D37"/>
    <w:rsid w:val="00B61DA1"/>
    <w:rsid w:val="00B62949"/>
    <w:rsid w:val="00B6394F"/>
    <w:rsid w:val="00B641E6"/>
    <w:rsid w:val="00B65F7F"/>
    <w:rsid w:val="00B66118"/>
    <w:rsid w:val="00B663CC"/>
    <w:rsid w:val="00B70431"/>
    <w:rsid w:val="00B70D77"/>
    <w:rsid w:val="00B7248E"/>
    <w:rsid w:val="00B73362"/>
    <w:rsid w:val="00B74851"/>
    <w:rsid w:val="00B748EC"/>
    <w:rsid w:val="00B74D22"/>
    <w:rsid w:val="00B76F20"/>
    <w:rsid w:val="00B8172E"/>
    <w:rsid w:val="00B81A23"/>
    <w:rsid w:val="00B82B7B"/>
    <w:rsid w:val="00B838F1"/>
    <w:rsid w:val="00B85710"/>
    <w:rsid w:val="00B85E83"/>
    <w:rsid w:val="00B8740E"/>
    <w:rsid w:val="00B91560"/>
    <w:rsid w:val="00B92CEE"/>
    <w:rsid w:val="00B939BA"/>
    <w:rsid w:val="00B94D67"/>
    <w:rsid w:val="00B96BBB"/>
    <w:rsid w:val="00B9725B"/>
    <w:rsid w:val="00B9732A"/>
    <w:rsid w:val="00BA34CF"/>
    <w:rsid w:val="00BA35F7"/>
    <w:rsid w:val="00BA5DB9"/>
    <w:rsid w:val="00BB09B9"/>
    <w:rsid w:val="00BB0ACE"/>
    <w:rsid w:val="00BB136A"/>
    <w:rsid w:val="00BB1CF1"/>
    <w:rsid w:val="00BB433F"/>
    <w:rsid w:val="00BB564C"/>
    <w:rsid w:val="00BB6F73"/>
    <w:rsid w:val="00BC0243"/>
    <w:rsid w:val="00BC11F4"/>
    <w:rsid w:val="00BC2625"/>
    <w:rsid w:val="00BC3CAD"/>
    <w:rsid w:val="00BD144F"/>
    <w:rsid w:val="00BD33DF"/>
    <w:rsid w:val="00BD60CA"/>
    <w:rsid w:val="00BD6F6B"/>
    <w:rsid w:val="00BE01F5"/>
    <w:rsid w:val="00BE256A"/>
    <w:rsid w:val="00BE2A19"/>
    <w:rsid w:val="00BE2E70"/>
    <w:rsid w:val="00BE5669"/>
    <w:rsid w:val="00BE58E9"/>
    <w:rsid w:val="00BE601E"/>
    <w:rsid w:val="00BE6350"/>
    <w:rsid w:val="00BE6645"/>
    <w:rsid w:val="00BF02DE"/>
    <w:rsid w:val="00BF0D75"/>
    <w:rsid w:val="00BF26D9"/>
    <w:rsid w:val="00BF2D0E"/>
    <w:rsid w:val="00BF3350"/>
    <w:rsid w:val="00BF57C6"/>
    <w:rsid w:val="00BF5A8D"/>
    <w:rsid w:val="00C00B28"/>
    <w:rsid w:val="00C01516"/>
    <w:rsid w:val="00C020B4"/>
    <w:rsid w:val="00C04E98"/>
    <w:rsid w:val="00C05907"/>
    <w:rsid w:val="00C0664B"/>
    <w:rsid w:val="00C074A3"/>
    <w:rsid w:val="00C077C3"/>
    <w:rsid w:val="00C1218C"/>
    <w:rsid w:val="00C13041"/>
    <w:rsid w:val="00C15125"/>
    <w:rsid w:val="00C173DA"/>
    <w:rsid w:val="00C20083"/>
    <w:rsid w:val="00C20C04"/>
    <w:rsid w:val="00C21096"/>
    <w:rsid w:val="00C26124"/>
    <w:rsid w:val="00C265F2"/>
    <w:rsid w:val="00C273E0"/>
    <w:rsid w:val="00C2783D"/>
    <w:rsid w:val="00C32E04"/>
    <w:rsid w:val="00C3783D"/>
    <w:rsid w:val="00C37E04"/>
    <w:rsid w:val="00C4008E"/>
    <w:rsid w:val="00C41D4A"/>
    <w:rsid w:val="00C42789"/>
    <w:rsid w:val="00C43DE2"/>
    <w:rsid w:val="00C44F6D"/>
    <w:rsid w:val="00C45711"/>
    <w:rsid w:val="00C46D66"/>
    <w:rsid w:val="00C506AB"/>
    <w:rsid w:val="00C50DA9"/>
    <w:rsid w:val="00C52116"/>
    <w:rsid w:val="00C52831"/>
    <w:rsid w:val="00C52F91"/>
    <w:rsid w:val="00C54750"/>
    <w:rsid w:val="00C54F11"/>
    <w:rsid w:val="00C55E27"/>
    <w:rsid w:val="00C57005"/>
    <w:rsid w:val="00C57823"/>
    <w:rsid w:val="00C57A97"/>
    <w:rsid w:val="00C64247"/>
    <w:rsid w:val="00C64CB6"/>
    <w:rsid w:val="00C64CB8"/>
    <w:rsid w:val="00C64FA2"/>
    <w:rsid w:val="00C657C8"/>
    <w:rsid w:val="00C66A72"/>
    <w:rsid w:val="00C7012F"/>
    <w:rsid w:val="00C71FA0"/>
    <w:rsid w:val="00C7340E"/>
    <w:rsid w:val="00C770F3"/>
    <w:rsid w:val="00C77780"/>
    <w:rsid w:val="00C838C8"/>
    <w:rsid w:val="00C84B3B"/>
    <w:rsid w:val="00C85015"/>
    <w:rsid w:val="00C869DF"/>
    <w:rsid w:val="00C87348"/>
    <w:rsid w:val="00C90984"/>
    <w:rsid w:val="00C910C6"/>
    <w:rsid w:val="00C91187"/>
    <w:rsid w:val="00C91B76"/>
    <w:rsid w:val="00C9271B"/>
    <w:rsid w:val="00C931B8"/>
    <w:rsid w:val="00C94347"/>
    <w:rsid w:val="00C9551D"/>
    <w:rsid w:val="00C96D75"/>
    <w:rsid w:val="00CA1E64"/>
    <w:rsid w:val="00CA2356"/>
    <w:rsid w:val="00CA4366"/>
    <w:rsid w:val="00CA6433"/>
    <w:rsid w:val="00CB1502"/>
    <w:rsid w:val="00CB1A3D"/>
    <w:rsid w:val="00CB217F"/>
    <w:rsid w:val="00CB21EA"/>
    <w:rsid w:val="00CB39CB"/>
    <w:rsid w:val="00CB3BAC"/>
    <w:rsid w:val="00CB4377"/>
    <w:rsid w:val="00CB4D4E"/>
    <w:rsid w:val="00CB52DB"/>
    <w:rsid w:val="00CB6A4D"/>
    <w:rsid w:val="00CB77C4"/>
    <w:rsid w:val="00CC148D"/>
    <w:rsid w:val="00CC2D6D"/>
    <w:rsid w:val="00CC309A"/>
    <w:rsid w:val="00CC4023"/>
    <w:rsid w:val="00CC58F7"/>
    <w:rsid w:val="00CC705D"/>
    <w:rsid w:val="00CC7328"/>
    <w:rsid w:val="00CC7974"/>
    <w:rsid w:val="00CD25D8"/>
    <w:rsid w:val="00CD34EE"/>
    <w:rsid w:val="00CD4034"/>
    <w:rsid w:val="00CE09C0"/>
    <w:rsid w:val="00CE35B6"/>
    <w:rsid w:val="00CE3851"/>
    <w:rsid w:val="00CE3DC8"/>
    <w:rsid w:val="00CE4062"/>
    <w:rsid w:val="00CE5AA7"/>
    <w:rsid w:val="00CE5E4A"/>
    <w:rsid w:val="00CE7463"/>
    <w:rsid w:val="00CF0D1C"/>
    <w:rsid w:val="00CF135B"/>
    <w:rsid w:val="00CF1BBA"/>
    <w:rsid w:val="00CF33EC"/>
    <w:rsid w:val="00CF39CC"/>
    <w:rsid w:val="00CF5C92"/>
    <w:rsid w:val="00CF7040"/>
    <w:rsid w:val="00D0004D"/>
    <w:rsid w:val="00D02E78"/>
    <w:rsid w:val="00D03654"/>
    <w:rsid w:val="00D04B5A"/>
    <w:rsid w:val="00D056B7"/>
    <w:rsid w:val="00D066F9"/>
    <w:rsid w:val="00D110E5"/>
    <w:rsid w:val="00D1153C"/>
    <w:rsid w:val="00D121A6"/>
    <w:rsid w:val="00D12771"/>
    <w:rsid w:val="00D14D5D"/>
    <w:rsid w:val="00D16CE6"/>
    <w:rsid w:val="00D16D3C"/>
    <w:rsid w:val="00D17875"/>
    <w:rsid w:val="00D20143"/>
    <w:rsid w:val="00D2166D"/>
    <w:rsid w:val="00D32FAB"/>
    <w:rsid w:val="00D3370C"/>
    <w:rsid w:val="00D40F73"/>
    <w:rsid w:val="00D41D9D"/>
    <w:rsid w:val="00D426D0"/>
    <w:rsid w:val="00D42A8D"/>
    <w:rsid w:val="00D4335E"/>
    <w:rsid w:val="00D45426"/>
    <w:rsid w:val="00D51B32"/>
    <w:rsid w:val="00D5285F"/>
    <w:rsid w:val="00D52E05"/>
    <w:rsid w:val="00D540FE"/>
    <w:rsid w:val="00D552A9"/>
    <w:rsid w:val="00D55608"/>
    <w:rsid w:val="00D55CF1"/>
    <w:rsid w:val="00D6028E"/>
    <w:rsid w:val="00D61E01"/>
    <w:rsid w:val="00D63DA1"/>
    <w:rsid w:val="00D64727"/>
    <w:rsid w:val="00D6730E"/>
    <w:rsid w:val="00D70AA6"/>
    <w:rsid w:val="00D72B3F"/>
    <w:rsid w:val="00D7430B"/>
    <w:rsid w:val="00D76892"/>
    <w:rsid w:val="00D76A44"/>
    <w:rsid w:val="00D776A6"/>
    <w:rsid w:val="00D81882"/>
    <w:rsid w:val="00D8583D"/>
    <w:rsid w:val="00D86F52"/>
    <w:rsid w:val="00D86F7A"/>
    <w:rsid w:val="00D87198"/>
    <w:rsid w:val="00D873C4"/>
    <w:rsid w:val="00D873D5"/>
    <w:rsid w:val="00D87714"/>
    <w:rsid w:val="00D87726"/>
    <w:rsid w:val="00D9028C"/>
    <w:rsid w:val="00D9099D"/>
    <w:rsid w:val="00D91365"/>
    <w:rsid w:val="00D9611B"/>
    <w:rsid w:val="00DA25DF"/>
    <w:rsid w:val="00DA4159"/>
    <w:rsid w:val="00DA43A6"/>
    <w:rsid w:val="00DA4953"/>
    <w:rsid w:val="00DB5EC9"/>
    <w:rsid w:val="00DC12A8"/>
    <w:rsid w:val="00DC27AC"/>
    <w:rsid w:val="00DC27AD"/>
    <w:rsid w:val="00DC4946"/>
    <w:rsid w:val="00DC675E"/>
    <w:rsid w:val="00DC73D0"/>
    <w:rsid w:val="00DC75F4"/>
    <w:rsid w:val="00DD27EB"/>
    <w:rsid w:val="00DD396A"/>
    <w:rsid w:val="00DE01B9"/>
    <w:rsid w:val="00DE53BD"/>
    <w:rsid w:val="00DE63A6"/>
    <w:rsid w:val="00DE6DED"/>
    <w:rsid w:val="00DF017E"/>
    <w:rsid w:val="00DF1995"/>
    <w:rsid w:val="00DF21C2"/>
    <w:rsid w:val="00DF658E"/>
    <w:rsid w:val="00DF7E5F"/>
    <w:rsid w:val="00E00696"/>
    <w:rsid w:val="00E02BA6"/>
    <w:rsid w:val="00E02CD6"/>
    <w:rsid w:val="00E0477E"/>
    <w:rsid w:val="00E07B7B"/>
    <w:rsid w:val="00E108D7"/>
    <w:rsid w:val="00E11446"/>
    <w:rsid w:val="00E11880"/>
    <w:rsid w:val="00E12FCA"/>
    <w:rsid w:val="00E1428C"/>
    <w:rsid w:val="00E14638"/>
    <w:rsid w:val="00E15607"/>
    <w:rsid w:val="00E23326"/>
    <w:rsid w:val="00E23D86"/>
    <w:rsid w:val="00E253B3"/>
    <w:rsid w:val="00E25BA5"/>
    <w:rsid w:val="00E26680"/>
    <w:rsid w:val="00E331DE"/>
    <w:rsid w:val="00E348C0"/>
    <w:rsid w:val="00E36E32"/>
    <w:rsid w:val="00E42DD1"/>
    <w:rsid w:val="00E43B91"/>
    <w:rsid w:val="00E46563"/>
    <w:rsid w:val="00E46D62"/>
    <w:rsid w:val="00E46E6A"/>
    <w:rsid w:val="00E47068"/>
    <w:rsid w:val="00E47C1B"/>
    <w:rsid w:val="00E52360"/>
    <w:rsid w:val="00E52654"/>
    <w:rsid w:val="00E52B10"/>
    <w:rsid w:val="00E530D6"/>
    <w:rsid w:val="00E53CE9"/>
    <w:rsid w:val="00E53F2A"/>
    <w:rsid w:val="00E54DD5"/>
    <w:rsid w:val="00E54DE7"/>
    <w:rsid w:val="00E54F75"/>
    <w:rsid w:val="00E555F0"/>
    <w:rsid w:val="00E559CD"/>
    <w:rsid w:val="00E565CA"/>
    <w:rsid w:val="00E5692C"/>
    <w:rsid w:val="00E61043"/>
    <w:rsid w:val="00E61906"/>
    <w:rsid w:val="00E63387"/>
    <w:rsid w:val="00E64494"/>
    <w:rsid w:val="00E65BFF"/>
    <w:rsid w:val="00E672A0"/>
    <w:rsid w:val="00E7012B"/>
    <w:rsid w:val="00E7198C"/>
    <w:rsid w:val="00E7245B"/>
    <w:rsid w:val="00E7339E"/>
    <w:rsid w:val="00E74230"/>
    <w:rsid w:val="00E74A11"/>
    <w:rsid w:val="00E7560B"/>
    <w:rsid w:val="00E76AFC"/>
    <w:rsid w:val="00E809DF"/>
    <w:rsid w:val="00E80D60"/>
    <w:rsid w:val="00E83167"/>
    <w:rsid w:val="00E83ED0"/>
    <w:rsid w:val="00E84960"/>
    <w:rsid w:val="00E87DE8"/>
    <w:rsid w:val="00E90C6F"/>
    <w:rsid w:val="00E9380C"/>
    <w:rsid w:val="00E9437A"/>
    <w:rsid w:val="00E94694"/>
    <w:rsid w:val="00E96732"/>
    <w:rsid w:val="00E9713D"/>
    <w:rsid w:val="00E97E8D"/>
    <w:rsid w:val="00EA1609"/>
    <w:rsid w:val="00EA17FF"/>
    <w:rsid w:val="00EA1CCD"/>
    <w:rsid w:val="00EA479B"/>
    <w:rsid w:val="00EA73A3"/>
    <w:rsid w:val="00EB080C"/>
    <w:rsid w:val="00EB2108"/>
    <w:rsid w:val="00EB38C1"/>
    <w:rsid w:val="00EB471D"/>
    <w:rsid w:val="00EB5494"/>
    <w:rsid w:val="00EB6F7C"/>
    <w:rsid w:val="00EC3A72"/>
    <w:rsid w:val="00EC3BCD"/>
    <w:rsid w:val="00EC3F1C"/>
    <w:rsid w:val="00EC44B3"/>
    <w:rsid w:val="00EC5CEC"/>
    <w:rsid w:val="00EC6065"/>
    <w:rsid w:val="00EC608E"/>
    <w:rsid w:val="00EC627E"/>
    <w:rsid w:val="00EC6791"/>
    <w:rsid w:val="00ED1869"/>
    <w:rsid w:val="00ED1AF6"/>
    <w:rsid w:val="00ED27B6"/>
    <w:rsid w:val="00ED2E88"/>
    <w:rsid w:val="00ED3B7B"/>
    <w:rsid w:val="00ED3DE5"/>
    <w:rsid w:val="00ED45C3"/>
    <w:rsid w:val="00ED51C1"/>
    <w:rsid w:val="00ED556B"/>
    <w:rsid w:val="00ED7468"/>
    <w:rsid w:val="00EE12F0"/>
    <w:rsid w:val="00EE1A9B"/>
    <w:rsid w:val="00EE27FA"/>
    <w:rsid w:val="00EE288A"/>
    <w:rsid w:val="00EE31A8"/>
    <w:rsid w:val="00EE321D"/>
    <w:rsid w:val="00EE4A19"/>
    <w:rsid w:val="00EE4AD4"/>
    <w:rsid w:val="00EF0F09"/>
    <w:rsid w:val="00EF1E9E"/>
    <w:rsid w:val="00EF36C2"/>
    <w:rsid w:val="00EF39DC"/>
    <w:rsid w:val="00EF3ACE"/>
    <w:rsid w:val="00EF57B8"/>
    <w:rsid w:val="00F0283E"/>
    <w:rsid w:val="00F03182"/>
    <w:rsid w:val="00F038A7"/>
    <w:rsid w:val="00F04959"/>
    <w:rsid w:val="00F07B22"/>
    <w:rsid w:val="00F141F8"/>
    <w:rsid w:val="00F15424"/>
    <w:rsid w:val="00F17D94"/>
    <w:rsid w:val="00F2097C"/>
    <w:rsid w:val="00F20BF8"/>
    <w:rsid w:val="00F226EB"/>
    <w:rsid w:val="00F237EC"/>
    <w:rsid w:val="00F24C97"/>
    <w:rsid w:val="00F25032"/>
    <w:rsid w:val="00F27B43"/>
    <w:rsid w:val="00F27EFD"/>
    <w:rsid w:val="00F30519"/>
    <w:rsid w:val="00F30AB0"/>
    <w:rsid w:val="00F30F8E"/>
    <w:rsid w:val="00F33699"/>
    <w:rsid w:val="00F34296"/>
    <w:rsid w:val="00F344FE"/>
    <w:rsid w:val="00F34D82"/>
    <w:rsid w:val="00F36BCF"/>
    <w:rsid w:val="00F41195"/>
    <w:rsid w:val="00F412FB"/>
    <w:rsid w:val="00F459D9"/>
    <w:rsid w:val="00F47C3B"/>
    <w:rsid w:val="00F52412"/>
    <w:rsid w:val="00F55B37"/>
    <w:rsid w:val="00F562BA"/>
    <w:rsid w:val="00F602CE"/>
    <w:rsid w:val="00F60703"/>
    <w:rsid w:val="00F61351"/>
    <w:rsid w:val="00F64CF2"/>
    <w:rsid w:val="00F64E18"/>
    <w:rsid w:val="00F65A4A"/>
    <w:rsid w:val="00F65EDE"/>
    <w:rsid w:val="00F66456"/>
    <w:rsid w:val="00F67C19"/>
    <w:rsid w:val="00F67C76"/>
    <w:rsid w:val="00F709D8"/>
    <w:rsid w:val="00F72294"/>
    <w:rsid w:val="00F72F19"/>
    <w:rsid w:val="00F76668"/>
    <w:rsid w:val="00F77AB4"/>
    <w:rsid w:val="00F81378"/>
    <w:rsid w:val="00F81684"/>
    <w:rsid w:val="00F81ED2"/>
    <w:rsid w:val="00F83878"/>
    <w:rsid w:val="00F839A5"/>
    <w:rsid w:val="00F851CD"/>
    <w:rsid w:val="00F958ED"/>
    <w:rsid w:val="00F95D80"/>
    <w:rsid w:val="00F96281"/>
    <w:rsid w:val="00F9632E"/>
    <w:rsid w:val="00F968AA"/>
    <w:rsid w:val="00F97151"/>
    <w:rsid w:val="00F97E26"/>
    <w:rsid w:val="00FA2262"/>
    <w:rsid w:val="00FA3FC3"/>
    <w:rsid w:val="00FA51FB"/>
    <w:rsid w:val="00FA615C"/>
    <w:rsid w:val="00FA6EFA"/>
    <w:rsid w:val="00FA7FC0"/>
    <w:rsid w:val="00FB18CA"/>
    <w:rsid w:val="00FB1DE6"/>
    <w:rsid w:val="00FB2520"/>
    <w:rsid w:val="00FB27C2"/>
    <w:rsid w:val="00FB3BEF"/>
    <w:rsid w:val="00FC4C00"/>
    <w:rsid w:val="00FC59DE"/>
    <w:rsid w:val="00FC787F"/>
    <w:rsid w:val="00FD1754"/>
    <w:rsid w:val="00FD3A60"/>
    <w:rsid w:val="00FD516E"/>
    <w:rsid w:val="00FE1169"/>
    <w:rsid w:val="00FE1756"/>
    <w:rsid w:val="00FE37EB"/>
    <w:rsid w:val="00FE7F25"/>
    <w:rsid w:val="00FF5CE0"/>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6"/>
    <o:shapelayout v:ext="edit">
      <o:idmap v:ext="edit" data="1"/>
    </o:shapelayout>
  </w:shapeDefaults>
  <w:decimalSymbol w:val="."/>
  <w:listSeparator w:val=","/>
  <w14:docId w14:val="5A7BD584"/>
  <w15:docId w15:val="{49450907-6957-459A-9072-D48258F4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B3F"/>
    <w:pPr>
      <w:widowControl w:val="0"/>
      <w:autoSpaceDE w:val="0"/>
      <w:autoSpaceDN w:val="0"/>
      <w:adjustRightInd w:val="0"/>
      <w:ind w:left="360" w:hanging="360"/>
      <w:jc w:val="both"/>
    </w:pPr>
    <w:rPr>
      <w:rFonts w:ascii="Arial" w:hAnsi="Arial"/>
      <w:szCs w:val="20"/>
    </w:rPr>
  </w:style>
  <w:style w:type="paragraph" w:styleId="Heading1">
    <w:name w:val="heading 1"/>
    <w:basedOn w:val="Normal"/>
    <w:next w:val="Normal"/>
    <w:link w:val="Heading1Char"/>
    <w:uiPriority w:val="99"/>
    <w:qFormat/>
    <w:rsid w:val="007F4862"/>
    <w:pPr>
      <w:keepNext/>
      <w:jc w:val="center"/>
      <w:outlineLvl w:val="0"/>
    </w:pPr>
    <w:rPr>
      <w:rFonts w:cs="Arial"/>
      <w:b/>
      <w:bCs/>
      <w:sz w:val="36"/>
      <w:szCs w:val="16"/>
      <w:u w:val="single"/>
    </w:rPr>
  </w:style>
  <w:style w:type="paragraph" w:styleId="Heading2">
    <w:name w:val="heading 2"/>
    <w:basedOn w:val="Normal"/>
    <w:next w:val="Normal"/>
    <w:link w:val="Heading2Char"/>
    <w:uiPriority w:val="99"/>
    <w:qFormat/>
    <w:rsid w:val="00464C9C"/>
    <w:pPr>
      <w:keepNext/>
      <w:jc w:val="center"/>
      <w:outlineLvl w:val="1"/>
    </w:pPr>
    <w:rPr>
      <w:rFonts w:cs="Arial"/>
      <w:b/>
      <w:bCs/>
      <w:szCs w:val="16"/>
    </w:rPr>
  </w:style>
  <w:style w:type="paragraph" w:styleId="Heading3">
    <w:name w:val="heading 3"/>
    <w:basedOn w:val="Normal"/>
    <w:next w:val="Normal"/>
    <w:link w:val="Heading3Char"/>
    <w:uiPriority w:val="99"/>
    <w:qFormat/>
    <w:rsid w:val="00464C9C"/>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464C9C"/>
    <w:pPr>
      <w:keepNext/>
      <w:outlineLvl w:val="3"/>
    </w:pPr>
    <w:rPr>
      <w:rFonts w:cs="Arial"/>
      <w:b/>
      <w:bCs/>
      <w:szCs w:val="16"/>
    </w:rPr>
  </w:style>
  <w:style w:type="paragraph" w:styleId="Heading5">
    <w:name w:val="heading 5"/>
    <w:basedOn w:val="Normal"/>
    <w:next w:val="Normal"/>
    <w:link w:val="Heading5Char"/>
    <w:uiPriority w:val="99"/>
    <w:qFormat/>
    <w:rsid w:val="00464C9C"/>
    <w:pPr>
      <w:keepNext/>
      <w:ind w:left="1440"/>
      <w:outlineLvl w:val="4"/>
    </w:pPr>
    <w:rPr>
      <w:rFonts w:cs="Arial"/>
      <w:b/>
      <w:bCs/>
      <w:i/>
      <w:iCs/>
    </w:rPr>
  </w:style>
  <w:style w:type="paragraph" w:styleId="Heading6">
    <w:name w:val="heading 6"/>
    <w:basedOn w:val="Normal"/>
    <w:next w:val="Normal"/>
    <w:link w:val="Heading6Char"/>
    <w:uiPriority w:val="99"/>
    <w:qFormat/>
    <w:rsid w:val="00464C9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rsid w:val="00464C9C"/>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4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964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64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64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647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6473"/>
    <w:rPr>
      <w:rFonts w:ascii="Calibri" w:hAnsi="Calibri" w:cs="Times New Roman"/>
      <w:b/>
      <w:bCs/>
    </w:rPr>
  </w:style>
  <w:style w:type="character" w:customStyle="1" w:styleId="Heading8Char">
    <w:name w:val="Heading 8 Char"/>
    <w:basedOn w:val="DefaultParagraphFont"/>
    <w:link w:val="Heading8"/>
    <w:uiPriority w:val="99"/>
    <w:semiHidden/>
    <w:locked/>
    <w:rsid w:val="00396473"/>
    <w:rPr>
      <w:rFonts w:ascii="Calibri" w:hAnsi="Calibri" w:cs="Times New Roman"/>
      <w:i/>
      <w:iCs/>
      <w:sz w:val="24"/>
      <w:szCs w:val="24"/>
    </w:rPr>
  </w:style>
  <w:style w:type="paragraph" w:customStyle="1" w:styleId="1Squares">
    <w:name w:val="1Squares"/>
    <w:uiPriority w:val="99"/>
    <w:rsid w:val="00464C9C"/>
    <w:pPr>
      <w:widowControl w:val="0"/>
      <w:tabs>
        <w:tab w:val="left" w:pos="720"/>
      </w:tabs>
      <w:autoSpaceDE w:val="0"/>
      <w:autoSpaceDN w:val="0"/>
      <w:adjustRightInd w:val="0"/>
      <w:ind w:left="720" w:hanging="720"/>
      <w:jc w:val="both"/>
    </w:pPr>
    <w:rPr>
      <w:rFonts w:ascii="Roman-WP" w:hAnsi="Roman-WP"/>
      <w:sz w:val="20"/>
      <w:szCs w:val="24"/>
    </w:rPr>
  </w:style>
  <w:style w:type="paragraph" w:customStyle="1" w:styleId="2Squares">
    <w:name w:val="2Squares"/>
    <w:uiPriority w:val="99"/>
    <w:rsid w:val="00464C9C"/>
    <w:pPr>
      <w:widowControl w:val="0"/>
      <w:tabs>
        <w:tab w:val="left" w:pos="720"/>
        <w:tab w:val="left" w:pos="1440"/>
      </w:tabs>
      <w:autoSpaceDE w:val="0"/>
      <w:autoSpaceDN w:val="0"/>
      <w:adjustRightInd w:val="0"/>
      <w:ind w:left="1440" w:hanging="720"/>
      <w:jc w:val="both"/>
    </w:pPr>
    <w:rPr>
      <w:rFonts w:ascii="Roman-WP" w:hAnsi="Roman-WP"/>
      <w:sz w:val="20"/>
      <w:szCs w:val="24"/>
    </w:rPr>
  </w:style>
  <w:style w:type="paragraph" w:customStyle="1" w:styleId="3Squares">
    <w:name w:val="3Squares"/>
    <w:uiPriority w:val="99"/>
    <w:rsid w:val="00464C9C"/>
    <w:pPr>
      <w:widowControl w:val="0"/>
      <w:tabs>
        <w:tab w:val="left" w:pos="720"/>
        <w:tab w:val="left" w:pos="1440"/>
        <w:tab w:val="left" w:pos="2160"/>
      </w:tabs>
      <w:autoSpaceDE w:val="0"/>
      <w:autoSpaceDN w:val="0"/>
      <w:adjustRightInd w:val="0"/>
      <w:ind w:left="2160" w:hanging="720"/>
      <w:jc w:val="both"/>
    </w:pPr>
    <w:rPr>
      <w:rFonts w:ascii="Roman-WP" w:hAnsi="Roman-WP"/>
      <w:sz w:val="20"/>
      <w:szCs w:val="24"/>
    </w:rPr>
  </w:style>
  <w:style w:type="paragraph" w:customStyle="1" w:styleId="4Squares">
    <w:name w:val="4Squares"/>
    <w:uiPriority w:val="99"/>
    <w:rsid w:val="00464C9C"/>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0"/>
      <w:szCs w:val="24"/>
    </w:rPr>
  </w:style>
  <w:style w:type="paragraph" w:customStyle="1" w:styleId="5Squares">
    <w:name w:val="5Squares"/>
    <w:uiPriority w:val="99"/>
    <w:rsid w:val="00464C9C"/>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0"/>
      <w:szCs w:val="24"/>
    </w:rPr>
  </w:style>
  <w:style w:type="paragraph" w:customStyle="1" w:styleId="6Squares">
    <w:name w:val="6Squares"/>
    <w:uiPriority w:val="99"/>
    <w:rsid w:val="00464C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0"/>
      <w:szCs w:val="24"/>
    </w:rPr>
  </w:style>
  <w:style w:type="paragraph" w:customStyle="1" w:styleId="7Squares">
    <w:name w:val="7Squares"/>
    <w:uiPriority w:val="99"/>
    <w:rsid w:val="00464C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0"/>
      <w:szCs w:val="24"/>
    </w:rPr>
  </w:style>
  <w:style w:type="paragraph" w:customStyle="1" w:styleId="8Squares">
    <w:name w:val="8Squares"/>
    <w:uiPriority w:val="99"/>
    <w:rsid w:val="00464C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0"/>
      <w:szCs w:val="24"/>
    </w:rPr>
  </w:style>
  <w:style w:type="paragraph" w:customStyle="1" w:styleId="1LargeBullet">
    <w:name w:val="1Large Bullet"/>
    <w:uiPriority w:val="99"/>
    <w:rsid w:val="00464C9C"/>
    <w:pPr>
      <w:widowControl w:val="0"/>
      <w:tabs>
        <w:tab w:val="left" w:pos="720"/>
      </w:tabs>
      <w:autoSpaceDE w:val="0"/>
      <w:autoSpaceDN w:val="0"/>
      <w:adjustRightInd w:val="0"/>
      <w:ind w:left="720" w:hanging="720"/>
      <w:jc w:val="both"/>
    </w:pPr>
    <w:rPr>
      <w:rFonts w:ascii="Roman-WP" w:hAnsi="Roman-WP"/>
      <w:sz w:val="20"/>
      <w:szCs w:val="24"/>
    </w:rPr>
  </w:style>
  <w:style w:type="paragraph" w:customStyle="1" w:styleId="2LargeBullet">
    <w:name w:val="2Large Bullet"/>
    <w:uiPriority w:val="99"/>
    <w:rsid w:val="00464C9C"/>
    <w:pPr>
      <w:widowControl w:val="0"/>
      <w:tabs>
        <w:tab w:val="left" w:pos="720"/>
        <w:tab w:val="left" w:pos="1440"/>
      </w:tabs>
      <w:autoSpaceDE w:val="0"/>
      <w:autoSpaceDN w:val="0"/>
      <w:adjustRightInd w:val="0"/>
      <w:ind w:left="1440" w:hanging="720"/>
      <w:jc w:val="both"/>
    </w:pPr>
    <w:rPr>
      <w:rFonts w:ascii="Roman-WP" w:hAnsi="Roman-WP"/>
      <w:sz w:val="20"/>
      <w:szCs w:val="24"/>
    </w:rPr>
  </w:style>
  <w:style w:type="paragraph" w:customStyle="1" w:styleId="3LargeBullet">
    <w:name w:val="3Large Bullet"/>
    <w:uiPriority w:val="99"/>
    <w:rsid w:val="00464C9C"/>
    <w:pPr>
      <w:widowControl w:val="0"/>
      <w:tabs>
        <w:tab w:val="left" w:pos="720"/>
        <w:tab w:val="left" w:pos="1440"/>
        <w:tab w:val="left" w:pos="2160"/>
      </w:tabs>
      <w:autoSpaceDE w:val="0"/>
      <w:autoSpaceDN w:val="0"/>
      <w:adjustRightInd w:val="0"/>
      <w:ind w:left="2160" w:hanging="720"/>
      <w:jc w:val="both"/>
    </w:pPr>
    <w:rPr>
      <w:rFonts w:ascii="Roman-WP" w:hAnsi="Roman-WP"/>
      <w:sz w:val="20"/>
      <w:szCs w:val="24"/>
    </w:rPr>
  </w:style>
  <w:style w:type="paragraph" w:customStyle="1" w:styleId="4LargeBullet">
    <w:name w:val="4Large Bullet"/>
    <w:uiPriority w:val="99"/>
    <w:rsid w:val="00464C9C"/>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0"/>
      <w:szCs w:val="24"/>
    </w:rPr>
  </w:style>
  <w:style w:type="paragraph" w:customStyle="1" w:styleId="5LargeBullet">
    <w:name w:val="5Large Bullet"/>
    <w:uiPriority w:val="99"/>
    <w:rsid w:val="00464C9C"/>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0"/>
      <w:szCs w:val="24"/>
    </w:rPr>
  </w:style>
  <w:style w:type="paragraph" w:customStyle="1" w:styleId="6LargeBullet">
    <w:name w:val="6Large Bullet"/>
    <w:uiPriority w:val="99"/>
    <w:rsid w:val="00464C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0"/>
      <w:szCs w:val="24"/>
    </w:rPr>
  </w:style>
  <w:style w:type="paragraph" w:customStyle="1" w:styleId="7LargeBullet">
    <w:name w:val="7Large Bullet"/>
    <w:uiPriority w:val="99"/>
    <w:rsid w:val="00464C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0"/>
      <w:szCs w:val="24"/>
    </w:rPr>
  </w:style>
  <w:style w:type="paragraph" w:customStyle="1" w:styleId="8LargeBullet">
    <w:name w:val="8Large Bullet"/>
    <w:uiPriority w:val="99"/>
    <w:rsid w:val="00464C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0"/>
      <w:szCs w:val="24"/>
    </w:rPr>
  </w:style>
  <w:style w:type="paragraph" w:customStyle="1" w:styleId="1AutoList2">
    <w:name w:val="1AutoList2"/>
    <w:uiPriority w:val="99"/>
    <w:rsid w:val="00464C9C"/>
    <w:pPr>
      <w:widowControl w:val="0"/>
      <w:tabs>
        <w:tab w:val="left" w:pos="720"/>
      </w:tabs>
      <w:autoSpaceDE w:val="0"/>
      <w:autoSpaceDN w:val="0"/>
      <w:adjustRightInd w:val="0"/>
      <w:ind w:left="720" w:hanging="720"/>
      <w:jc w:val="both"/>
    </w:pPr>
    <w:rPr>
      <w:rFonts w:ascii="Roman-WP" w:hAnsi="Roman-WP"/>
      <w:sz w:val="20"/>
      <w:szCs w:val="24"/>
    </w:rPr>
  </w:style>
  <w:style w:type="paragraph" w:customStyle="1" w:styleId="2AutoList2">
    <w:name w:val="2AutoList2"/>
    <w:uiPriority w:val="99"/>
    <w:rsid w:val="00464C9C"/>
    <w:pPr>
      <w:widowControl w:val="0"/>
      <w:tabs>
        <w:tab w:val="left" w:pos="720"/>
        <w:tab w:val="left" w:pos="1440"/>
      </w:tabs>
      <w:autoSpaceDE w:val="0"/>
      <w:autoSpaceDN w:val="0"/>
      <w:adjustRightInd w:val="0"/>
      <w:ind w:left="1440" w:hanging="720"/>
      <w:jc w:val="both"/>
    </w:pPr>
    <w:rPr>
      <w:rFonts w:ascii="Roman-WP" w:hAnsi="Roman-WP"/>
      <w:sz w:val="20"/>
      <w:szCs w:val="24"/>
    </w:rPr>
  </w:style>
  <w:style w:type="paragraph" w:customStyle="1" w:styleId="3AutoList2">
    <w:name w:val="3AutoList2"/>
    <w:uiPriority w:val="99"/>
    <w:rsid w:val="00464C9C"/>
    <w:pPr>
      <w:widowControl w:val="0"/>
      <w:tabs>
        <w:tab w:val="left" w:pos="720"/>
        <w:tab w:val="left" w:pos="1440"/>
        <w:tab w:val="left" w:pos="2160"/>
      </w:tabs>
      <w:autoSpaceDE w:val="0"/>
      <w:autoSpaceDN w:val="0"/>
      <w:adjustRightInd w:val="0"/>
      <w:ind w:left="2160" w:hanging="720"/>
      <w:jc w:val="both"/>
    </w:pPr>
    <w:rPr>
      <w:rFonts w:ascii="Roman-WP" w:hAnsi="Roman-WP"/>
      <w:sz w:val="20"/>
      <w:szCs w:val="24"/>
    </w:rPr>
  </w:style>
  <w:style w:type="paragraph" w:customStyle="1" w:styleId="4AutoList2">
    <w:name w:val="4AutoList2"/>
    <w:uiPriority w:val="99"/>
    <w:rsid w:val="00464C9C"/>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0"/>
      <w:szCs w:val="24"/>
    </w:rPr>
  </w:style>
  <w:style w:type="paragraph" w:customStyle="1" w:styleId="5AutoList2">
    <w:name w:val="5AutoList2"/>
    <w:uiPriority w:val="99"/>
    <w:rsid w:val="00464C9C"/>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0"/>
      <w:szCs w:val="24"/>
    </w:rPr>
  </w:style>
  <w:style w:type="paragraph" w:customStyle="1" w:styleId="6AutoList2">
    <w:name w:val="6AutoList2"/>
    <w:uiPriority w:val="99"/>
    <w:rsid w:val="00464C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0"/>
      <w:szCs w:val="24"/>
    </w:rPr>
  </w:style>
  <w:style w:type="paragraph" w:customStyle="1" w:styleId="7AutoList2">
    <w:name w:val="7AutoList2"/>
    <w:uiPriority w:val="99"/>
    <w:rsid w:val="00464C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0"/>
      <w:szCs w:val="24"/>
    </w:rPr>
  </w:style>
  <w:style w:type="paragraph" w:customStyle="1" w:styleId="8AutoList2">
    <w:name w:val="8AutoList2"/>
    <w:uiPriority w:val="99"/>
    <w:rsid w:val="00464C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0"/>
      <w:szCs w:val="24"/>
    </w:rPr>
  </w:style>
  <w:style w:type="paragraph" w:customStyle="1" w:styleId="1AutoList1">
    <w:name w:val="1AutoList1"/>
    <w:uiPriority w:val="99"/>
    <w:rsid w:val="00464C9C"/>
    <w:pPr>
      <w:widowControl w:val="0"/>
      <w:tabs>
        <w:tab w:val="left" w:pos="720"/>
      </w:tabs>
      <w:autoSpaceDE w:val="0"/>
      <w:autoSpaceDN w:val="0"/>
      <w:adjustRightInd w:val="0"/>
      <w:ind w:left="720" w:hanging="720"/>
      <w:jc w:val="both"/>
    </w:pPr>
    <w:rPr>
      <w:rFonts w:ascii="Roman-WP" w:hAnsi="Roman-WP"/>
      <w:sz w:val="20"/>
      <w:szCs w:val="24"/>
    </w:rPr>
  </w:style>
  <w:style w:type="paragraph" w:customStyle="1" w:styleId="2AutoList1">
    <w:name w:val="2AutoList1"/>
    <w:uiPriority w:val="99"/>
    <w:rsid w:val="00464C9C"/>
    <w:pPr>
      <w:widowControl w:val="0"/>
      <w:tabs>
        <w:tab w:val="left" w:pos="720"/>
        <w:tab w:val="left" w:pos="1440"/>
      </w:tabs>
      <w:autoSpaceDE w:val="0"/>
      <w:autoSpaceDN w:val="0"/>
      <w:adjustRightInd w:val="0"/>
      <w:ind w:left="1440" w:hanging="720"/>
      <w:jc w:val="both"/>
    </w:pPr>
    <w:rPr>
      <w:rFonts w:ascii="Roman-WP" w:hAnsi="Roman-WP"/>
      <w:sz w:val="20"/>
      <w:szCs w:val="24"/>
    </w:rPr>
  </w:style>
  <w:style w:type="paragraph" w:customStyle="1" w:styleId="3AutoList1">
    <w:name w:val="3AutoList1"/>
    <w:uiPriority w:val="99"/>
    <w:rsid w:val="00464C9C"/>
    <w:pPr>
      <w:widowControl w:val="0"/>
      <w:tabs>
        <w:tab w:val="left" w:pos="720"/>
        <w:tab w:val="left" w:pos="1440"/>
        <w:tab w:val="left" w:pos="2160"/>
      </w:tabs>
      <w:autoSpaceDE w:val="0"/>
      <w:autoSpaceDN w:val="0"/>
      <w:adjustRightInd w:val="0"/>
      <w:ind w:left="2160" w:hanging="720"/>
      <w:jc w:val="both"/>
    </w:pPr>
    <w:rPr>
      <w:rFonts w:ascii="Roman-WP" w:hAnsi="Roman-WP"/>
      <w:sz w:val="20"/>
      <w:szCs w:val="24"/>
    </w:rPr>
  </w:style>
  <w:style w:type="paragraph" w:customStyle="1" w:styleId="4AutoList1">
    <w:name w:val="4AutoList1"/>
    <w:uiPriority w:val="99"/>
    <w:rsid w:val="00464C9C"/>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0"/>
      <w:szCs w:val="24"/>
    </w:rPr>
  </w:style>
  <w:style w:type="paragraph" w:customStyle="1" w:styleId="5AutoList1">
    <w:name w:val="5AutoList1"/>
    <w:uiPriority w:val="99"/>
    <w:rsid w:val="00464C9C"/>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0"/>
      <w:szCs w:val="24"/>
    </w:rPr>
  </w:style>
  <w:style w:type="paragraph" w:customStyle="1" w:styleId="6AutoList1">
    <w:name w:val="6AutoList1"/>
    <w:uiPriority w:val="99"/>
    <w:rsid w:val="00464C9C"/>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0"/>
      <w:szCs w:val="24"/>
    </w:rPr>
  </w:style>
  <w:style w:type="paragraph" w:customStyle="1" w:styleId="7AutoList1">
    <w:name w:val="7AutoList1"/>
    <w:uiPriority w:val="99"/>
    <w:rsid w:val="00464C9C"/>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0"/>
      <w:szCs w:val="24"/>
    </w:rPr>
  </w:style>
  <w:style w:type="paragraph" w:customStyle="1" w:styleId="8AutoList1">
    <w:name w:val="8AutoList1"/>
    <w:uiPriority w:val="99"/>
    <w:rsid w:val="00464C9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0"/>
      <w:szCs w:val="24"/>
    </w:rPr>
  </w:style>
  <w:style w:type="paragraph" w:styleId="Footer">
    <w:name w:val="footer"/>
    <w:basedOn w:val="Normal"/>
    <w:link w:val="FooterChar"/>
    <w:uiPriority w:val="99"/>
    <w:rsid w:val="00464C9C"/>
    <w:pPr>
      <w:tabs>
        <w:tab w:val="center" w:pos="4320"/>
        <w:tab w:val="right" w:pos="8640"/>
      </w:tabs>
    </w:pPr>
  </w:style>
  <w:style w:type="character" w:customStyle="1" w:styleId="FooterChar">
    <w:name w:val="Footer Char"/>
    <w:basedOn w:val="DefaultParagraphFont"/>
    <w:link w:val="Footer"/>
    <w:uiPriority w:val="99"/>
    <w:semiHidden/>
    <w:locked/>
    <w:rsid w:val="00396473"/>
    <w:rPr>
      <w:rFonts w:ascii="Arial" w:hAnsi="Arial" w:cs="Times New Roman"/>
      <w:sz w:val="20"/>
      <w:szCs w:val="20"/>
    </w:rPr>
  </w:style>
  <w:style w:type="character" w:styleId="PageNumber">
    <w:name w:val="page number"/>
    <w:basedOn w:val="DefaultParagraphFont"/>
    <w:uiPriority w:val="99"/>
    <w:rsid w:val="00464C9C"/>
    <w:rPr>
      <w:rFonts w:cs="Times New Roman"/>
    </w:rPr>
  </w:style>
  <w:style w:type="paragraph" w:styleId="BodyTextIndent">
    <w:name w:val="Body Text Indent"/>
    <w:basedOn w:val="Normal"/>
    <w:link w:val="BodyTextIndentChar"/>
    <w:uiPriority w:val="99"/>
    <w:rsid w:val="00464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630"/>
        <w:tab w:val="left" w:pos="10080"/>
        <w:tab w:val="left" w:pos="10800"/>
      </w:tabs>
      <w:ind w:left="720"/>
    </w:pPr>
    <w:rPr>
      <w:rFonts w:cs="Arial"/>
      <w:szCs w:val="22"/>
    </w:rPr>
  </w:style>
  <w:style w:type="character" w:customStyle="1" w:styleId="BodyTextIndentChar">
    <w:name w:val="Body Text Indent Char"/>
    <w:basedOn w:val="DefaultParagraphFont"/>
    <w:link w:val="BodyTextIndent"/>
    <w:uiPriority w:val="99"/>
    <w:semiHidden/>
    <w:locked/>
    <w:rsid w:val="00396473"/>
    <w:rPr>
      <w:rFonts w:ascii="Arial" w:hAnsi="Arial" w:cs="Times New Roman"/>
      <w:sz w:val="20"/>
      <w:szCs w:val="20"/>
    </w:rPr>
  </w:style>
  <w:style w:type="paragraph" w:styleId="BodyTextIndent2">
    <w:name w:val="Body Text Indent 2"/>
    <w:basedOn w:val="Normal"/>
    <w:link w:val="BodyTextIndent2Char"/>
    <w:uiPriority w:val="99"/>
    <w:rsid w:val="00464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630"/>
        <w:tab w:val="left" w:pos="10080"/>
        <w:tab w:val="left" w:pos="10800"/>
      </w:tabs>
      <w:ind w:left="5040" w:hanging="5040"/>
    </w:pPr>
    <w:rPr>
      <w:rFonts w:cs="Arial"/>
      <w:szCs w:val="22"/>
    </w:rPr>
  </w:style>
  <w:style w:type="character" w:customStyle="1" w:styleId="BodyTextIndent2Char">
    <w:name w:val="Body Text Indent 2 Char"/>
    <w:basedOn w:val="DefaultParagraphFont"/>
    <w:link w:val="BodyTextIndent2"/>
    <w:uiPriority w:val="99"/>
    <w:semiHidden/>
    <w:locked/>
    <w:rsid w:val="00396473"/>
    <w:rPr>
      <w:rFonts w:ascii="Arial" w:hAnsi="Arial" w:cs="Times New Roman"/>
      <w:sz w:val="20"/>
      <w:szCs w:val="20"/>
    </w:rPr>
  </w:style>
  <w:style w:type="paragraph" w:styleId="Header">
    <w:name w:val="header"/>
    <w:basedOn w:val="Normal"/>
    <w:link w:val="HeaderChar"/>
    <w:uiPriority w:val="99"/>
    <w:rsid w:val="00464C9C"/>
    <w:pPr>
      <w:tabs>
        <w:tab w:val="center" w:pos="4320"/>
        <w:tab w:val="right" w:pos="8640"/>
      </w:tabs>
    </w:pPr>
  </w:style>
  <w:style w:type="character" w:customStyle="1" w:styleId="HeaderChar">
    <w:name w:val="Header Char"/>
    <w:basedOn w:val="DefaultParagraphFont"/>
    <w:link w:val="Header"/>
    <w:uiPriority w:val="99"/>
    <w:semiHidden/>
    <w:locked/>
    <w:rsid w:val="00396473"/>
    <w:rPr>
      <w:rFonts w:ascii="Arial" w:hAnsi="Arial" w:cs="Times New Roman"/>
      <w:sz w:val="20"/>
      <w:szCs w:val="20"/>
    </w:rPr>
  </w:style>
  <w:style w:type="paragraph" w:styleId="BodyTextIndent3">
    <w:name w:val="Body Text Indent 3"/>
    <w:basedOn w:val="Normal"/>
    <w:link w:val="BodyTextIndent3Char"/>
    <w:uiPriority w:val="99"/>
    <w:rsid w:val="00464C9C"/>
    <w:pPr>
      <w:tabs>
        <w:tab w:val="left" w:pos="-144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270"/>
        <w:tab w:val="left" w:pos="9630"/>
        <w:tab w:val="left" w:pos="10080"/>
        <w:tab w:val="left" w:pos="10800"/>
      </w:tabs>
      <w:ind w:left="1440"/>
    </w:pPr>
    <w:rPr>
      <w:rFonts w:cs="Arial"/>
      <w:szCs w:val="22"/>
    </w:rPr>
  </w:style>
  <w:style w:type="character" w:customStyle="1" w:styleId="BodyTextIndent3Char">
    <w:name w:val="Body Text Indent 3 Char"/>
    <w:basedOn w:val="DefaultParagraphFont"/>
    <w:link w:val="BodyTextIndent3"/>
    <w:uiPriority w:val="99"/>
    <w:semiHidden/>
    <w:locked/>
    <w:rsid w:val="00396473"/>
    <w:rPr>
      <w:rFonts w:ascii="Arial" w:hAnsi="Arial" w:cs="Times New Roman"/>
      <w:sz w:val="16"/>
      <w:szCs w:val="16"/>
    </w:rPr>
  </w:style>
  <w:style w:type="character" w:styleId="CommentReference">
    <w:name w:val="annotation reference"/>
    <w:basedOn w:val="DefaultParagraphFont"/>
    <w:semiHidden/>
    <w:rsid w:val="00464C9C"/>
    <w:rPr>
      <w:rFonts w:cs="Times New Roman"/>
      <w:sz w:val="16"/>
      <w:szCs w:val="16"/>
    </w:rPr>
  </w:style>
  <w:style w:type="paragraph" w:styleId="CommentText">
    <w:name w:val="annotation text"/>
    <w:basedOn w:val="Normal"/>
    <w:link w:val="CommentTextChar"/>
    <w:semiHidden/>
    <w:rsid w:val="00464C9C"/>
  </w:style>
  <w:style w:type="character" w:customStyle="1" w:styleId="CommentTextChar">
    <w:name w:val="Comment Text Char"/>
    <w:basedOn w:val="DefaultParagraphFont"/>
    <w:link w:val="CommentText"/>
    <w:semiHidden/>
    <w:locked/>
    <w:rsid w:val="00396473"/>
    <w:rPr>
      <w:rFonts w:ascii="Arial" w:hAnsi="Arial" w:cs="Times New Roman"/>
      <w:sz w:val="20"/>
      <w:szCs w:val="20"/>
    </w:rPr>
  </w:style>
  <w:style w:type="paragraph" w:styleId="BodyText">
    <w:name w:val="Body Text"/>
    <w:basedOn w:val="Normal"/>
    <w:link w:val="BodyTextChar"/>
    <w:uiPriority w:val="99"/>
    <w:rsid w:val="00464C9C"/>
    <w:pPr>
      <w:ind w:left="0"/>
    </w:pPr>
  </w:style>
  <w:style w:type="character" w:customStyle="1" w:styleId="BodyTextChar">
    <w:name w:val="Body Text Char"/>
    <w:basedOn w:val="DefaultParagraphFont"/>
    <w:link w:val="BodyText"/>
    <w:uiPriority w:val="99"/>
    <w:semiHidden/>
    <w:locked/>
    <w:rsid w:val="00396473"/>
    <w:rPr>
      <w:rFonts w:ascii="Arial" w:hAnsi="Arial" w:cs="Times New Roman"/>
      <w:sz w:val="20"/>
      <w:szCs w:val="20"/>
    </w:rPr>
  </w:style>
  <w:style w:type="paragraph" w:styleId="List2">
    <w:name w:val="List 2"/>
    <w:basedOn w:val="Normal"/>
    <w:uiPriority w:val="99"/>
    <w:rsid w:val="00464C9C"/>
  </w:style>
  <w:style w:type="paragraph" w:styleId="ListBullet2">
    <w:name w:val="List Bullet 2"/>
    <w:basedOn w:val="Normal"/>
    <w:uiPriority w:val="99"/>
    <w:rsid w:val="00464C9C"/>
    <w:pPr>
      <w:tabs>
        <w:tab w:val="num" w:pos="720"/>
      </w:tabs>
      <w:ind w:left="720"/>
    </w:pPr>
  </w:style>
  <w:style w:type="paragraph" w:styleId="ListBullet3">
    <w:name w:val="List Bullet 3"/>
    <w:basedOn w:val="Normal"/>
    <w:uiPriority w:val="99"/>
    <w:rsid w:val="00464C9C"/>
    <w:pPr>
      <w:tabs>
        <w:tab w:val="num" w:pos="1080"/>
      </w:tabs>
      <w:ind w:left="1080"/>
    </w:pPr>
  </w:style>
  <w:style w:type="paragraph" w:styleId="ListContinue">
    <w:name w:val="List Continue"/>
    <w:basedOn w:val="Normal"/>
    <w:uiPriority w:val="99"/>
    <w:rsid w:val="00464C9C"/>
    <w:pPr>
      <w:spacing w:after="120"/>
    </w:pPr>
  </w:style>
  <w:style w:type="paragraph" w:styleId="ListContinue2">
    <w:name w:val="List Continue 2"/>
    <w:basedOn w:val="Normal"/>
    <w:uiPriority w:val="99"/>
    <w:rsid w:val="00464C9C"/>
    <w:pPr>
      <w:spacing w:after="120"/>
    </w:pPr>
  </w:style>
  <w:style w:type="paragraph" w:styleId="ListContinue3">
    <w:name w:val="List Continue 3"/>
    <w:basedOn w:val="Normal"/>
    <w:uiPriority w:val="99"/>
    <w:rsid w:val="00464C9C"/>
    <w:pPr>
      <w:spacing w:after="120"/>
      <w:ind w:left="1080"/>
    </w:pPr>
  </w:style>
  <w:style w:type="paragraph" w:styleId="Caption">
    <w:name w:val="caption"/>
    <w:basedOn w:val="Normal"/>
    <w:next w:val="Normal"/>
    <w:uiPriority w:val="99"/>
    <w:qFormat/>
    <w:rsid w:val="00464C9C"/>
    <w:pPr>
      <w:spacing w:before="120" w:after="120"/>
    </w:pPr>
    <w:rPr>
      <w:b/>
      <w:bCs/>
      <w:sz w:val="20"/>
    </w:rPr>
  </w:style>
  <w:style w:type="paragraph" w:styleId="DocumentMap">
    <w:name w:val="Document Map"/>
    <w:basedOn w:val="Normal"/>
    <w:link w:val="DocumentMapChar"/>
    <w:uiPriority w:val="99"/>
    <w:semiHidden/>
    <w:rsid w:val="00464C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6473"/>
    <w:rPr>
      <w:rFonts w:cs="Times New Roman"/>
      <w:sz w:val="2"/>
    </w:rPr>
  </w:style>
  <w:style w:type="paragraph" w:styleId="BalloonText">
    <w:name w:val="Balloon Text"/>
    <w:basedOn w:val="Normal"/>
    <w:link w:val="BalloonTextChar"/>
    <w:uiPriority w:val="99"/>
    <w:semiHidden/>
    <w:rsid w:val="00464C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473"/>
    <w:rPr>
      <w:rFonts w:cs="Times New Roman"/>
      <w:sz w:val="2"/>
    </w:rPr>
  </w:style>
  <w:style w:type="paragraph" w:styleId="CommentSubject">
    <w:name w:val="annotation subject"/>
    <w:basedOn w:val="CommentText"/>
    <w:next w:val="CommentText"/>
    <w:link w:val="CommentSubjectChar"/>
    <w:uiPriority w:val="99"/>
    <w:semiHidden/>
    <w:rsid w:val="00464C9C"/>
    <w:rPr>
      <w:b/>
      <w:bCs/>
      <w:sz w:val="20"/>
    </w:rPr>
  </w:style>
  <w:style w:type="character" w:customStyle="1" w:styleId="CommentSubjectChar">
    <w:name w:val="Comment Subject Char"/>
    <w:basedOn w:val="CommentTextChar"/>
    <w:link w:val="CommentSubject"/>
    <w:uiPriority w:val="99"/>
    <w:semiHidden/>
    <w:locked/>
    <w:rsid w:val="00396473"/>
    <w:rPr>
      <w:rFonts w:ascii="Arial" w:hAnsi="Arial" w:cs="Times New Roman"/>
      <w:b/>
      <w:bCs/>
      <w:sz w:val="20"/>
      <w:szCs w:val="20"/>
    </w:rPr>
  </w:style>
  <w:style w:type="character" w:styleId="Hyperlink">
    <w:name w:val="Hyperlink"/>
    <w:basedOn w:val="DefaultParagraphFont"/>
    <w:uiPriority w:val="99"/>
    <w:rsid w:val="00DC73D0"/>
    <w:rPr>
      <w:rFonts w:cs="Times New Roman"/>
      <w:color w:val="0000FF"/>
      <w:u w:val="single"/>
    </w:rPr>
  </w:style>
  <w:style w:type="paragraph" w:styleId="ListParagraph">
    <w:name w:val="List Paragraph"/>
    <w:basedOn w:val="Normal"/>
    <w:uiPriority w:val="99"/>
    <w:qFormat/>
    <w:rsid w:val="000B42D9"/>
    <w:pPr>
      <w:ind w:left="720"/>
      <w:contextualSpacing/>
    </w:pPr>
  </w:style>
  <w:style w:type="paragraph" w:customStyle="1" w:styleId="CM43">
    <w:name w:val="CM43"/>
    <w:basedOn w:val="Normal"/>
    <w:next w:val="Normal"/>
    <w:uiPriority w:val="99"/>
    <w:rsid w:val="00BF5A8D"/>
    <w:pPr>
      <w:widowControl/>
      <w:spacing w:line="200" w:lineRule="atLeast"/>
      <w:ind w:left="0" w:firstLine="0"/>
      <w:jc w:val="left"/>
    </w:pPr>
    <w:rPr>
      <w:rFonts w:ascii="HHLEN N+ Melior" w:hAnsi="HHLEN N+ Melior"/>
      <w:sz w:val="24"/>
      <w:szCs w:val="24"/>
    </w:rPr>
  </w:style>
  <w:style w:type="paragraph" w:styleId="Revision">
    <w:name w:val="Revision"/>
    <w:hidden/>
    <w:uiPriority w:val="99"/>
    <w:semiHidden/>
    <w:rsid w:val="002E7460"/>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422">
      <w:marLeft w:val="0"/>
      <w:marRight w:val="0"/>
      <w:marTop w:val="0"/>
      <w:marBottom w:val="0"/>
      <w:divBdr>
        <w:top w:val="none" w:sz="0" w:space="0" w:color="auto"/>
        <w:left w:val="none" w:sz="0" w:space="0" w:color="auto"/>
        <w:bottom w:val="none" w:sz="0" w:space="0" w:color="auto"/>
        <w:right w:val="none" w:sz="0" w:space="0" w:color="auto"/>
      </w:divBdr>
    </w:div>
    <w:div w:id="85464423">
      <w:marLeft w:val="0"/>
      <w:marRight w:val="0"/>
      <w:marTop w:val="0"/>
      <w:marBottom w:val="0"/>
      <w:divBdr>
        <w:top w:val="none" w:sz="0" w:space="0" w:color="auto"/>
        <w:left w:val="none" w:sz="0" w:space="0" w:color="auto"/>
        <w:bottom w:val="none" w:sz="0" w:space="0" w:color="auto"/>
        <w:right w:val="none" w:sz="0" w:space="0" w:color="auto"/>
      </w:divBdr>
    </w:div>
    <w:div w:id="85464424">
      <w:marLeft w:val="0"/>
      <w:marRight w:val="0"/>
      <w:marTop w:val="0"/>
      <w:marBottom w:val="0"/>
      <w:divBdr>
        <w:top w:val="none" w:sz="0" w:space="0" w:color="auto"/>
        <w:left w:val="none" w:sz="0" w:space="0" w:color="auto"/>
        <w:bottom w:val="none" w:sz="0" w:space="0" w:color="auto"/>
        <w:right w:val="none" w:sz="0" w:space="0" w:color="auto"/>
      </w:divBdr>
    </w:div>
    <w:div w:id="85464425">
      <w:marLeft w:val="0"/>
      <w:marRight w:val="0"/>
      <w:marTop w:val="0"/>
      <w:marBottom w:val="0"/>
      <w:divBdr>
        <w:top w:val="none" w:sz="0" w:space="0" w:color="auto"/>
        <w:left w:val="none" w:sz="0" w:space="0" w:color="auto"/>
        <w:bottom w:val="none" w:sz="0" w:space="0" w:color="auto"/>
        <w:right w:val="none" w:sz="0" w:space="0" w:color="auto"/>
      </w:divBdr>
    </w:div>
    <w:div w:id="1834105918">
      <w:bodyDiv w:val="1"/>
      <w:marLeft w:val="0"/>
      <w:marRight w:val="0"/>
      <w:marTop w:val="0"/>
      <w:marBottom w:val="0"/>
      <w:divBdr>
        <w:top w:val="none" w:sz="0" w:space="0" w:color="auto"/>
        <w:left w:val="none" w:sz="0" w:space="0" w:color="auto"/>
        <w:bottom w:val="none" w:sz="0" w:space="0" w:color="auto"/>
        <w:right w:val="none" w:sz="0" w:space="0" w:color="auto"/>
      </w:divBdr>
    </w:div>
    <w:div w:id="19099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6F6A-1329-4F7C-BEEF-4CF65EB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19386</Words>
  <Characters>104574</Characters>
  <Application>Microsoft Office Word</Application>
  <DocSecurity>0</DocSecurity>
  <Lines>871</Lines>
  <Paragraphs>247</Paragraphs>
  <ScaleCrop>false</ScaleCrop>
  <HeadingPairs>
    <vt:vector size="2" baseType="variant">
      <vt:variant>
        <vt:lpstr>Title</vt:lpstr>
      </vt:variant>
      <vt:variant>
        <vt:i4>1</vt:i4>
      </vt:variant>
    </vt:vector>
  </HeadingPairs>
  <TitlesOfParts>
    <vt:vector size="1" baseType="lpstr">
      <vt:lpstr>VERMONT AGENCY OF NATURAL RESOURCES</vt:lpstr>
    </vt:vector>
  </TitlesOfParts>
  <Company>VTDEC</Company>
  <LinksUpToDate>false</LinksUpToDate>
  <CharactersWithSpaces>123713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NATURAL RESOURCES</dc:title>
  <dc:creator>Dec Staff</dc:creator>
  <cp:lastModifiedBy>Mathis, Tony</cp:lastModifiedBy>
  <cp:revision>4</cp:revision>
  <cp:lastPrinted>2016-03-02T16:12:00Z</cp:lastPrinted>
  <dcterms:created xsi:type="dcterms:W3CDTF">2018-07-24T13:30:00Z</dcterms:created>
  <dcterms:modified xsi:type="dcterms:W3CDTF">2018-07-24T13:41:00Z</dcterms:modified>
</cp:coreProperties>
</file>