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32C8AE" w14:textId="77777777" w:rsidR="00570278" w:rsidRDefault="00570278" w:rsidP="00570278">
      <w:pPr>
        <w:jc w:val="center"/>
        <w:rPr>
          <w:sz w:val="40"/>
        </w:rPr>
      </w:pPr>
    </w:p>
    <w:p w14:paraId="494983AB" w14:textId="77777777" w:rsidR="00570278" w:rsidRDefault="00570278" w:rsidP="00570278">
      <w:pPr>
        <w:jc w:val="center"/>
        <w:rPr>
          <w:sz w:val="40"/>
        </w:rPr>
      </w:pPr>
    </w:p>
    <w:p w14:paraId="244D0366" w14:textId="77777777" w:rsidR="00570278" w:rsidRDefault="00570278" w:rsidP="00570278">
      <w:pPr>
        <w:jc w:val="center"/>
        <w:rPr>
          <w:sz w:val="40"/>
        </w:rPr>
      </w:pPr>
    </w:p>
    <w:p w14:paraId="39883673" w14:textId="77D9EEE4" w:rsidR="00884987" w:rsidRPr="00570278" w:rsidRDefault="0000056D" w:rsidP="00D33AA5">
      <w:pPr>
        <w:jc w:val="center"/>
        <w:rPr>
          <w:sz w:val="40"/>
        </w:rPr>
      </w:pPr>
      <w:proofErr w:type="spellStart"/>
      <w:r>
        <w:rPr>
          <w:sz w:val="40"/>
        </w:rPr>
        <w:t>LaRosa</w:t>
      </w:r>
      <w:proofErr w:type="spellEnd"/>
      <w:r>
        <w:rPr>
          <w:sz w:val="40"/>
        </w:rPr>
        <w:t xml:space="preserve"> Partnership </w:t>
      </w:r>
      <w:r w:rsidR="002B436A">
        <w:rPr>
          <w:sz w:val="40"/>
        </w:rPr>
        <w:t xml:space="preserve">Guidance Document </w:t>
      </w:r>
      <w:r w:rsidR="00C17B45">
        <w:rPr>
          <w:sz w:val="40"/>
        </w:rPr>
        <w:t xml:space="preserve">for </w:t>
      </w:r>
      <w:r w:rsidR="00C17B45">
        <w:rPr>
          <w:sz w:val="40"/>
        </w:rPr>
        <w:br/>
      </w:r>
      <w:r w:rsidR="004B12FF">
        <w:rPr>
          <w:sz w:val="40"/>
        </w:rPr>
        <w:t>Coarse-level Estimation</w:t>
      </w:r>
      <w:r w:rsidR="00C17B45">
        <w:rPr>
          <w:sz w:val="40"/>
        </w:rPr>
        <w:t xml:space="preserve"> of </w:t>
      </w:r>
      <w:r w:rsidR="004B12FF">
        <w:rPr>
          <w:sz w:val="40"/>
        </w:rPr>
        <w:t>Pollutant</w:t>
      </w:r>
      <w:r w:rsidR="00C17B45">
        <w:rPr>
          <w:sz w:val="40"/>
        </w:rPr>
        <w:t xml:space="preserve"> </w:t>
      </w:r>
      <w:r w:rsidR="004B12FF">
        <w:rPr>
          <w:sz w:val="40"/>
        </w:rPr>
        <w:t>Loads</w:t>
      </w:r>
    </w:p>
    <w:p w14:paraId="399D9DD0" w14:textId="77777777" w:rsidR="00570278" w:rsidRDefault="00570278"/>
    <w:p w14:paraId="6EBC0BB4" w14:textId="791BB211" w:rsidR="00570278" w:rsidRPr="00FF66FA" w:rsidRDefault="00D33AA5" w:rsidP="00570278">
      <w:pPr>
        <w:jc w:val="center"/>
        <w:rPr>
          <w:rFonts w:ascii="Calibri" w:hAnsi="Calibri"/>
        </w:rPr>
      </w:pPr>
      <w:r>
        <w:rPr>
          <w:rFonts w:ascii="Calibri" w:hAnsi="Calibri"/>
          <w:sz w:val="28"/>
        </w:rPr>
        <w:t>3</w:t>
      </w:r>
      <w:r w:rsidR="00E53F0F">
        <w:rPr>
          <w:rFonts w:ascii="Calibri" w:hAnsi="Calibri"/>
          <w:sz w:val="28"/>
        </w:rPr>
        <w:t>1</w:t>
      </w:r>
      <w:r>
        <w:rPr>
          <w:rFonts w:ascii="Calibri" w:hAnsi="Calibri"/>
          <w:sz w:val="28"/>
        </w:rPr>
        <w:t xml:space="preserve"> </w:t>
      </w:r>
      <w:r w:rsidR="004B12FF">
        <w:rPr>
          <w:rFonts w:ascii="Calibri" w:hAnsi="Calibri"/>
          <w:sz w:val="28"/>
        </w:rPr>
        <w:t>October</w:t>
      </w:r>
      <w:r w:rsidR="00570278" w:rsidRPr="00570278">
        <w:rPr>
          <w:rFonts w:ascii="Calibri" w:hAnsi="Calibri"/>
          <w:sz w:val="28"/>
        </w:rPr>
        <w:t xml:space="preserve"> 2017</w:t>
      </w:r>
    </w:p>
    <w:p w14:paraId="5E1002D4" w14:textId="77777777" w:rsidR="00570278" w:rsidRDefault="00570278" w:rsidP="00570278">
      <w:pPr>
        <w:jc w:val="center"/>
        <w:rPr>
          <w:rFonts w:ascii="Calibri" w:hAnsi="Calibri"/>
          <w:color w:val="FF0000"/>
          <w:sz w:val="36"/>
        </w:rPr>
      </w:pPr>
    </w:p>
    <w:p w14:paraId="368B2525" w14:textId="77777777" w:rsidR="004B12FF" w:rsidRDefault="004B12FF" w:rsidP="00570278">
      <w:pPr>
        <w:jc w:val="center"/>
        <w:rPr>
          <w:rFonts w:ascii="Calibri" w:hAnsi="Calibri"/>
          <w:color w:val="FF0000"/>
          <w:sz w:val="36"/>
        </w:rPr>
      </w:pPr>
    </w:p>
    <w:p w14:paraId="131CD6BC" w14:textId="77777777" w:rsidR="004B12FF" w:rsidRDefault="004B12FF" w:rsidP="00570278">
      <w:pPr>
        <w:jc w:val="center"/>
        <w:rPr>
          <w:rFonts w:ascii="Calibri" w:hAnsi="Calibri"/>
        </w:rPr>
      </w:pPr>
    </w:p>
    <w:p w14:paraId="2749740E" w14:textId="77777777" w:rsidR="00570278" w:rsidRDefault="00570278" w:rsidP="00570278">
      <w:pPr>
        <w:jc w:val="center"/>
        <w:rPr>
          <w:rFonts w:ascii="Calibri" w:hAnsi="Calibri"/>
        </w:rPr>
      </w:pPr>
    </w:p>
    <w:p w14:paraId="47F60C49" w14:textId="77777777" w:rsidR="00570278" w:rsidRDefault="00570278" w:rsidP="00570278">
      <w:pPr>
        <w:jc w:val="center"/>
        <w:rPr>
          <w:rFonts w:ascii="Calibri" w:hAnsi="Calibri"/>
        </w:rPr>
      </w:pPr>
    </w:p>
    <w:p w14:paraId="45422622" w14:textId="77777777" w:rsidR="00570278" w:rsidRPr="00FF66FA" w:rsidRDefault="00570278" w:rsidP="00570278">
      <w:pPr>
        <w:jc w:val="center"/>
        <w:rPr>
          <w:rFonts w:ascii="Calibri" w:hAnsi="Calibri"/>
        </w:rPr>
      </w:pPr>
    </w:p>
    <w:p w14:paraId="15BDC97C" w14:textId="77777777" w:rsidR="00570278" w:rsidRPr="00570278" w:rsidRDefault="00570278" w:rsidP="00570278">
      <w:pPr>
        <w:ind w:left="1440"/>
        <w:rPr>
          <w:rFonts w:ascii="Calibri" w:hAnsi="Calibri"/>
          <w:sz w:val="24"/>
        </w:rPr>
      </w:pPr>
      <w:r w:rsidRPr="00570278">
        <w:rPr>
          <w:rFonts w:ascii="Calibri" w:hAnsi="Calibri"/>
          <w:sz w:val="24"/>
        </w:rPr>
        <w:t>Prepared by:</w:t>
      </w:r>
    </w:p>
    <w:p w14:paraId="2CE75970" w14:textId="77777777" w:rsidR="00570278" w:rsidRPr="00570278" w:rsidRDefault="00570278" w:rsidP="00570278">
      <w:pPr>
        <w:spacing w:after="0" w:line="276" w:lineRule="auto"/>
        <w:ind w:left="1440"/>
        <w:rPr>
          <w:rFonts w:ascii="Calibri" w:hAnsi="Calibri"/>
          <w:sz w:val="24"/>
        </w:rPr>
      </w:pPr>
      <w:r w:rsidRPr="00570278">
        <w:rPr>
          <w:rFonts w:ascii="Calibri" w:hAnsi="Calibri"/>
          <w:sz w:val="24"/>
        </w:rPr>
        <w:t xml:space="preserve">Kristen </w:t>
      </w:r>
      <w:r>
        <w:rPr>
          <w:rFonts w:ascii="Calibri" w:hAnsi="Calibri"/>
          <w:sz w:val="24"/>
        </w:rPr>
        <w:t xml:space="preserve">L. </w:t>
      </w:r>
      <w:r w:rsidRPr="00570278">
        <w:rPr>
          <w:rFonts w:ascii="Calibri" w:hAnsi="Calibri"/>
          <w:sz w:val="24"/>
        </w:rPr>
        <w:t>Underwood</w:t>
      </w:r>
      <w:r>
        <w:rPr>
          <w:rFonts w:ascii="Calibri" w:hAnsi="Calibri"/>
          <w:sz w:val="24"/>
        </w:rPr>
        <w:t>, PG</w:t>
      </w:r>
    </w:p>
    <w:p w14:paraId="425EEACA" w14:textId="77777777" w:rsidR="00570278" w:rsidRDefault="00570278" w:rsidP="00570278">
      <w:pPr>
        <w:spacing w:after="0" w:line="276" w:lineRule="auto"/>
        <w:ind w:left="1440"/>
        <w:rPr>
          <w:rFonts w:ascii="Calibri" w:hAnsi="Calibri"/>
          <w:sz w:val="24"/>
        </w:rPr>
      </w:pPr>
      <w:r w:rsidRPr="00570278">
        <w:rPr>
          <w:rFonts w:ascii="Calibri" w:hAnsi="Calibri"/>
          <w:sz w:val="24"/>
        </w:rPr>
        <w:t>South Mountain Research &amp; Consulting</w:t>
      </w:r>
    </w:p>
    <w:p w14:paraId="4E621DB3" w14:textId="77777777" w:rsidR="00570278" w:rsidRPr="00570278" w:rsidRDefault="00570278" w:rsidP="00570278">
      <w:pPr>
        <w:spacing w:after="0" w:line="276" w:lineRule="auto"/>
        <w:ind w:left="1440"/>
        <w:rPr>
          <w:rFonts w:ascii="Calibri" w:hAnsi="Calibri"/>
          <w:sz w:val="24"/>
        </w:rPr>
      </w:pPr>
      <w:r>
        <w:rPr>
          <w:rFonts w:ascii="Calibri" w:hAnsi="Calibri"/>
          <w:sz w:val="24"/>
        </w:rPr>
        <w:t>Bristol, VT</w:t>
      </w:r>
    </w:p>
    <w:p w14:paraId="251A3F76" w14:textId="77777777" w:rsidR="00570278" w:rsidRPr="00570278" w:rsidRDefault="00570278" w:rsidP="00570278">
      <w:pPr>
        <w:ind w:left="1440"/>
        <w:rPr>
          <w:rFonts w:ascii="Calibri" w:hAnsi="Calibri"/>
          <w:sz w:val="24"/>
        </w:rPr>
      </w:pPr>
    </w:p>
    <w:p w14:paraId="7B0146C3" w14:textId="77777777" w:rsidR="00570278" w:rsidRPr="00570278" w:rsidRDefault="00570278" w:rsidP="00570278">
      <w:pPr>
        <w:ind w:left="1440"/>
        <w:rPr>
          <w:rFonts w:ascii="Calibri" w:hAnsi="Calibri"/>
          <w:sz w:val="24"/>
        </w:rPr>
      </w:pPr>
      <w:r w:rsidRPr="00570278">
        <w:rPr>
          <w:rFonts w:ascii="Calibri" w:hAnsi="Calibri"/>
          <w:sz w:val="24"/>
        </w:rPr>
        <w:t>Prepared under contract to:</w:t>
      </w:r>
    </w:p>
    <w:p w14:paraId="7B04B02E" w14:textId="77777777" w:rsidR="00570278" w:rsidRPr="00570278" w:rsidRDefault="00570278" w:rsidP="00570278">
      <w:pPr>
        <w:spacing w:after="0" w:line="276" w:lineRule="auto"/>
        <w:ind w:left="1440"/>
        <w:rPr>
          <w:rFonts w:ascii="Calibri" w:hAnsi="Calibri"/>
          <w:sz w:val="24"/>
        </w:rPr>
      </w:pPr>
      <w:r w:rsidRPr="00570278">
        <w:rPr>
          <w:rFonts w:ascii="Calibri" w:hAnsi="Calibri"/>
          <w:sz w:val="24"/>
        </w:rPr>
        <w:t>VT Agency of Natural Resources</w:t>
      </w:r>
    </w:p>
    <w:p w14:paraId="7DE7D2F6" w14:textId="77777777" w:rsidR="00570278" w:rsidRPr="00570278" w:rsidRDefault="00570278" w:rsidP="00570278">
      <w:pPr>
        <w:spacing w:after="0" w:line="276" w:lineRule="auto"/>
        <w:ind w:left="1440"/>
        <w:rPr>
          <w:rFonts w:ascii="Calibri" w:hAnsi="Calibri"/>
          <w:sz w:val="24"/>
        </w:rPr>
      </w:pPr>
      <w:r w:rsidRPr="00570278">
        <w:rPr>
          <w:rFonts w:ascii="Calibri" w:hAnsi="Calibri"/>
          <w:sz w:val="24"/>
        </w:rPr>
        <w:t>Watershed Management Division</w:t>
      </w:r>
    </w:p>
    <w:p w14:paraId="41952A1E" w14:textId="77777777" w:rsidR="00570278" w:rsidRPr="00570278" w:rsidRDefault="00570278" w:rsidP="00570278">
      <w:pPr>
        <w:spacing w:after="0" w:line="276" w:lineRule="auto"/>
        <w:ind w:left="1440"/>
        <w:rPr>
          <w:rFonts w:ascii="Calibri" w:hAnsi="Calibri"/>
          <w:sz w:val="24"/>
        </w:rPr>
      </w:pPr>
      <w:r w:rsidRPr="00570278">
        <w:rPr>
          <w:rFonts w:ascii="Calibri" w:hAnsi="Calibri"/>
          <w:sz w:val="24"/>
        </w:rPr>
        <w:t>Montpelier, VT</w:t>
      </w:r>
    </w:p>
    <w:p w14:paraId="127D9964" w14:textId="77777777" w:rsidR="00570278" w:rsidRPr="00FF66FA" w:rsidRDefault="00570278" w:rsidP="00570278">
      <w:pPr>
        <w:jc w:val="center"/>
        <w:rPr>
          <w:rFonts w:ascii="Calibri" w:hAnsi="Calibri"/>
          <w:sz w:val="28"/>
          <w:szCs w:val="28"/>
        </w:rPr>
      </w:pPr>
    </w:p>
    <w:p w14:paraId="777258A8" w14:textId="77777777" w:rsidR="00570278" w:rsidRPr="00FF66FA" w:rsidRDefault="00570278" w:rsidP="00570278">
      <w:pPr>
        <w:jc w:val="center"/>
        <w:rPr>
          <w:rFonts w:ascii="Calibri" w:hAnsi="Calibri"/>
          <w:sz w:val="28"/>
          <w:szCs w:val="28"/>
        </w:rPr>
      </w:pPr>
    </w:p>
    <w:p w14:paraId="78C0223C" w14:textId="77777777" w:rsidR="00570278" w:rsidRPr="00FF66FA" w:rsidRDefault="00570278" w:rsidP="00570278">
      <w:pPr>
        <w:jc w:val="center"/>
        <w:rPr>
          <w:rFonts w:ascii="Calibri" w:hAnsi="Calibri"/>
          <w:sz w:val="28"/>
          <w:szCs w:val="28"/>
        </w:rPr>
      </w:pPr>
    </w:p>
    <w:p w14:paraId="7DEE45B7" w14:textId="77777777" w:rsidR="00570278" w:rsidRPr="00FF66FA" w:rsidRDefault="00570278" w:rsidP="00570278">
      <w:pPr>
        <w:jc w:val="center"/>
        <w:rPr>
          <w:rFonts w:ascii="Calibri" w:hAnsi="Calibri"/>
          <w:sz w:val="28"/>
          <w:szCs w:val="28"/>
        </w:rPr>
      </w:pPr>
    </w:p>
    <w:p w14:paraId="38F5694E" w14:textId="77777777" w:rsidR="00884987" w:rsidRDefault="00884987">
      <w:pPr>
        <w:sectPr w:rsidR="00884987">
          <w:footerReference w:type="default" r:id="rId9"/>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1016739930"/>
        <w:docPartObj>
          <w:docPartGallery w:val="Table of Contents"/>
          <w:docPartUnique/>
        </w:docPartObj>
      </w:sdtPr>
      <w:sdtEndPr>
        <w:rPr>
          <w:noProof/>
        </w:rPr>
      </w:sdtEndPr>
      <w:sdtContent>
        <w:p w14:paraId="39D59780" w14:textId="77777777" w:rsidR="0039536A" w:rsidRDefault="0039536A">
          <w:pPr>
            <w:pStyle w:val="TOCHeading"/>
          </w:pPr>
          <w:r>
            <w:t>Table of Contents</w:t>
          </w:r>
        </w:p>
        <w:p w14:paraId="648A9587" w14:textId="77777777" w:rsidR="00951043" w:rsidRDefault="0039536A">
          <w:pPr>
            <w:pStyle w:val="TOC1"/>
            <w:tabs>
              <w:tab w:val="left" w:pos="660"/>
              <w:tab w:val="right" w:leader="dot" w:pos="9350"/>
            </w:tabs>
            <w:rPr>
              <w:rFonts w:eastAsiaTheme="minorEastAsia"/>
              <w:noProof/>
            </w:rPr>
          </w:pPr>
          <w:r>
            <w:fldChar w:fldCharType="begin"/>
          </w:r>
          <w:r>
            <w:instrText xml:space="preserve"> TOC \o "1-3" \h \z \u </w:instrText>
          </w:r>
          <w:r>
            <w:fldChar w:fldCharType="separate"/>
          </w:r>
          <w:hyperlink w:anchor="_Toc497229469" w:history="1">
            <w:r w:rsidR="00951043" w:rsidRPr="00141799">
              <w:rPr>
                <w:rStyle w:val="Hyperlink"/>
                <w:noProof/>
              </w:rPr>
              <w:t>1.0</w:t>
            </w:r>
            <w:r w:rsidR="00951043">
              <w:rPr>
                <w:rFonts w:eastAsiaTheme="minorEastAsia"/>
                <w:noProof/>
              </w:rPr>
              <w:tab/>
            </w:r>
            <w:r w:rsidR="00951043" w:rsidRPr="00141799">
              <w:rPr>
                <w:rStyle w:val="Hyperlink"/>
                <w:noProof/>
              </w:rPr>
              <w:t>Introduction</w:t>
            </w:r>
            <w:r w:rsidR="00951043">
              <w:rPr>
                <w:noProof/>
                <w:webHidden/>
              </w:rPr>
              <w:tab/>
            </w:r>
            <w:r w:rsidR="00951043">
              <w:rPr>
                <w:noProof/>
                <w:webHidden/>
              </w:rPr>
              <w:fldChar w:fldCharType="begin"/>
            </w:r>
            <w:r w:rsidR="00951043">
              <w:rPr>
                <w:noProof/>
                <w:webHidden/>
              </w:rPr>
              <w:instrText xml:space="preserve"> PAGEREF _Toc497229469 \h </w:instrText>
            </w:r>
            <w:r w:rsidR="00951043">
              <w:rPr>
                <w:noProof/>
                <w:webHidden/>
              </w:rPr>
            </w:r>
            <w:r w:rsidR="00951043">
              <w:rPr>
                <w:noProof/>
                <w:webHidden/>
              </w:rPr>
              <w:fldChar w:fldCharType="separate"/>
            </w:r>
            <w:r w:rsidR="00951043">
              <w:rPr>
                <w:noProof/>
                <w:webHidden/>
              </w:rPr>
              <w:t>1</w:t>
            </w:r>
            <w:r w:rsidR="00951043">
              <w:rPr>
                <w:noProof/>
                <w:webHidden/>
              </w:rPr>
              <w:fldChar w:fldCharType="end"/>
            </w:r>
          </w:hyperlink>
        </w:p>
        <w:p w14:paraId="3397397B" w14:textId="77777777" w:rsidR="00951043" w:rsidRDefault="00951043">
          <w:pPr>
            <w:pStyle w:val="TOC1"/>
            <w:tabs>
              <w:tab w:val="left" w:pos="660"/>
              <w:tab w:val="right" w:leader="dot" w:pos="9350"/>
            </w:tabs>
            <w:rPr>
              <w:rFonts w:eastAsiaTheme="minorEastAsia"/>
              <w:noProof/>
            </w:rPr>
          </w:pPr>
          <w:hyperlink w:anchor="_Toc497229470" w:history="1">
            <w:r w:rsidRPr="00141799">
              <w:rPr>
                <w:rStyle w:val="Hyperlink"/>
                <w:noProof/>
              </w:rPr>
              <w:t>2.0</w:t>
            </w:r>
            <w:r>
              <w:rPr>
                <w:rFonts w:eastAsiaTheme="minorEastAsia"/>
                <w:noProof/>
              </w:rPr>
              <w:tab/>
            </w:r>
            <w:r w:rsidRPr="00141799">
              <w:rPr>
                <w:rStyle w:val="Hyperlink"/>
                <w:noProof/>
              </w:rPr>
              <w:t>Discharge Estimation</w:t>
            </w:r>
            <w:r>
              <w:rPr>
                <w:noProof/>
                <w:webHidden/>
              </w:rPr>
              <w:tab/>
            </w:r>
            <w:r>
              <w:rPr>
                <w:noProof/>
                <w:webHidden/>
              </w:rPr>
              <w:fldChar w:fldCharType="begin"/>
            </w:r>
            <w:r>
              <w:rPr>
                <w:noProof/>
                <w:webHidden/>
              </w:rPr>
              <w:instrText xml:space="preserve"> PAGEREF _Toc497229470 \h </w:instrText>
            </w:r>
            <w:r>
              <w:rPr>
                <w:noProof/>
                <w:webHidden/>
              </w:rPr>
            </w:r>
            <w:r>
              <w:rPr>
                <w:noProof/>
                <w:webHidden/>
              </w:rPr>
              <w:fldChar w:fldCharType="separate"/>
            </w:r>
            <w:r>
              <w:rPr>
                <w:noProof/>
                <w:webHidden/>
              </w:rPr>
              <w:t>2</w:t>
            </w:r>
            <w:r>
              <w:rPr>
                <w:noProof/>
                <w:webHidden/>
              </w:rPr>
              <w:fldChar w:fldCharType="end"/>
            </w:r>
          </w:hyperlink>
        </w:p>
        <w:p w14:paraId="4B84EA91" w14:textId="77777777" w:rsidR="00951043" w:rsidRDefault="00951043">
          <w:pPr>
            <w:pStyle w:val="TOC2"/>
            <w:tabs>
              <w:tab w:val="left" w:pos="880"/>
              <w:tab w:val="right" w:leader="dot" w:pos="9350"/>
            </w:tabs>
            <w:rPr>
              <w:rFonts w:eastAsiaTheme="minorEastAsia"/>
              <w:noProof/>
            </w:rPr>
          </w:pPr>
          <w:hyperlink w:anchor="_Toc497229471" w:history="1">
            <w:r w:rsidRPr="00141799">
              <w:rPr>
                <w:rStyle w:val="Hyperlink"/>
                <w:noProof/>
              </w:rPr>
              <w:t>2.1</w:t>
            </w:r>
            <w:r>
              <w:rPr>
                <w:rFonts w:eastAsiaTheme="minorEastAsia"/>
                <w:noProof/>
              </w:rPr>
              <w:tab/>
            </w:r>
            <w:r w:rsidRPr="00141799">
              <w:rPr>
                <w:rStyle w:val="Hyperlink"/>
                <w:noProof/>
              </w:rPr>
              <w:t>Estimates from a USGS streamflow gaging station</w:t>
            </w:r>
            <w:r>
              <w:rPr>
                <w:noProof/>
                <w:webHidden/>
              </w:rPr>
              <w:tab/>
            </w:r>
            <w:r>
              <w:rPr>
                <w:noProof/>
                <w:webHidden/>
              </w:rPr>
              <w:fldChar w:fldCharType="begin"/>
            </w:r>
            <w:r>
              <w:rPr>
                <w:noProof/>
                <w:webHidden/>
              </w:rPr>
              <w:instrText xml:space="preserve"> PAGEREF _Toc497229471 \h </w:instrText>
            </w:r>
            <w:r>
              <w:rPr>
                <w:noProof/>
                <w:webHidden/>
              </w:rPr>
            </w:r>
            <w:r>
              <w:rPr>
                <w:noProof/>
                <w:webHidden/>
              </w:rPr>
              <w:fldChar w:fldCharType="separate"/>
            </w:r>
            <w:r>
              <w:rPr>
                <w:noProof/>
                <w:webHidden/>
              </w:rPr>
              <w:t>2</w:t>
            </w:r>
            <w:r>
              <w:rPr>
                <w:noProof/>
                <w:webHidden/>
              </w:rPr>
              <w:fldChar w:fldCharType="end"/>
            </w:r>
          </w:hyperlink>
        </w:p>
        <w:p w14:paraId="45279012" w14:textId="77777777" w:rsidR="00951043" w:rsidRDefault="00951043">
          <w:pPr>
            <w:pStyle w:val="TOC3"/>
            <w:tabs>
              <w:tab w:val="left" w:pos="1320"/>
              <w:tab w:val="right" w:leader="dot" w:pos="9350"/>
            </w:tabs>
            <w:rPr>
              <w:rFonts w:eastAsiaTheme="minorEastAsia"/>
              <w:noProof/>
            </w:rPr>
          </w:pPr>
          <w:hyperlink w:anchor="_Toc497229472" w:history="1">
            <w:r w:rsidRPr="00141799">
              <w:rPr>
                <w:rStyle w:val="Hyperlink"/>
                <w:noProof/>
              </w:rPr>
              <w:t>2.1.1</w:t>
            </w:r>
            <w:r>
              <w:rPr>
                <w:rFonts w:eastAsiaTheme="minorEastAsia"/>
                <w:noProof/>
              </w:rPr>
              <w:tab/>
            </w:r>
            <w:r w:rsidRPr="00141799">
              <w:rPr>
                <w:rStyle w:val="Hyperlink"/>
                <w:noProof/>
              </w:rPr>
              <w:t>Within-basin USGS gage</w:t>
            </w:r>
            <w:r>
              <w:rPr>
                <w:noProof/>
                <w:webHidden/>
              </w:rPr>
              <w:tab/>
            </w:r>
            <w:r>
              <w:rPr>
                <w:noProof/>
                <w:webHidden/>
              </w:rPr>
              <w:fldChar w:fldCharType="begin"/>
            </w:r>
            <w:r>
              <w:rPr>
                <w:noProof/>
                <w:webHidden/>
              </w:rPr>
              <w:instrText xml:space="preserve"> PAGEREF _Toc497229472 \h </w:instrText>
            </w:r>
            <w:r>
              <w:rPr>
                <w:noProof/>
                <w:webHidden/>
              </w:rPr>
            </w:r>
            <w:r>
              <w:rPr>
                <w:noProof/>
                <w:webHidden/>
              </w:rPr>
              <w:fldChar w:fldCharType="separate"/>
            </w:r>
            <w:r>
              <w:rPr>
                <w:noProof/>
                <w:webHidden/>
              </w:rPr>
              <w:t>2</w:t>
            </w:r>
            <w:r>
              <w:rPr>
                <w:noProof/>
                <w:webHidden/>
              </w:rPr>
              <w:fldChar w:fldCharType="end"/>
            </w:r>
          </w:hyperlink>
        </w:p>
        <w:p w14:paraId="19CEE2C0" w14:textId="77777777" w:rsidR="00951043" w:rsidRDefault="00951043">
          <w:pPr>
            <w:pStyle w:val="TOC3"/>
            <w:tabs>
              <w:tab w:val="left" w:pos="1320"/>
              <w:tab w:val="right" w:leader="dot" w:pos="9350"/>
            </w:tabs>
            <w:rPr>
              <w:rFonts w:eastAsiaTheme="minorEastAsia"/>
              <w:noProof/>
            </w:rPr>
          </w:pPr>
          <w:hyperlink w:anchor="_Toc497229473" w:history="1">
            <w:r w:rsidRPr="00141799">
              <w:rPr>
                <w:rStyle w:val="Hyperlink"/>
                <w:noProof/>
              </w:rPr>
              <w:t>2.1.2</w:t>
            </w:r>
            <w:r>
              <w:rPr>
                <w:rFonts w:eastAsiaTheme="minorEastAsia"/>
                <w:noProof/>
              </w:rPr>
              <w:tab/>
            </w:r>
            <w:r w:rsidRPr="00141799">
              <w:rPr>
                <w:rStyle w:val="Hyperlink"/>
                <w:noProof/>
              </w:rPr>
              <w:t>Near-basin USGS gage</w:t>
            </w:r>
            <w:r>
              <w:rPr>
                <w:noProof/>
                <w:webHidden/>
              </w:rPr>
              <w:tab/>
            </w:r>
            <w:r>
              <w:rPr>
                <w:noProof/>
                <w:webHidden/>
              </w:rPr>
              <w:fldChar w:fldCharType="begin"/>
            </w:r>
            <w:r>
              <w:rPr>
                <w:noProof/>
                <w:webHidden/>
              </w:rPr>
              <w:instrText xml:space="preserve"> PAGEREF _Toc497229473 \h </w:instrText>
            </w:r>
            <w:r>
              <w:rPr>
                <w:noProof/>
                <w:webHidden/>
              </w:rPr>
            </w:r>
            <w:r>
              <w:rPr>
                <w:noProof/>
                <w:webHidden/>
              </w:rPr>
              <w:fldChar w:fldCharType="separate"/>
            </w:r>
            <w:r>
              <w:rPr>
                <w:noProof/>
                <w:webHidden/>
              </w:rPr>
              <w:t>5</w:t>
            </w:r>
            <w:r>
              <w:rPr>
                <w:noProof/>
                <w:webHidden/>
              </w:rPr>
              <w:fldChar w:fldCharType="end"/>
            </w:r>
          </w:hyperlink>
        </w:p>
        <w:p w14:paraId="30DD9BEB" w14:textId="77777777" w:rsidR="00951043" w:rsidRDefault="00951043">
          <w:pPr>
            <w:pStyle w:val="TOC2"/>
            <w:tabs>
              <w:tab w:val="left" w:pos="880"/>
              <w:tab w:val="right" w:leader="dot" w:pos="9350"/>
            </w:tabs>
            <w:rPr>
              <w:rFonts w:eastAsiaTheme="minorEastAsia"/>
              <w:noProof/>
            </w:rPr>
          </w:pPr>
          <w:hyperlink w:anchor="_Toc497229474" w:history="1">
            <w:r w:rsidRPr="00141799">
              <w:rPr>
                <w:rStyle w:val="Hyperlink"/>
                <w:noProof/>
              </w:rPr>
              <w:t>2.2</w:t>
            </w:r>
            <w:r>
              <w:rPr>
                <w:rFonts w:eastAsiaTheme="minorEastAsia"/>
                <w:noProof/>
              </w:rPr>
              <w:tab/>
            </w:r>
            <w:r w:rsidRPr="00141799">
              <w:rPr>
                <w:rStyle w:val="Hyperlink"/>
                <w:noProof/>
              </w:rPr>
              <w:t>Field Estimation</w:t>
            </w:r>
            <w:r>
              <w:rPr>
                <w:noProof/>
                <w:webHidden/>
              </w:rPr>
              <w:tab/>
            </w:r>
            <w:r>
              <w:rPr>
                <w:noProof/>
                <w:webHidden/>
              </w:rPr>
              <w:fldChar w:fldCharType="begin"/>
            </w:r>
            <w:r>
              <w:rPr>
                <w:noProof/>
                <w:webHidden/>
              </w:rPr>
              <w:instrText xml:space="preserve"> PAGEREF _Toc497229474 \h </w:instrText>
            </w:r>
            <w:r>
              <w:rPr>
                <w:noProof/>
                <w:webHidden/>
              </w:rPr>
            </w:r>
            <w:r>
              <w:rPr>
                <w:noProof/>
                <w:webHidden/>
              </w:rPr>
              <w:fldChar w:fldCharType="separate"/>
            </w:r>
            <w:r>
              <w:rPr>
                <w:noProof/>
                <w:webHidden/>
              </w:rPr>
              <w:t>5</w:t>
            </w:r>
            <w:r>
              <w:rPr>
                <w:noProof/>
                <w:webHidden/>
              </w:rPr>
              <w:fldChar w:fldCharType="end"/>
            </w:r>
          </w:hyperlink>
        </w:p>
        <w:p w14:paraId="40B35ABE" w14:textId="77777777" w:rsidR="00951043" w:rsidRDefault="00951043">
          <w:pPr>
            <w:pStyle w:val="TOC1"/>
            <w:tabs>
              <w:tab w:val="left" w:pos="660"/>
              <w:tab w:val="right" w:leader="dot" w:pos="9350"/>
            </w:tabs>
            <w:rPr>
              <w:rFonts w:eastAsiaTheme="minorEastAsia"/>
              <w:noProof/>
            </w:rPr>
          </w:pPr>
          <w:hyperlink w:anchor="_Toc497229475" w:history="1">
            <w:r w:rsidRPr="00141799">
              <w:rPr>
                <w:rStyle w:val="Hyperlink"/>
                <w:noProof/>
              </w:rPr>
              <w:t>3.0</w:t>
            </w:r>
            <w:r>
              <w:rPr>
                <w:rFonts w:eastAsiaTheme="minorEastAsia"/>
                <w:noProof/>
              </w:rPr>
              <w:tab/>
            </w:r>
            <w:r w:rsidRPr="00141799">
              <w:rPr>
                <w:rStyle w:val="Hyperlink"/>
                <w:noProof/>
              </w:rPr>
              <w:t>Qualitative Loading Estimates</w:t>
            </w:r>
            <w:r>
              <w:rPr>
                <w:noProof/>
                <w:webHidden/>
              </w:rPr>
              <w:tab/>
            </w:r>
            <w:r>
              <w:rPr>
                <w:noProof/>
                <w:webHidden/>
              </w:rPr>
              <w:fldChar w:fldCharType="begin"/>
            </w:r>
            <w:r>
              <w:rPr>
                <w:noProof/>
                <w:webHidden/>
              </w:rPr>
              <w:instrText xml:space="preserve"> PAGEREF _Toc497229475 \h </w:instrText>
            </w:r>
            <w:r>
              <w:rPr>
                <w:noProof/>
                <w:webHidden/>
              </w:rPr>
            </w:r>
            <w:r>
              <w:rPr>
                <w:noProof/>
                <w:webHidden/>
              </w:rPr>
              <w:fldChar w:fldCharType="separate"/>
            </w:r>
            <w:r>
              <w:rPr>
                <w:noProof/>
                <w:webHidden/>
              </w:rPr>
              <w:t>8</w:t>
            </w:r>
            <w:r>
              <w:rPr>
                <w:noProof/>
                <w:webHidden/>
              </w:rPr>
              <w:fldChar w:fldCharType="end"/>
            </w:r>
          </w:hyperlink>
        </w:p>
        <w:p w14:paraId="3BACF2BB" w14:textId="77777777" w:rsidR="00951043" w:rsidRDefault="00951043">
          <w:pPr>
            <w:pStyle w:val="TOC2"/>
            <w:tabs>
              <w:tab w:val="left" w:pos="880"/>
              <w:tab w:val="right" w:leader="dot" w:pos="9350"/>
            </w:tabs>
            <w:rPr>
              <w:rFonts w:eastAsiaTheme="minorEastAsia"/>
              <w:noProof/>
            </w:rPr>
          </w:pPr>
          <w:hyperlink w:anchor="_Toc497229476" w:history="1">
            <w:r w:rsidRPr="00141799">
              <w:rPr>
                <w:rStyle w:val="Hyperlink"/>
                <w:noProof/>
              </w:rPr>
              <w:t>3.1</w:t>
            </w:r>
            <w:r>
              <w:rPr>
                <w:rFonts w:eastAsiaTheme="minorEastAsia"/>
                <w:noProof/>
              </w:rPr>
              <w:tab/>
            </w:r>
            <w:r w:rsidRPr="00141799">
              <w:rPr>
                <w:rStyle w:val="Hyperlink"/>
                <w:noProof/>
              </w:rPr>
              <w:t>Base-flow “Hot Spots”</w:t>
            </w:r>
            <w:r>
              <w:rPr>
                <w:noProof/>
                <w:webHidden/>
              </w:rPr>
              <w:tab/>
            </w:r>
            <w:r>
              <w:rPr>
                <w:noProof/>
                <w:webHidden/>
              </w:rPr>
              <w:fldChar w:fldCharType="begin"/>
            </w:r>
            <w:r>
              <w:rPr>
                <w:noProof/>
                <w:webHidden/>
              </w:rPr>
              <w:instrText xml:space="preserve"> PAGEREF _Toc497229476 \h </w:instrText>
            </w:r>
            <w:r>
              <w:rPr>
                <w:noProof/>
                <w:webHidden/>
              </w:rPr>
            </w:r>
            <w:r>
              <w:rPr>
                <w:noProof/>
                <w:webHidden/>
              </w:rPr>
              <w:fldChar w:fldCharType="separate"/>
            </w:r>
            <w:r>
              <w:rPr>
                <w:noProof/>
                <w:webHidden/>
              </w:rPr>
              <w:t>9</w:t>
            </w:r>
            <w:r>
              <w:rPr>
                <w:noProof/>
                <w:webHidden/>
              </w:rPr>
              <w:fldChar w:fldCharType="end"/>
            </w:r>
          </w:hyperlink>
        </w:p>
        <w:p w14:paraId="74E8C340" w14:textId="77777777" w:rsidR="00951043" w:rsidRDefault="00951043">
          <w:pPr>
            <w:pStyle w:val="TOC2"/>
            <w:tabs>
              <w:tab w:val="left" w:pos="880"/>
              <w:tab w:val="right" w:leader="dot" w:pos="9350"/>
            </w:tabs>
            <w:rPr>
              <w:rFonts w:eastAsiaTheme="minorEastAsia"/>
              <w:noProof/>
            </w:rPr>
          </w:pPr>
          <w:hyperlink w:anchor="_Toc497229477" w:history="1">
            <w:r w:rsidRPr="00141799">
              <w:rPr>
                <w:rStyle w:val="Hyperlink"/>
                <w:noProof/>
              </w:rPr>
              <w:t>3.2</w:t>
            </w:r>
            <w:r>
              <w:rPr>
                <w:rFonts w:eastAsiaTheme="minorEastAsia"/>
                <w:noProof/>
              </w:rPr>
              <w:tab/>
            </w:r>
            <w:r w:rsidRPr="00141799">
              <w:rPr>
                <w:rStyle w:val="Hyperlink"/>
                <w:noProof/>
              </w:rPr>
              <w:t>High-flow Concentration Data as a Proxy for Loading</w:t>
            </w:r>
            <w:r>
              <w:rPr>
                <w:noProof/>
                <w:webHidden/>
              </w:rPr>
              <w:tab/>
            </w:r>
            <w:r>
              <w:rPr>
                <w:noProof/>
                <w:webHidden/>
              </w:rPr>
              <w:fldChar w:fldCharType="begin"/>
            </w:r>
            <w:r>
              <w:rPr>
                <w:noProof/>
                <w:webHidden/>
              </w:rPr>
              <w:instrText xml:space="preserve"> PAGEREF _Toc497229477 \h </w:instrText>
            </w:r>
            <w:r>
              <w:rPr>
                <w:noProof/>
                <w:webHidden/>
              </w:rPr>
            </w:r>
            <w:r>
              <w:rPr>
                <w:noProof/>
                <w:webHidden/>
              </w:rPr>
              <w:fldChar w:fldCharType="separate"/>
            </w:r>
            <w:r>
              <w:rPr>
                <w:noProof/>
                <w:webHidden/>
              </w:rPr>
              <w:t>10</w:t>
            </w:r>
            <w:r>
              <w:rPr>
                <w:noProof/>
                <w:webHidden/>
              </w:rPr>
              <w:fldChar w:fldCharType="end"/>
            </w:r>
          </w:hyperlink>
        </w:p>
        <w:p w14:paraId="20976DDB" w14:textId="77777777" w:rsidR="00951043" w:rsidRDefault="00951043">
          <w:pPr>
            <w:pStyle w:val="TOC1"/>
            <w:tabs>
              <w:tab w:val="left" w:pos="660"/>
              <w:tab w:val="right" w:leader="dot" w:pos="9350"/>
            </w:tabs>
            <w:rPr>
              <w:rFonts w:eastAsiaTheme="minorEastAsia"/>
              <w:noProof/>
            </w:rPr>
          </w:pPr>
          <w:hyperlink w:anchor="_Toc497229478" w:history="1">
            <w:r w:rsidRPr="00141799">
              <w:rPr>
                <w:rStyle w:val="Hyperlink"/>
                <w:noProof/>
              </w:rPr>
              <w:t>4.0</w:t>
            </w:r>
            <w:r>
              <w:rPr>
                <w:rFonts w:eastAsiaTheme="minorEastAsia"/>
                <w:noProof/>
              </w:rPr>
              <w:tab/>
            </w:r>
            <w:r w:rsidRPr="00141799">
              <w:rPr>
                <w:rStyle w:val="Hyperlink"/>
                <w:noProof/>
              </w:rPr>
              <w:t>Quantitative Loading Estimates (Coarse-level)</w:t>
            </w:r>
            <w:r>
              <w:rPr>
                <w:noProof/>
                <w:webHidden/>
              </w:rPr>
              <w:tab/>
            </w:r>
            <w:r>
              <w:rPr>
                <w:noProof/>
                <w:webHidden/>
              </w:rPr>
              <w:fldChar w:fldCharType="begin"/>
            </w:r>
            <w:r>
              <w:rPr>
                <w:noProof/>
                <w:webHidden/>
              </w:rPr>
              <w:instrText xml:space="preserve"> PAGEREF _Toc497229478 \h </w:instrText>
            </w:r>
            <w:r>
              <w:rPr>
                <w:noProof/>
                <w:webHidden/>
              </w:rPr>
            </w:r>
            <w:r>
              <w:rPr>
                <w:noProof/>
                <w:webHidden/>
              </w:rPr>
              <w:fldChar w:fldCharType="separate"/>
            </w:r>
            <w:r>
              <w:rPr>
                <w:noProof/>
                <w:webHidden/>
              </w:rPr>
              <w:t>11</w:t>
            </w:r>
            <w:r>
              <w:rPr>
                <w:noProof/>
                <w:webHidden/>
              </w:rPr>
              <w:fldChar w:fldCharType="end"/>
            </w:r>
          </w:hyperlink>
        </w:p>
        <w:p w14:paraId="6C5E2AEB" w14:textId="77777777" w:rsidR="00951043" w:rsidRDefault="00951043">
          <w:pPr>
            <w:pStyle w:val="TOC1"/>
            <w:tabs>
              <w:tab w:val="left" w:pos="660"/>
              <w:tab w:val="right" w:leader="dot" w:pos="9350"/>
            </w:tabs>
            <w:rPr>
              <w:rFonts w:eastAsiaTheme="minorEastAsia"/>
              <w:noProof/>
            </w:rPr>
          </w:pPr>
          <w:hyperlink w:anchor="_Toc497229479" w:history="1">
            <w:r w:rsidRPr="00141799">
              <w:rPr>
                <w:rStyle w:val="Hyperlink"/>
                <w:noProof/>
              </w:rPr>
              <w:t>5.0</w:t>
            </w:r>
            <w:r>
              <w:rPr>
                <w:rFonts w:eastAsiaTheme="minorEastAsia"/>
                <w:noProof/>
              </w:rPr>
              <w:tab/>
            </w:r>
            <w:r w:rsidRPr="00141799">
              <w:rPr>
                <w:rStyle w:val="Hyperlink"/>
                <w:noProof/>
              </w:rPr>
              <w:t>References</w:t>
            </w:r>
            <w:r>
              <w:rPr>
                <w:noProof/>
                <w:webHidden/>
              </w:rPr>
              <w:tab/>
            </w:r>
            <w:r>
              <w:rPr>
                <w:noProof/>
                <w:webHidden/>
              </w:rPr>
              <w:fldChar w:fldCharType="begin"/>
            </w:r>
            <w:r>
              <w:rPr>
                <w:noProof/>
                <w:webHidden/>
              </w:rPr>
              <w:instrText xml:space="preserve"> PAGEREF _Toc497229479 \h </w:instrText>
            </w:r>
            <w:r>
              <w:rPr>
                <w:noProof/>
                <w:webHidden/>
              </w:rPr>
            </w:r>
            <w:r>
              <w:rPr>
                <w:noProof/>
                <w:webHidden/>
              </w:rPr>
              <w:fldChar w:fldCharType="separate"/>
            </w:r>
            <w:r>
              <w:rPr>
                <w:noProof/>
                <w:webHidden/>
              </w:rPr>
              <w:t>12</w:t>
            </w:r>
            <w:r>
              <w:rPr>
                <w:noProof/>
                <w:webHidden/>
              </w:rPr>
              <w:fldChar w:fldCharType="end"/>
            </w:r>
          </w:hyperlink>
        </w:p>
        <w:p w14:paraId="5F1FECFD" w14:textId="77777777" w:rsidR="0039536A" w:rsidRDefault="0039536A">
          <w:r>
            <w:rPr>
              <w:b/>
              <w:bCs/>
              <w:noProof/>
            </w:rPr>
            <w:fldChar w:fldCharType="end"/>
          </w:r>
        </w:p>
      </w:sdtContent>
    </w:sdt>
    <w:p w14:paraId="30ABB18E" w14:textId="0BC21E56" w:rsidR="006B247C" w:rsidRPr="006B247C" w:rsidRDefault="006B247C" w:rsidP="006B247C">
      <w:pPr>
        <w:spacing w:after="0"/>
        <w:ind w:left="1530" w:hanging="1530"/>
      </w:pPr>
      <w:r w:rsidRPr="006B247C">
        <w:t>Attachment 1</w:t>
      </w:r>
      <w:r>
        <w:t xml:space="preserve"> – VTDEC </w:t>
      </w:r>
      <w:r w:rsidRPr="000C2C27">
        <w:rPr>
          <w:rFonts w:ascii="Calibri" w:hAnsi="Calibri"/>
          <w:i/>
          <w:sz w:val="24"/>
          <w:szCs w:val="24"/>
        </w:rPr>
        <w:t>Guidance on Streamflow Observations at time of Water Quality Sampling of Rivers and Streams</w:t>
      </w:r>
    </w:p>
    <w:p w14:paraId="655D7117" w14:textId="77777777" w:rsidR="006B247C" w:rsidRPr="006B247C" w:rsidRDefault="006B247C" w:rsidP="006B247C">
      <w:pPr>
        <w:spacing w:after="0"/>
      </w:pPr>
      <w:r w:rsidRPr="006B247C">
        <w:t>Attachment 2 – Example field data sheet</w:t>
      </w:r>
    </w:p>
    <w:p w14:paraId="1D2057F9" w14:textId="7303BB08" w:rsidR="006B247C" w:rsidRPr="006B247C" w:rsidRDefault="006B247C" w:rsidP="006B247C">
      <w:pPr>
        <w:spacing w:after="0"/>
      </w:pPr>
      <w:r w:rsidRPr="006B247C">
        <w:t>Attachment 3 – Example photographic log for Flow Le</w:t>
      </w:r>
      <w:bookmarkStart w:id="0" w:name="_GoBack"/>
      <w:bookmarkEnd w:id="0"/>
      <w:r w:rsidRPr="006B247C">
        <w:t>vel</w:t>
      </w:r>
      <w:r w:rsidR="00D93798">
        <w:t xml:space="preserve"> and Flow Category</w:t>
      </w:r>
    </w:p>
    <w:p w14:paraId="66D39ED8" w14:textId="31127AEC" w:rsidR="0039536A" w:rsidRDefault="006B247C">
      <w:pPr>
        <w:rPr>
          <w:sz w:val="28"/>
        </w:rPr>
      </w:pPr>
      <w:r>
        <w:rPr>
          <w:sz w:val="28"/>
        </w:rPr>
        <w:br/>
      </w:r>
      <w:r w:rsidR="00E53F0F">
        <w:rPr>
          <w:sz w:val="28"/>
        </w:rPr>
        <w:t>Acknowledgements</w:t>
      </w:r>
    </w:p>
    <w:p w14:paraId="3B52A076" w14:textId="72F1044E" w:rsidR="00E53F0F" w:rsidRPr="006B247C" w:rsidRDefault="00E53F0F" w:rsidP="00E53F0F">
      <w:pPr>
        <w:spacing w:line="276" w:lineRule="auto"/>
        <w:rPr>
          <w:rFonts w:asciiTheme="majorHAnsi" w:eastAsiaTheme="majorEastAsia" w:hAnsiTheme="majorHAnsi" w:cstheme="majorBidi"/>
          <w:color w:val="2E74B5" w:themeColor="accent1" w:themeShade="BF"/>
          <w:sz w:val="28"/>
          <w:szCs w:val="32"/>
        </w:rPr>
      </w:pPr>
      <w:r w:rsidRPr="006B247C">
        <w:t xml:space="preserve">This document is one of five templates or guidance documents generated by the VT Department of Environmental Conservation (VTDEC) to support watershed groups engaged in ambient water quality monitoring under the </w:t>
      </w:r>
      <w:proofErr w:type="spellStart"/>
      <w:r w:rsidRPr="006B247C">
        <w:t>LaRosa</w:t>
      </w:r>
      <w:proofErr w:type="spellEnd"/>
      <w:r w:rsidRPr="006B247C">
        <w:t xml:space="preserve"> Partnership Program.  These templates provide examples of data reduction and visualization, as well as statistical analysis, that enable more effective communication of the data – to constituents of Partnership groups; to local, state and federal partners in project implementation; and to the VT Agency of Natural Resources for meeting a variety of needs (e.g., listing / delisting of waters, basin planning, prioritization of resources to groups for project implementation).  This guidance document has been prepared by South Mountain Research &amp; Consulting of Bristol, VT, under contract to VTDEC.  </w:t>
      </w:r>
      <w:r w:rsidRPr="006B247C">
        <w:br/>
      </w:r>
      <w:r w:rsidRPr="006B247C">
        <w:rPr>
          <w:rFonts w:ascii="Calibri" w:hAnsi="Calibri"/>
          <w:szCs w:val="24"/>
        </w:rPr>
        <w:br/>
        <w:t>This template relies on water quality data from the New Haven River and Lewis Creek watersheds, where sampling is carried out by a network of trained volunteers operating under the Addison County River Watch Collaborative (fiscal agent, Lewis Creek Association), with logistical and technical support provided by the VTDEC Monitoring, Assessment and Planning Program, the Addison County Regional Planning Commission and South Mountain Research &amp; Consulting.  Analytical services are provided by the Vermont Agricultural &amp; Environmental Laboratory (</w:t>
      </w:r>
      <w:hyperlink r:id="rId10" w:history="1">
        <w:r w:rsidRPr="006B247C">
          <w:rPr>
            <w:rStyle w:val="Hyperlink"/>
            <w:rFonts w:ascii="Calibri" w:hAnsi="Calibri"/>
            <w:szCs w:val="24"/>
          </w:rPr>
          <w:t>http://agriculture.vermont.gov/vael</w:t>
        </w:r>
      </w:hyperlink>
      <w:r w:rsidRPr="006B247C">
        <w:rPr>
          <w:rFonts w:ascii="Calibri" w:hAnsi="Calibri"/>
          <w:szCs w:val="24"/>
        </w:rPr>
        <w:t>) in Burlington, VT, through an analytical services partnership grant.</w:t>
      </w:r>
      <w:r w:rsidRPr="006B247C">
        <w:rPr>
          <w:rStyle w:val="Heading1Char"/>
          <w:sz w:val="28"/>
        </w:rPr>
        <w:t xml:space="preserve"> </w:t>
      </w:r>
    </w:p>
    <w:p w14:paraId="0B9A4341" w14:textId="77777777" w:rsidR="0039536A" w:rsidRPr="006B247C" w:rsidRDefault="0039536A">
      <w:pPr>
        <w:rPr>
          <w:sz w:val="20"/>
        </w:rPr>
        <w:sectPr w:rsidR="0039536A" w:rsidRPr="006B247C">
          <w:pgSz w:w="12240" w:h="15840"/>
          <w:pgMar w:top="1440" w:right="1440" w:bottom="1440" w:left="1440" w:header="720" w:footer="720" w:gutter="0"/>
          <w:cols w:space="720"/>
          <w:docGrid w:linePitch="360"/>
        </w:sectPr>
      </w:pPr>
    </w:p>
    <w:p w14:paraId="3812BE80" w14:textId="77777777" w:rsidR="00794ABB" w:rsidRPr="00D26C98" w:rsidRDefault="00D26C98" w:rsidP="000C2C27">
      <w:pPr>
        <w:pStyle w:val="Heading1"/>
        <w:rPr>
          <w:sz w:val="24"/>
        </w:rPr>
      </w:pPr>
      <w:bookmarkStart w:id="1" w:name="_Toc497229469"/>
      <w:r>
        <w:rPr>
          <w:rStyle w:val="Heading1Char"/>
        </w:rPr>
        <w:lastRenderedPageBreak/>
        <w:t>1.0</w:t>
      </w:r>
      <w:r>
        <w:rPr>
          <w:rStyle w:val="Heading1Char"/>
        </w:rPr>
        <w:tab/>
      </w:r>
      <w:r w:rsidR="00884987" w:rsidRPr="00B85083">
        <w:rPr>
          <w:rStyle w:val="Heading1Char"/>
        </w:rPr>
        <w:t>Intro</w:t>
      </w:r>
      <w:r w:rsidR="00196B22" w:rsidRPr="00B85083">
        <w:rPr>
          <w:rStyle w:val="Heading1Char"/>
        </w:rPr>
        <w:t>duction</w:t>
      </w:r>
      <w:bookmarkEnd w:id="1"/>
      <w:r w:rsidR="00B56DB6" w:rsidRPr="00B85083">
        <w:rPr>
          <w:rStyle w:val="Heading1Char"/>
        </w:rPr>
        <w:br/>
      </w:r>
    </w:p>
    <w:p w14:paraId="4222FC95" w14:textId="25772700" w:rsidR="00E34B00" w:rsidRDefault="00E53F0F" w:rsidP="00E34B00">
      <w:pPr>
        <w:rPr>
          <w:rFonts w:ascii="Calibri" w:hAnsi="Calibri"/>
          <w:sz w:val="24"/>
          <w:szCs w:val="24"/>
        </w:rPr>
      </w:pPr>
      <w:r>
        <w:rPr>
          <w:rFonts w:ascii="Calibri" w:hAnsi="Calibri"/>
          <w:sz w:val="24"/>
        </w:rPr>
        <w:t>The</w:t>
      </w:r>
      <w:r w:rsidRPr="0054312D">
        <w:rPr>
          <w:rFonts w:ascii="Calibri" w:hAnsi="Calibri"/>
          <w:sz w:val="24"/>
          <w:szCs w:val="24"/>
        </w:rPr>
        <w:t xml:space="preserve"> </w:t>
      </w:r>
      <w:proofErr w:type="spellStart"/>
      <w:r w:rsidRPr="0054312D">
        <w:rPr>
          <w:sz w:val="24"/>
          <w:szCs w:val="24"/>
          <w:lang w:val="en"/>
        </w:rPr>
        <w:t>LaRosa</w:t>
      </w:r>
      <w:proofErr w:type="spellEnd"/>
      <w:r w:rsidRPr="0054312D">
        <w:rPr>
          <w:sz w:val="24"/>
          <w:szCs w:val="24"/>
          <w:lang w:val="en"/>
        </w:rPr>
        <w:t xml:space="preserve"> Volunteer Water Quality Monitoring </w:t>
      </w:r>
      <w:r>
        <w:rPr>
          <w:sz w:val="24"/>
          <w:szCs w:val="24"/>
          <w:lang w:val="en"/>
        </w:rPr>
        <w:t>Analytical Services Partnership</w:t>
      </w:r>
      <w:r>
        <w:rPr>
          <w:rStyle w:val="FootnoteReference"/>
          <w:sz w:val="24"/>
          <w:szCs w:val="24"/>
          <w:lang w:val="en"/>
        </w:rPr>
        <w:footnoteReference w:id="1"/>
      </w:r>
      <w:r>
        <w:rPr>
          <w:sz w:val="24"/>
          <w:szCs w:val="24"/>
          <w:lang w:val="en"/>
        </w:rPr>
        <w:t xml:space="preserve"> is comprised of more the nineteen separate groups around the state of Vermont engaged in ambient water quality monitoring.  </w:t>
      </w:r>
      <w:proofErr w:type="spellStart"/>
      <w:r w:rsidR="00D26C98" w:rsidRPr="00E34B00">
        <w:rPr>
          <w:rFonts w:ascii="Calibri" w:hAnsi="Calibri"/>
          <w:sz w:val="24"/>
          <w:szCs w:val="24"/>
        </w:rPr>
        <w:t>LaRosa</w:t>
      </w:r>
      <w:proofErr w:type="spellEnd"/>
      <w:r w:rsidR="00D26C98" w:rsidRPr="00E34B00">
        <w:rPr>
          <w:rFonts w:ascii="Calibri" w:hAnsi="Calibri"/>
          <w:sz w:val="24"/>
          <w:szCs w:val="24"/>
        </w:rPr>
        <w:t xml:space="preserve"> Partnership groups </w:t>
      </w:r>
      <w:r w:rsidR="00C17B45">
        <w:rPr>
          <w:rFonts w:ascii="Calibri" w:hAnsi="Calibri"/>
          <w:sz w:val="24"/>
          <w:szCs w:val="24"/>
        </w:rPr>
        <w:t>may be</w:t>
      </w:r>
      <w:r w:rsidR="00D26C98" w:rsidRPr="00E34B00">
        <w:rPr>
          <w:rFonts w:ascii="Calibri" w:hAnsi="Calibri"/>
          <w:sz w:val="24"/>
          <w:szCs w:val="24"/>
        </w:rPr>
        <w:t xml:space="preserve"> interested in the estimation of pollutant loads </w:t>
      </w:r>
      <w:r w:rsidR="00E34B00">
        <w:rPr>
          <w:rFonts w:ascii="Calibri" w:hAnsi="Calibri"/>
          <w:sz w:val="24"/>
          <w:szCs w:val="24"/>
        </w:rPr>
        <w:t>to downstream waters for at least a couple of reasons:</w:t>
      </w:r>
      <w:r w:rsidR="00D26C98" w:rsidRPr="00E34B00">
        <w:rPr>
          <w:rFonts w:ascii="Calibri" w:hAnsi="Calibri"/>
          <w:sz w:val="24"/>
          <w:szCs w:val="24"/>
        </w:rPr>
        <w:t xml:space="preserve"> </w:t>
      </w:r>
    </w:p>
    <w:p w14:paraId="5340AFED" w14:textId="77777777" w:rsidR="00E34B00" w:rsidRPr="006A2110" w:rsidRDefault="00D26C98" w:rsidP="006A2110">
      <w:pPr>
        <w:pStyle w:val="ListParagraph"/>
        <w:numPr>
          <w:ilvl w:val="0"/>
          <w:numId w:val="19"/>
        </w:numPr>
        <w:rPr>
          <w:rFonts w:ascii="Calibri" w:hAnsi="Calibri"/>
          <w:sz w:val="24"/>
          <w:szCs w:val="24"/>
        </w:rPr>
      </w:pPr>
      <w:r w:rsidRPr="006A2110">
        <w:rPr>
          <w:rFonts w:ascii="Calibri" w:hAnsi="Calibri"/>
          <w:sz w:val="24"/>
          <w:szCs w:val="24"/>
        </w:rPr>
        <w:t xml:space="preserve">Groups may be motivated to estimate loading as a way to more effectively communicate the magnitude of pollution problems and to compel mitigation or restoration actions on the part of landowners or </w:t>
      </w:r>
      <w:r w:rsidR="00E34B00" w:rsidRPr="006A2110">
        <w:rPr>
          <w:rFonts w:ascii="Calibri" w:hAnsi="Calibri"/>
          <w:sz w:val="24"/>
          <w:szCs w:val="24"/>
        </w:rPr>
        <w:t xml:space="preserve">towns </w:t>
      </w:r>
      <w:r w:rsidR="00485D11">
        <w:rPr>
          <w:sz w:val="24"/>
          <w:szCs w:val="24"/>
        </w:rPr>
        <w:t>(e.g., Tons of sediment lost, percent of total watershed</w:t>
      </w:r>
      <w:r w:rsidR="00E34B00" w:rsidRPr="006A2110">
        <w:rPr>
          <w:sz w:val="24"/>
          <w:szCs w:val="24"/>
        </w:rPr>
        <w:t xml:space="preserve"> load </w:t>
      </w:r>
      <w:r w:rsidR="00485D11">
        <w:rPr>
          <w:sz w:val="24"/>
          <w:szCs w:val="24"/>
        </w:rPr>
        <w:t xml:space="preserve">phosphorus </w:t>
      </w:r>
      <w:r w:rsidR="00E34B00" w:rsidRPr="006A2110">
        <w:rPr>
          <w:sz w:val="24"/>
          <w:szCs w:val="24"/>
        </w:rPr>
        <w:t xml:space="preserve">coming from one </w:t>
      </w:r>
      <w:r w:rsidR="00485D11">
        <w:rPr>
          <w:sz w:val="24"/>
          <w:szCs w:val="24"/>
        </w:rPr>
        <w:t>sub-region</w:t>
      </w:r>
      <w:r w:rsidR="00E34B00" w:rsidRPr="006A2110">
        <w:rPr>
          <w:sz w:val="24"/>
          <w:szCs w:val="24"/>
        </w:rPr>
        <w:t>)</w:t>
      </w:r>
      <w:r w:rsidR="00485D11">
        <w:rPr>
          <w:rFonts w:ascii="Calibri" w:hAnsi="Calibri"/>
          <w:sz w:val="24"/>
          <w:szCs w:val="24"/>
        </w:rPr>
        <w:t>; or</w:t>
      </w:r>
      <w:r w:rsidRPr="006A2110">
        <w:rPr>
          <w:rFonts w:ascii="Calibri" w:hAnsi="Calibri"/>
          <w:sz w:val="24"/>
          <w:szCs w:val="24"/>
        </w:rPr>
        <w:t xml:space="preserve"> </w:t>
      </w:r>
      <w:r w:rsidR="001651A2">
        <w:rPr>
          <w:rFonts w:ascii="Calibri" w:hAnsi="Calibri"/>
          <w:sz w:val="24"/>
          <w:szCs w:val="24"/>
        </w:rPr>
        <w:br/>
      </w:r>
    </w:p>
    <w:p w14:paraId="29C4D874" w14:textId="47117FDC" w:rsidR="00E53F0F" w:rsidRPr="00E53F0F" w:rsidRDefault="00D26C98" w:rsidP="006A2110">
      <w:pPr>
        <w:pStyle w:val="ListParagraph"/>
        <w:numPr>
          <w:ilvl w:val="0"/>
          <w:numId w:val="19"/>
        </w:numPr>
        <w:rPr>
          <w:rFonts w:ascii="Calibri" w:hAnsi="Calibri"/>
          <w:sz w:val="24"/>
          <w:szCs w:val="24"/>
        </w:rPr>
      </w:pPr>
      <w:r w:rsidRPr="006A2110">
        <w:rPr>
          <w:rFonts w:ascii="Calibri" w:hAnsi="Calibri"/>
          <w:sz w:val="24"/>
          <w:szCs w:val="24"/>
        </w:rPr>
        <w:t>Load estimates may be used as a way to identify locations (</w:t>
      </w:r>
      <w:r w:rsidR="00E34B00" w:rsidRPr="006A2110">
        <w:rPr>
          <w:rFonts w:ascii="Calibri" w:hAnsi="Calibri"/>
          <w:sz w:val="24"/>
          <w:szCs w:val="24"/>
        </w:rPr>
        <w:t>“</w:t>
      </w:r>
      <w:r w:rsidRPr="006A2110">
        <w:rPr>
          <w:rFonts w:ascii="Calibri" w:hAnsi="Calibri"/>
          <w:sz w:val="24"/>
          <w:szCs w:val="24"/>
        </w:rPr>
        <w:t>hot spots</w:t>
      </w:r>
      <w:r w:rsidR="00E34B00" w:rsidRPr="006A2110">
        <w:rPr>
          <w:rFonts w:ascii="Calibri" w:hAnsi="Calibri"/>
          <w:sz w:val="24"/>
          <w:szCs w:val="24"/>
        </w:rPr>
        <w:t>”</w:t>
      </w:r>
      <w:r w:rsidRPr="006A2110">
        <w:rPr>
          <w:rFonts w:ascii="Calibri" w:hAnsi="Calibri"/>
          <w:sz w:val="24"/>
          <w:szCs w:val="24"/>
        </w:rPr>
        <w:t>) of pollutant flux</w:t>
      </w:r>
      <w:r w:rsidR="006A2110">
        <w:rPr>
          <w:rFonts w:ascii="Calibri" w:hAnsi="Calibri"/>
          <w:sz w:val="24"/>
          <w:szCs w:val="24"/>
        </w:rPr>
        <w:t xml:space="preserve"> within their watersheds, to r</w:t>
      </w:r>
      <w:r w:rsidR="006A2110" w:rsidRPr="00E34B00">
        <w:rPr>
          <w:sz w:val="24"/>
          <w:szCs w:val="24"/>
        </w:rPr>
        <w:t xml:space="preserve">ank or prioritize </w:t>
      </w:r>
      <w:proofErr w:type="spellStart"/>
      <w:r w:rsidR="006A2110" w:rsidRPr="00E34B00">
        <w:rPr>
          <w:sz w:val="24"/>
          <w:szCs w:val="24"/>
        </w:rPr>
        <w:t>subwatershed</w:t>
      </w:r>
      <w:proofErr w:type="spellEnd"/>
      <w:r w:rsidR="006A2110" w:rsidRPr="00E34B00">
        <w:rPr>
          <w:sz w:val="24"/>
          <w:szCs w:val="24"/>
        </w:rPr>
        <w:t xml:space="preserve"> areas for implementation projects</w:t>
      </w:r>
      <w:r w:rsidR="0002398B">
        <w:rPr>
          <w:sz w:val="24"/>
          <w:szCs w:val="24"/>
        </w:rPr>
        <w:t>.</w:t>
      </w:r>
      <w:r w:rsidR="006C4BE7" w:rsidRPr="006C4BE7">
        <w:rPr>
          <w:sz w:val="24"/>
          <w:szCs w:val="24"/>
        </w:rPr>
        <w:t xml:space="preserve"> </w:t>
      </w:r>
    </w:p>
    <w:p w14:paraId="73AA0218" w14:textId="6BEE65CD" w:rsidR="00E34B00" w:rsidRPr="00E53F0F" w:rsidRDefault="00E53F0F" w:rsidP="00E53F0F">
      <w:pPr>
        <w:rPr>
          <w:rFonts w:ascii="Calibri" w:hAnsi="Calibri"/>
          <w:sz w:val="24"/>
          <w:szCs w:val="24"/>
        </w:rPr>
      </w:pPr>
      <w:r>
        <w:rPr>
          <w:sz w:val="24"/>
          <w:szCs w:val="24"/>
        </w:rPr>
        <w:t>The second objective is applicable to</w:t>
      </w:r>
      <w:r w:rsidR="006C4BE7" w:rsidRPr="00E53F0F">
        <w:rPr>
          <w:sz w:val="24"/>
          <w:szCs w:val="24"/>
        </w:rPr>
        <w:t xml:space="preserve"> lake watersheds where loading on an annual basis is the focus </w:t>
      </w:r>
      <w:r>
        <w:rPr>
          <w:sz w:val="24"/>
          <w:szCs w:val="24"/>
        </w:rPr>
        <w:t>of a Total Maximum Daily Load (TMDL) plan or pollutant reduction effort, and is expected to be less important for evaluating</w:t>
      </w:r>
      <w:r w:rsidR="008E539C" w:rsidRPr="00E53F0F">
        <w:rPr>
          <w:sz w:val="24"/>
          <w:szCs w:val="24"/>
        </w:rPr>
        <w:t xml:space="preserve"> stream conditions where concentrations</w:t>
      </w:r>
      <w:r>
        <w:rPr>
          <w:sz w:val="24"/>
          <w:szCs w:val="24"/>
        </w:rPr>
        <w:t xml:space="preserve"> of pollutants under base-</w:t>
      </w:r>
      <w:r w:rsidR="008E539C" w:rsidRPr="00E53F0F">
        <w:rPr>
          <w:sz w:val="24"/>
          <w:szCs w:val="24"/>
        </w:rPr>
        <w:t xml:space="preserve">flow conditions </w:t>
      </w:r>
      <w:r w:rsidR="00335B13" w:rsidRPr="00E53F0F">
        <w:rPr>
          <w:sz w:val="24"/>
          <w:szCs w:val="24"/>
        </w:rPr>
        <w:t>tend to</w:t>
      </w:r>
      <w:r w:rsidR="008E539C" w:rsidRPr="00E53F0F">
        <w:rPr>
          <w:sz w:val="24"/>
          <w:szCs w:val="24"/>
        </w:rPr>
        <w:t xml:space="preserve"> driv</w:t>
      </w:r>
      <w:r w:rsidR="00335B13" w:rsidRPr="00E53F0F">
        <w:rPr>
          <w:sz w:val="24"/>
          <w:szCs w:val="24"/>
        </w:rPr>
        <w:t>e</w:t>
      </w:r>
      <w:r w:rsidR="008E539C" w:rsidRPr="00E53F0F">
        <w:rPr>
          <w:sz w:val="24"/>
          <w:szCs w:val="24"/>
        </w:rPr>
        <w:t xml:space="preserve"> impacts </w:t>
      </w:r>
      <w:r w:rsidR="00335B13" w:rsidRPr="00E53F0F">
        <w:rPr>
          <w:sz w:val="24"/>
          <w:szCs w:val="24"/>
        </w:rPr>
        <w:t>to</w:t>
      </w:r>
      <w:r w:rsidR="008E539C" w:rsidRPr="00E53F0F">
        <w:rPr>
          <w:sz w:val="24"/>
          <w:szCs w:val="24"/>
        </w:rPr>
        <w:t xml:space="preserve"> biological communities</w:t>
      </w:r>
      <w:r w:rsidR="006C4BE7" w:rsidRPr="00E53F0F">
        <w:rPr>
          <w:sz w:val="24"/>
          <w:szCs w:val="24"/>
        </w:rPr>
        <w:t xml:space="preserve"> </w:t>
      </w:r>
      <w:r w:rsidR="008E539C" w:rsidRPr="00E53F0F">
        <w:rPr>
          <w:sz w:val="24"/>
          <w:szCs w:val="24"/>
        </w:rPr>
        <w:t>or human health risks</w:t>
      </w:r>
      <w:r w:rsidR="00485D11" w:rsidRPr="00E53F0F">
        <w:rPr>
          <w:sz w:val="24"/>
          <w:szCs w:val="24"/>
        </w:rPr>
        <w:t>.</w:t>
      </w:r>
    </w:p>
    <w:p w14:paraId="4FE220D6" w14:textId="4DBF2F4D" w:rsidR="00335B13" w:rsidRPr="00335B13" w:rsidRDefault="006A2110" w:rsidP="00485D11">
      <w:pPr>
        <w:spacing w:after="200" w:line="276" w:lineRule="auto"/>
        <w:rPr>
          <w:sz w:val="24"/>
          <w:szCs w:val="24"/>
        </w:rPr>
      </w:pPr>
      <w:r w:rsidRPr="006A2110">
        <w:rPr>
          <w:sz w:val="24"/>
          <w:szCs w:val="24"/>
        </w:rPr>
        <w:t xml:space="preserve">Load estimates might also be desired to quantify effectiveness </w:t>
      </w:r>
      <w:r w:rsidR="00485D11">
        <w:rPr>
          <w:sz w:val="24"/>
          <w:szCs w:val="24"/>
        </w:rPr>
        <w:t xml:space="preserve">of </w:t>
      </w:r>
      <w:r w:rsidR="00485D11" w:rsidRPr="006A2110">
        <w:rPr>
          <w:sz w:val="24"/>
          <w:szCs w:val="24"/>
        </w:rPr>
        <w:t xml:space="preserve">a treatment area </w:t>
      </w:r>
      <w:r w:rsidRPr="006A2110">
        <w:rPr>
          <w:sz w:val="24"/>
          <w:szCs w:val="24"/>
        </w:rPr>
        <w:t>in terms of a load reduction (e.g., compare pollutant influx and outflux from a constructed wetland), or evaluate exceedances of loading targets in the context of a watershed restoration plan o</w:t>
      </w:r>
      <w:r w:rsidR="00485D11">
        <w:rPr>
          <w:sz w:val="24"/>
          <w:szCs w:val="24"/>
        </w:rPr>
        <w:t>r</w:t>
      </w:r>
      <w:r w:rsidRPr="006A2110">
        <w:rPr>
          <w:sz w:val="24"/>
          <w:szCs w:val="24"/>
        </w:rPr>
        <w:t xml:space="preserve"> </w:t>
      </w:r>
      <w:r w:rsidR="00024E31">
        <w:rPr>
          <w:sz w:val="24"/>
          <w:szCs w:val="24"/>
        </w:rPr>
        <w:t>TMDL</w:t>
      </w:r>
      <w:r w:rsidRPr="006A2110">
        <w:rPr>
          <w:sz w:val="24"/>
          <w:szCs w:val="24"/>
        </w:rPr>
        <w:t xml:space="preserve"> plan.  However, these objectives require data of high accuracy and precision, supported by robust estimation of discharge.</w:t>
      </w:r>
      <w:r w:rsidRPr="006A2110">
        <w:rPr>
          <w:rFonts w:ascii="Calibri" w:hAnsi="Calibri"/>
          <w:sz w:val="24"/>
          <w:szCs w:val="24"/>
        </w:rPr>
        <w:t xml:space="preserve">   A particular challenge for many groups seeking to estimate loading is the relative lack of discharge data on waters that they monitor.  Not all rivers are gaged, and even if a gage is present in the watershed</w:t>
      </w:r>
      <w:r w:rsidR="00485D11">
        <w:rPr>
          <w:rFonts w:ascii="Calibri" w:hAnsi="Calibri"/>
          <w:sz w:val="24"/>
          <w:szCs w:val="24"/>
        </w:rPr>
        <w:t>,</w:t>
      </w:r>
      <w:r w:rsidRPr="006A2110">
        <w:rPr>
          <w:rFonts w:ascii="Calibri" w:hAnsi="Calibri"/>
          <w:sz w:val="24"/>
          <w:szCs w:val="24"/>
        </w:rPr>
        <w:t xml:space="preserve"> topography and hydrology in the catchme</w:t>
      </w:r>
      <w:r w:rsidR="00485D11">
        <w:rPr>
          <w:rFonts w:ascii="Calibri" w:hAnsi="Calibri"/>
          <w:sz w:val="24"/>
          <w:szCs w:val="24"/>
        </w:rPr>
        <w:t>nt may be sufficiently variable</w:t>
      </w:r>
      <w:r w:rsidRPr="006A2110">
        <w:rPr>
          <w:rFonts w:ascii="Calibri" w:hAnsi="Calibri"/>
          <w:sz w:val="24"/>
          <w:szCs w:val="24"/>
        </w:rPr>
        <w:t xml:space="preserve"> that a gage located near the catchment outlet may not adequately represent flow conditions</w:t>
      </w:r>
      <w:r>
        <w:rPr>
          <w:rFonts w:ascii="Calibri" w:hAnsi="Calibri"/>
          <w:sz w:val="24"/>
          <w:szCs w:val="24"/>
        </w:rPr>
        <w:t xml:space="preserve"> at a site of interest</w:t>
      </w:r>
      <w:r w:rsidR="007F0C7B">
        <w:rPr>
          <w:rFonts w:ascii="Calibri" w:hAnsi="Calibri"/>
          <w:sz w:val="24"/>
          <w:szCs w:val="24"/>
        </w:rPr>
        <w:t>,</w:t>
      </w:r>
      <w:r>
        <w:rPr>
          <w:rFonts w:ascii="Calibri" w:hAnsi="Calibri"/>
          <w:sz w:val="24"/>
          <w:szCs w:val="24"/>
        </w:rPr>
        <w:t xml:space="preserve"> particularly if it is remote from the gage</w:t>
      </w:r>
      <w:r w:rsidR="006C4BE7">
        <w:rPr>
          <w:rFonts w:ascii="Calibri" w:hAnsi="Calibri"/>
          <w:sz w:val="24"/>
          <w:szCs w:val="24"/>
        </w:rPr>
        <w:t xml:space="preserve"> or has a drainage area that is much smaller</w:t>
      </w:r>
      <w:r>
        <w:rPr>
          <w:rFonts w:ascii="Calibri" w:hAnsi="Calibri"/>
          <w:sz w:val="24"/>
          <w:szCs w:val="24"/>
        </w:rPr>
        <w:t xml:space="preserve">.  </w:t>
      </w:r>
      <w:r w:rsidRPr="006A2110">
        <w:rPr>
          <w:rFonts w:ascii="Calibri" w:hAnsi="Calibri"/>
          <w:sz w:val="24"/>
          <w:szCs w:val="24"/>
        </w:rPr>
        <w:t xml:space="preserve"> </w:t>
      </w:r>
      <w:r w:rsidR="00485D11">
        <w:rPr>
          <w:rFonts w:ascii="Calibri" w:hAnsi="Calibri"/>
          <w:sz w:val="24"/>
          <w:szCs w:val="24"/>
        </w:rPr>
        <w:t>Techniques are available to develop high-accuracy discharge estimates to support loading studies, involving installation of temporary gaging stations.  But these gages require significant resources to establish, calibrate, and maintain</w:t>
      </w:r>
      <w:r w:rsidR="00024E31">
        <w:rPr>
          <w:rFonts w:ascii="Calibri" w:hAnsi="Calibri"/>
          <w:sz w:val="24"/>
          <w:szCs w:val="24"/>
        </w:rPr>
        <w:t>;</w:t>
      </w:r>
      <w:r w:rsidR="00485D11">
        <w:rPr>
          <w:rFonts w:ascii="Calibri" w:hAnsi="Calibri"/>
          <w:sz w:val="24"/>
          <w:szCs w:val="24"/>
        </w:rPr>
        <w:t xml:space="preserve"> and</w:t>
      </w:r>
      <w:r w:rsidR="007F0C7B">
        <w:rPr>
          <w:rFonts w:ascii="Calibri" w:hAnsi="Calibri"/>
          <w:sz w:val="24"/>
          <w:szCs w:val="24"/>
        </w:rPr>
        <w:t xml:space="preserve"> development of discharge estimates</w:t>
      </w:r>
      <w:r w:rsidR="00485D11">
        <w:rPr>
          <w:rFonts w:ascii="Calibri" w:hAnsi="Calibri"/>
          <w:sz w:val="24"/>
          <w:szCs w:val="24"/>
        </w:rPr>
        <w:t xml:space="preserve"> involve</w:t>
      </w:r>
      <w:r w:rsidR="007F0C7B">
        <w:rPr>
          <w:rFonts w:ascii="Calibri" w:hAnsi="Calibri"/>
          <w:sz w:val="24"/>
          <w:szCs w:val="24"/>
        </w:rPr>
        <w:t>s</w:t>
      </w:r>
      <w:r w:rsidR="00485D11">
        <w:rPr>
          <w:rFonts w:ascii="Calibri" w:hAnsi="Calibri"/>
          <w:sz w:val="24"/>
          <w:szCs w:val="24"/>
        </w:rPr>
        <w:t xml:space="preserve"> </w:t>
      </w:r>
      <w:r w:rsidR="007F0C7B">
        <w:rPr>
          <w:rFonts w:ascii="Calibri" w:hAnsi="Calibri"/>
          <w:sz w:val="24"/>
          <w:szCs w:val="24"/>
        </w:rPr>
        <w:t>advanced</w:t>
      </w:r>
      <w:r w:rsidR="00485D11">
        <w:rPr>
          <w:rFonts w:ascii="Calibri" w:hAnsi="Calibri"/>
          <w:sz w:val="24"/>
          <w:szCs w:val="24"/>
        </w:rPr>
        <w:t xml:space="preserve"> calculation methods. </w:t>
      </w:r>
      <w:r w:rsidR="00485D11">
        <w:rPr>
          <w:sz w:val="24"/>
        </w:rPr>
        <w:t xml:space="preserve">Some groups </w:t>
      </w:r>
      <w:r w:rsidR="00485D11" w:rsidRPr="00D26C98">
        <w:rPr>
          <w:sz w:val="24"/>
        </w:rPr>
        <w:t>may choose to secure technical and f</w:t>
      </w:r>
      <w:r w:rsidR="00485D11">
        <w:rPr>
          <w:sz w:val="24"/>
        </w:rPr>
        <w:t xml:space="preserve">inancial resources to support </w:t>
      </w:r>
      <w:r w:rsidR="00485D11" w:rsidRPr="00D26C98">
        <w:rPr>
          <w:sz w:val="24"/>
          <w:szCs w:val="24"/>
        </w:rPr>
        <w:t>load monitoring studies involving the deployment of</w:t>
      </w:r>
      <w:r w:rsidR="00485D11">
        <w:rPr>
          <w:sz w:val="24"/>
          <w:szCs w:val="24"/>
        </w:rPr>
        <w:t xml:space="preserve"> temporary flow gaging stations, </w:t>
      </w:r>
      <w:r w:rsidR="00485D11" w:rsidRPr="00D26C98">
        <w:rPr>
          <w:sz w:val="24"/>
          <w:szCs w:val="24"/>
        </w:rPr>
        <w:t xml:space="preserve">but </w:t>
      </w:r>
      <w:r w:rsidR="00485D11">
        <w:rPr>
          <w:sz w:val="24"/>
          <w:szCs w:val="24"/>
        </w:rPr>
        <w:t>the expectation is</w:t>
      </w:r>
      <w:r w:rsidR="00485D11" w:rsidRPr="00D26C98">
        <w:rPr>
          <w:sz w:val="24"/>
          <w:szCs w:val="24"/>
        </w:rPr>
        <w:t xml:space="preserve"> that these more complex projects would be addressed through customized</w:t>
      </w:r>
      <w:r w:rsidR="00485D11">
        <w:rPr>
          <w:sz w:val="24"/>
          <w:szCs w:val="24"/>
        </w:rPr>
        <w:t xml:space="preserve"> design, data</w:t>
      </w:r>
      <w:r w:rsidR="00485D11" w:rsidRPr="00D26C98">
        <w:rPr>
          <w:sz w:val="24"/>
          <w:szCs w:val="24"/>
        </w:rPr>
        <w:t xml:space="preserve"> analysis and reporting methods.   </w:t>
      </w:r>
    </w:p>
    <w:p w14:paraId="3530A259" w14:textId="55C218A1" w:rsidR="00D26C98" w:rsidRPr="00485D11" w:rsidRDefault="00485D11" w:rsidP="00D26C98">
      <w:pPr>
        <w:spacing w:after="200" w:line="276" w:lineRule="auto"/>
        <w:rPr>
          <w:rFonts w:ascii="Calibri" w:hAnsi="Calibri"/>
          <w:sz w:val="24"/>
          <w:szCs w:val="24"/>
        </w:rPr>
      </w:pPr>
      <w:r w:rsidRPr="00485D11">
        <w:rPr>
          <w:rFonts w:ascii="Calibri" w:hAnsi="Calibri"/>
          <w:sz w:val="24"/>
          <w:szCs w:val="24"/>
        </w:rPr>
        <w:lastRenderedPageBreak/>
        <w:t>Therefore, t</w:t>
      </w:r>
      <w:r w:rsidR="00D26C98" w:rsidRPr="00485D11">
        <w:rPr>
          <w:rFonts w:ascii="Calibri" w:hAnsi="Calibri"/>
          <w:sz w:val="24"/>
          <w:szCs w:val="24"/>
        </w:rPr>
        <w:t xml:space="preserve">his guidance document focuses on less robust, but equally useful, methods for </w:t>
      </w:r>
      <w:r w:rsidRPr="00485D11">
        <w:rPr>
          <w:rFonts w:ascii="Calibri" w:hAnsi="Calibri"/>
          <w:sz w:val="24"/>
          <w:szCs w:val="24"/>
        </w:rPr>
        <w:t>generating coarse-level</w:t>
      </w:r>
      <w:r w:rsidR="00D26C98" w:rsidRPr="00485D11">
        <w:rPr>
          <w:rFonts w:ascii="Calibri" w:hAnsi="Calibri"/>
          <w:sz w:val="24"/>
          <w:szCs w:val="24"/>
        </w:rPr>
        <w:t xml:space="preserve"> loading</w:t>
      </w:r>
      <w:r w:rsidRPr="00485D11">
        <w:rPr>
          <w:rFonts w:ascii="Calibri" w:hAnsi="Calibri"/>
          <w:sz w:val="24"/>
          <w:szCs w:val="24"/>
        </w:rPr>
        <w:t xml:space="preserve"> estimates for pollutants affecting </w:t>
      </w:r>
      <w:r w:rsidR="00D26C98" w:rsidRPr="00485D11">
        <w:rPr>
          <w:rFonts w:ascii="Calibri" w:hAnsi="Calibri"/>
          <w:sz w:val="24"/>
          <w:szCs w:val="24"/>
        </w:rPr>
        <w:t xml:space="preserve">downstream waters.   </w:t>
      </w:r>
      <w:r w:rsidRPr="00485D11">
        <w:rPr>
          <w:rFonts w:ascii="Calibri" w:hAnsi="Calibri"/>
          <w:sz w:val="24"/>
          <w:szCs w:val="24"/>
        </w:rPr>
        <w:t xml:space="preserve">Data generated in this manner will </w:t>
      </w:r>
      <w:r w:rsidR="00024E31">
        <w:rPr>
          <w:rFonts w:ascii="Calibri" w:hAnsi="Calibri"/>
          <w:sz w:val="24"/>
          <w:szCs w:val="24"/>
        </w:rPr>
        <w:t xml:space="preserve">usually </w:t>
      </w:r>
      <w:r w:rsidRPr="00485D11">
        <w:rPr>
          <w:rFonts w:ascii="Calibri" w:hAnsi="Calibri"/>
          <w:sz w:val="24"/>
          <w:szCs w:val="24"/>
        </w:rPr>
        <w:t xml:space="preserve">not be of sufficient accuracy and precision to compare to regulatory target loads (e.g., in a TMDL context) or load-reduction targets for BMP effectiveness.  Nevertheless, coarse-level loading estimates can be used to focus further investigation and remedies to “hot spots” of greater loading.  A discussion of available methods to estimate discharge is provided in the sections below, followed by both </w:t>
      </w:r>
      <w:r w:rsidRPr="00485D11">
        <w:rPr>
          <w:sz w:val="24"/>
          <w:szCs w:val="24"/>
        </w:rPr>
        <w:t>qualitative and quantitative methods to estimate loading.</w:t>
      </w:r>
      <w:r w:rsidR="00D26C98" w:rsidRPr="00485D11">
        <w:rPr>
          <w:sz w:val="24"/>
          <w:szCs w:val="24"/>
        </w:rPr>
        <w:t xml:space="preserve">   </w:t>
      </w:r>
    </w:p>
    <w:p w14:paraId="25D10E98" w14:textId="77777777" w:rsidR="00D26C98" w:rsidRDefault="00341B64" w:rsidP="00D26C98">
      <w:pPr>
        <w:spacing w:line="276" w:lineRule="auto"/>
        <w:rPr>
          <w:rStyle w:val="Heading1Char"/>
        </w:rPr>
      </w:pPr>
      <w:bookmarkStart w:id="2" w:name="_Toc497229470"/>
      <w:r w:rsidRPr="00341B64">
        <w:rPr>
          <w:rStyle w:val="Heading1Char"/>
        </w:rPr>
        <w:t>2.0</w:t>
      </w:r>
      <w:r w:rsidRPr="00341B64">
        <w:rPr>
          <w:rStyle w:val="Heading1Char"/>
        </w:rPr>
        <w:tab/>
        <w:t xml:space="preserve">Discharge </w:t>
      </w:r>
      <w:r>
        <w:rPr>
          <w:rStyle w:val="Heading1Char"/>
        </w:rPr>
        <w:t>Estimation</w:t>
      </w:r>
      <w:bookmarkEnd w:id="2"/>
    </w:p>
    <w:p w14:paraId="6029A406" w14:textId="675797A0" w:rsidR="00C006F9" w:rsidRPr="00657E4F" w:rsidRDefault="00475FEE" w:rsidP="000C2C27">
      <w:pPr>
        <w:spacing w:after="240" w:line="276" w:lineRule="auto"/>
        <w:rPr>
          <w:rStyle w:val="Heading1Char"/>
          <w:rFonts w:ascii="Calibri" w:eastAsiaTheme="minorHAnsi" w:hAnsi="Calibri" w:cstheme="minorBidi"/>
          <w:color w:val="auto"/>
          <w:sz w:val="24"/>
          <w:szCs w:val="24"/>
        </w:rPr>
      </w:pPr>
      <w:r w:rsidRPr="000C2C27">
        <w:rPr>
          <w:sz w:val="24"/>
          <w:szCs w:val="24"/>
        </w:rPr>
        <w:t xml:space="preserve">River discharge is estimated for </w:t>
      </w:r>
      <w:r w:rsidR="003D246C">
        <w:rPr>
          <w:sz w:val="24"/>
          <w:szCs w:val="24"/>
        </w:rPr>
        <w:t xml:space="preserve">at least </w:t>
      </w:r>
      <w:r w:rsidR="00A420BD">
        <w:rPr>
          <w:sz w:val="24"/>
          <w:szCs w:val="24"/>
        </w:rPr>
        <w:t>two</w:t>
      </w:r>
      <w:r w:rsidR="009C11B6">
        <w:rPr>
          <w:sz w:val="24"/>
          <w:szCs w:val="24"/>
        </w:rPr>
        <w:t xml:space="preserve"> reasons:  (1) to assign a Flow L</w:t>
      </w:r>
      <w:r w:rsidRPr="000C2C27">
        <w:rPr>
          <w:sz w:val="24"/>
          <w:szCs w:val="24"/>
        </w:rPr>
        <w:t xml:space="preserve">evel </w:t>
      </w:r>
      <w:r w:rsidRPr="000C2C27">
        <w:rPr>
          <w:rFonts w:ascii="Calibri" w:hAnsi="Calibri"/>
          <w:sz w:val="24"/>
          <w:szCs w:val="24"/>
        </w:rPr>
        <w:t xml:space="preserve">(low, </w:t>
      </w:r>
      <w:r w:rsidR="009C11B6">
        <w:rPr>
          <w:rFonts w:ascii="Calibri" w:hAnsi="Calibri"/>
          <w:sz w:val="24"/>
          <w:szCs w:val="24"/>
        </w:rPr>
        <w:t xml:space="preserve">moderate, </w:t>
      </w:r>
      <w:r w:rsidRPr="000C2C27">
        <w:rPr>
          <w:rFonts w:ascii="Calibri" w:hAnsi="Calibri"/>
          <w:sz w:val="24"/>
          <w:szCs w:val="24"/>
        </w:rPr>
        <w:t>high</w:t>
      </w:r>
      <w:r w:rsidR="009C11B6">
        <w:rPr>
          <w:rFonts w:ascii="Calibri" w:hAnsi="Calibri"/>
          <w:sz w:val="24"/>
          <w:szCs w:val="24"/>
        </w:rPr>
        <w:t>, or flood</w:t>
      </w:r>
      <w:r w:rsidRPr="000C2C27">
        <w:rPr>
          <w:rFonts w:ascii="Calibri" w:hAnsi="Calibri"/>
          <w:sz w:val="24"/>
          <w:szCs w:val="24"/>
        </w:rPr>
        <w:t xml:space="preserve"> flow) </w:t>
      </w:r>
      <w:r w:rsidRPr="000C2C27">
        <w:rPr>
          <w:sz w:val="24"/>
          <w:szCs w:val="24"/>
        </w:rPr>
        <w:t xml:space="preserve">and </w:t>
      </w:r>
      <w:r w:rsidR="009C11B6">
        <w:rPr>
          <w:sz w:val="24"/>
          <w:szCs w:val="24"/>
        </w:rPr>
        <w:t>Flow C</w:t>
      </w:r>
      <w:r w:rsidRPr="000C2C27">
        <w:rPr>
          <w:sz w:val="24"/>
          <w:szCs w:val="24"/>
        </w:rPr>
        <w:t xml:space="preserve">ategory </w:t>
      </w:r>
      <w:r w:rsidRPr="000C2C27">
        <w:rPr>
          <w:rFonts w:ascii="Calibri" w:hAnsi="Calibri"/>
          <w:sz w:val="24"/>
          <w:szCs w:val="24"/>
        </w:rPr>
        <w:t xml:space="preserve">(freshet, </w:t>
      </w:r>
      <w:proofErr w:type="spellStart"/>
      <w:r w:rsidRPr="000C2C27">
        <w:rPr>
          <w:rFonts w:ascii="Calibri" w:hAnsi="Calibri"/>
          <w:sz w:val="24"/>
          <w:szCs w:val="24"/>
        </w:rPr>
        <w:t>baseflow</w:t>
      </w:r>
      <w:proofErr w:type="spellEnd"/>
      <w:r w:rsidRPr="000C2C27">
        <w:rPr>
          <w:rFonts w:ascii="Calibri" w:hAnsi="Calibri"/>
          <w:sz w:val="24"/>
          <w:szCs w:val="24"/>
        </w:rPr>
        <w:t xml:space="preserve">, or hydro-affected) </w:t>
      </w:r>
      <w:r w:rsidRPr="000C2C27">
        <w:rPr>
          <w:sz w:val="24"/>
          <w:szCs w:val="24"/>
        </w:rPr>
        <w:t xml:space="preserve">at the time of sampling following the </w:t>
      </w:r>
      <w:r w:rsidR="00C006F9" w:rsidRPr="000C2C27">
        <w:rPr>
          <w:rFonts w:ascii="Calibri" w:hAnsi="Calibri"/>
          <w:sz w:val="24"/>
          <w:szCs w:val="24"/>
        </w:rPr>
        <w:t xml:space="preserve">VTDEC </w:t>
      </w:r>
      <w:r w:rsidR="00C006F9" w:rsidRPr="000C2C27">
        <w:rPr>
          <w:rFonts w:ascii="Calibri" w:hAnsi="Calibri"/>
          <w:i/>
          <w:sz w:val="24"/>
          <w:szCs w:val="24"/>
        </w:rPr>
        <w:t>Guidance on Streamflow Observations at time of Water Quality Sampling of Rivers and Streams</w:t>
      </w:r>
      <w:r w:rsidR="003D246C">
        <w:rPr>
          <w:rFonts w:ascii="Calibri" w:hAnsi="Calibri"/>
          <w:i/>
          <w:sz w:val="24"/>
          <w:szCs w:val="24"/>
        </w:rPr>
        <w:t xml:space="preserve"> </w:t>
      </w:r>
      <w:r w:rsidR="003D246C">
        <w:rPr>
          <w:sz w:val="24"/>
        </w:rPr>
        <w:t>(Attachment 1)</w:t>
      </w:r>
      <w:r w:rsidRPr="000C2C27">
        <w:rPr>
          <w:rFonts w:ascii="Calibri" w:hAnsi="Calibri"/>
          <w:sz w:val="24"/>
          <w:szCs w:val="24"/>
        </w:rPr>
        <w:t xml:space="preserve">; and (2) to support the coarse-level calculation of pollutant loads.  </w:t>
      </w:r>
      <w:r w:rsidR="00C006F9" w:rsidRPr="000C2C27">
        <w:rPr>
          <w:rFonts w:ascii="Calibri" w:hAnsi="Calibri"/>
          <w:sz w:val="24"/>
          <w:szCs w:val="24"/>
        </w:rPr>
        <w:t xml:space="preserve">Depending upon the sampling location, different resources will be available to groups for </w:t>
      </w:r>
      <w:r w:rsidRPr="000C2C27">
        <w:rPr>
          <w:rFonts w:ascii="Calibri" w:hAnsi="Calibri"/>
          <w:sz w:val="24"/>
          <w:szCs w:val="24"/>
        </w:rPr>
        <w:t xml:space="preserve">the estimation of </w:t>
      </w:r>
      <w:r w:rsidR="00C006F9" w:rsidRPr="000C2C27">
        <w:rPr>
          <w:rFonts w:ascii="Calibri" w:hAnsi="Calibri"/>
          <w:sz w:val="24"/>
          <w:szCs w:val="24"/>
        </w:rPr>
        <w:t>discharge.</w:t>
      </w:r>
      <w:r w:rsidR="00657E4F">
        <w:rPr>
          <w:rFonts w:ascii="Calibri" w:hAnsi="Calibri"/>
          <w:sz w:val="24"/>
          <w:szCs w:val="24"/>
        </w:rPr>
        <w:t xml:space="preserve">  Some sites will be located on streams that have an automated streamflow gage.  Other sites will be located on </w:t>
      </w:r>
      <w:proofErr w:type="spellStart"/>
      <w:r w:rsidR="00657E4F">
        <w:rPr>
          <w:rFonts w:ascii="Calibri" w:hAnsi="Calibri"/>
          <w:sz w:val="24"/>
          <w:szCs w:val="24"/>
        </w:rPr>
        <w:t>ungaged</w:t>
      </w:r>
      <w:proofErr w:type="spellEnd"/>
      <w:r w:rsidR="00657E4F">
        <w:rPr>
          <w:rFonts w:ascii="Calibri" w:hAnsi="Calibri"/>
          <w:sz w:val="24"/>
          <w:szCs w:val="24"/>
        </w:rPr>
        <w:t xml:space="preserve"> basins, but near to a gaged basin</w:t>
      </w:r>
      <w:r w:rsidR="003C431F">
        <w:rPr>
          <w:rFonts w:ascii="Calibri" w:hAnsi="Calibri"/>
          <w:sz w:val="24"/>
          <w:szCs w:val="24"/>
        </w:rPr>
        <w:t xml:space="preserve"> that is similar in character to the study basin</w:t>
      </w:r>
      <w:r w:rsidR="00657E4F">
        <w:rPr>
          <w:rFonts w:ascii="Calibri" w:hAnsi="Calibri"/>
          <w:sz w:val="24"/>
          <w:szCs w:val="24"/>
        </w:rPr>
        <w:t>.</w:t>
      </w:r>
      <w:r w:rsidR="003C431F">
        <w:rPr>
          <w:rFonts w:ascii="Calibri" w:hAnsi="Calibri"/>
          <w:sz w:val="24"/>
          <w:szCs w:val="24"/>
        </w:rPr>
        <w:t xml:space="preserve">   In all cases, samplers should conduct a field estimate of Flow Level and Flow Category, since local conditions may not be well captured by a distant or hydrologically-variable streamflow gage.  </w:t>
      </w:r>
      <w:r w:rsidR="004024DF">
        <w:rPr>
          <w:rFonts w:ascii="Calibri" w:hAnsi="Calibri"/>
          <w:sz w:val="24"/>
          <w:szCs w:val="24"/>
        </w:rPr>
        <w:t xml:space="preserve">For instance, flow stage at a sampling site may rise suddenly in response to an upstream, localized thunderstorm.  However, due to the isolated nature of this storm event, it may not cause flow levels at a distant downstream gage to fluctuate significantly.   </w:t>
      </w:r>
    </w:p>
    <w:p w14:paraId="38866CF8" w14:textId="056CF94F" w:rsidR="00341B64" w:rsidRPr="000C2C27" w:rsidRDefault="00341B64" w:rsidP="000C2C27">
      <w:pPr>
        <w:pStyle w:val="Heading2"/>
        <w:spacing w:after="240" w:line="276" w:lineRule="auto"/>
        <w:rPr>
          <w:sz w:val="28"/>
          <w:szCs w:val="24"/>
        </w:rPr>
      </w:pPr>
      <w:bookmarkStart w:id="3" w:name="_Toc497229471"/>
      <w:r w:rsidRPr="000C2C27">
        <w:rPr>
          <w:sz w:val="28"/>
          <w:szCs w:val="24"/>
        </w:rPr>
        <w:t>2.1</w:t>
      </w:r>
      <w:r w:rsidRPr="000C2C27">
        <w:rPr>
          <w:sz w:val="28"/>
          <w:szCs w:val="24"/>
        </w:rPr>
        <w:tab/>
      </w:r>
      <w:r w:rsidR="00657E4F">
        <w:rPr>
          <w:sz w:val="28"/>
          <w:szCs w:val="24"/>
        </w:rPr>
        <w:t>Estimates from a USGS streamflow gaging station</w:t>
      </w:r>
      <w:bookmarkEnd w:id="3"/>
    </w:p>
    <w:p w14:paraId="0F12DBDA" w14:textId="7253532A" w:rsidR="00657E4F" w:rsidRDefault="00C006F9" w:rsidP="000C2C27">
      <w:pPr>
        <w:spacing w:after="240" w:line="276" w:lineRule="auto"/>
        <w:rPr>
          <w:sz w:val="24"/>
          <w:szCs w:val="24"/>
        </w:rPr>
      </w:pPr>
      <w:r w:rsidRPr="000C2C27">
        <w:rPr>
          <w:sz w:val="24"/>
          <w:szCs w:val="24"/>
        </w:rPr>
        <w:t xml:space="preserve">US Geological Survey </w:t>
      </w:r>
      <w:r w:rsidR="00475FEE" w:rsidRPr="000C2C27">
        <w:rPr>
          <w:sz w:val="24"/>
          <w:szCs w:val="24"/>
        </w:rPr>
        <w:t xml:space="preserve">(USGS) </w:t>
      </w:r>
      <w:r w:rsidRPr="000C2C27">
        <w:rPr>
          <w:sz w:val="24"/>
          <w:szCs w:val="24"/>
        </w:rPr>
        <w:t>maintains several streamflow gaging stations throughout Vermont</w:t>
      </w:r>
      <w:r w:rsidR="00024E31">
        <w:rPr>
          <w:rStyle w:val="FootnoteReference"/>
          <w:sz w:val="24"/>
          <w:szCs w:val="24"/>
        </w:rPr>
        <w:footnoteReference w:id="2"/>
      </w:r>
      <w:r w:rsidR="004024DF">
        <w:rPr>
          <w:sz w:val="24"/>
          <w:szCs w:val="24"/>
        </w:rPr>
        <w:t>.  Near r</w:t>
      </w:r>
      <w:r w:rsidRPr="000C2C27">
        <w:rPr>
          <w:sz w:val="24"/>
          <w:szCs w:val="24"/>
        </w:rPr>
        <w:t>eal</w:t>
      </w:r>
      <w:r w:rsidR="00A420BD">
        <w:rPr>
          <w:sz w:val="24"/>
          <w:szCs w:val="24"/>
        </w:rPr>
        <w:t>-</w:t>
      </w:r>
      <w:r w:rsidRPr="000C2C27">
        <w:rPr>
          <w:sz w:val="24"/>
          <w:szCs w:val="24"/>
        </w:rPr>
        <w:t>time discharge data can be viewed at or downloaded from their web site for a given station</w:t>
      </w:r>
      <w:r w:rsidR="004024DF">
        <w:rPr>
          <w:sz w:val="24"/>
          <w:szCs w:val="24"/>
        </w:rPr>
        <w:t>, and used to estimate discharge at an upstream or nearby sampling site</w:t>
      </w:r>
      <w:r w:rsidRPr="000C2C27">
        <w:rPr>
          <w:sz w:val="24"/>
          <w:szCs w:val="24"/>
        </w:rPr>
        <w:t xml:space="preserve">.  </w:t>
      </w:r>
    </w:p>
    <w:p w14:paraId="40A504DF" w14:textId="59B9D114" w:rsidR="00657E4F" w:rsidRDefault="00657E4F" w:rsidP="003C431F">
      <w:pPr>
        <w:pStyle w:val="Heading3"/>
        <w:ind w:left="720"/>
      </w:pPr>
      <w:bookmarkStart w:id="4" w:name="_Toc497229472"/>
      <w:r>
        <w:t>2.1.1</w:t>
      </w:r>
      <w:r>
        <w:tab/>
        <w:t>Within-basin USGS gage</w:t>
      </w:r>
      <w:bookmarkEnd w:id="4"/>
    </w:p>
    <w:p w14:paraId="28D41B39" w14:textId="53EBB6B9" w:rsidR="000C2C27" w:rsidRPr="00024E31" w:rsidRDefault="009E0497" w:rsidP="004024DF">
      <w:pPr>
        <w:spacing w:after="240" w:line="276" w:lineRule="auto"/>
        <w:rPr>
          <w:sz w:val="24"/>
          <w:szCs w:val="24"/>
        </w:rPr>
      </w:pPr>
      <w:r w:rsidRPr="000C2C27">
        <w:rPr>
          <w:rFonts w:ascii="Calibri" w:hAnsi="Calibri" w:cs="Tahoma"/>
          <w:sz w:val="24"/>
          <w:szCs w:val="24"/>
        </w:rPr>
        <w:t xml:space="preserve">To determine </w:t>
      </w:r>
      <w:r w:rsidR="004024DF">
        <w:rPr>
          <w:rFonts w:ascii="Calibri" w:hAnsi="Calibri" w:cs="Tahoma"/>
          <w:sz w:val="24"/>
          <w:szCs w:val="24"/>
        </w:rPr>
        <w:t>Flow</w:t>
      </w:r>
      <w:r w:rsidRPr="000C2C27">
        <w:rPr>
          <w:rFonts w:ascii="Calibri" w:hAnsi="Calibri" w:cs="Tahoma"/>
          <w:sz w:val="24"/>
          <w:szCs w:val="24"/>
        </w:rPr>
        <w:t xml:space="preserve"> </w:t>
      </w:r>
      <w:r w:rsidR="004024DF">
        <w:rPr>
          <w:rFonts w:ascii="Calibri" w:hAnsi="Calibri" w:cs="Tahoma"/>
          <w:sz w:val="24"/>
          <w:szCs w:val="24"/>
        </w:rPr>
        <w:t>Level and Flow Category</w:t>
      </w:r>
      <w:r w:rsidR="00475FEE" w:rsidRPr="000C2C27">
        <w:rPr>
          <w:rFonts w:ascii="Calibri" w:hAnsi="Calibri" w:cs="Tahoma"/>
          <w:sz w:val="24"/>
          <w:szCs w:val="24"/>
        </w:rPr>
        <w:t xml:space="preserve"> </w:t>
      </w:r>
      <w:r w:rsidRPr="000C2C27">
        <w:rPr>
          <w:rFonts w:ascii="Calibri" w:hAnsi="Calibri" w:cs="Tahoma"/>
          <w:sz w:val="24"/>
          <w:szCs w:val="24"/>
        </w:rPr>
        <w:t>on the samp</w:t>
      </w:r>
      <w:r w:rsidR="004024DF">
        <w:rPr>
          <w:rFonts w:ascii="Calibri" w:hAnsi="Calibri" w:cs="Tahoma"/>
          <w:sz w:val="24"/>
          <w:szCs w:val="24"/>
        </w:rPr>
        <w:t>le date, groups can refer to a within-basin</w:t>
      </w:r>
      <w:r w:rsidRPr="000C2C27">
        <w:rPr>
          <w:rFonts w:ascii="Calibri" w:hAnsi="Calibri" w:cs="Tahoma"/>
          <w:sz w:val="24"/>
          <w:szCs w:val="24"/>
        </w:rPr>
        <w:t xml:space="preserve"> </w:t>
      </w:r>
      <w:r w:rsidR="00475FEE" w:rsidRPr="000C2C27">
        <w:rPr>
          <w:rFonts w:ascii="Calibri" w:hAnsi="Calibri" w:cs="Tahoma"/>
          <w:sz w:val="24"/>
          <w:szCs w:val="24"/>
        </w:rPr>
        <w:t>USGS</w:t>
      </w:r>
      <w:r w:rsidRPr="000C2C27">
        <w:rPr>
          <w:rFonts w:ascii="Calibri" w:hAnsi="Calibri" w:cs="Tahoma"/>
          <w:sz w:val="24"/>
          <w:szCs w:val="24"/>
        </w:rPr>
        <w:t xml:space="preserve"> streamflow gaging station</w:t>
      </w:r>
      <w:r w:rsidR="00475FEE" w:rsidRPr="000C2C27">
        <w:rPr>
          <w:rFonts w:ascii="Calibri" w:hAnsi="Calibri" w:cs="Tahoma"/>
          <w:sz w:val="24"/>
          <w:szCs w:val="24"/>
        </w:rPr>
        <w:t>.</w:t>
      </w:r>
      <w:r w:rsidRPr="000C2C27">
        <w:rPr>
          <w:rFonts w:ascii="Calibri" w:hAnsi="Calibri" w:cs="Tahoma"/>
          <w:sz w:val="24"/>
          <w:szCs w:val="24"/>
        </w:rPr>
        <w:t xml:space="preserve"> </w:t>
      </w:r>
      <w:r w:rsidR="00475FEE" w:rsidRPr="000C2C27">
        <w:rPr>
          <w:rFonts w:ascii="Calibri" w:hAnsi="Calibri" w:cs="Tahoma"/>
          <w:sz w:val="24"/>
          <w:szCs w:val="24"/>
        </w:rPr>
        <w:t xml:space="preserve"> </w:t>
      </w:r>
      <w:r w:rsidR="00F44894" w:rsidRPr="000C2C27">
        <w:rPr>
          <w:rFonts w:ascii="Calibri" w:hAnsi="Calibri" w:cs="Tahoma"/>
          <w:sz w:val="24"/>
          <w:szCs w:val="24"/>
        </w:rPr>
        <w:t xml:space="preserve">For example, Figure </w:t>
      </w:r>
      <w:r w:rsidR="00475FEE" w:rsidRPr="000C2C27">
        <w:rPr>
          <w:rFonts w:ascii="Calibri" w:hAnsi="Calibri" w:cs="Tahoma"/>
          <w:sz w:val="24"/>
          <w:szCs w:val="24"/>
        </w:rPr>
        <w:t xml:space="preserve">1a </w:t>
      </w:r>
      <w:r w:rsidR="00F44894" w:rsidRPr="000C2C27">
        <w:rPr>
          <w:rFonts w:ascii="Calibri" w:hAnsi="Calibri" w:cs="Tahoma"/>
          <w:sz w:val="24"/>
          <w:szCs w:val="24"/>
        </w:rPr>
        <w:t xml:space="preserve">depicts </w:t>
      </w:r>
      <w:r w:rsidR="00475FEE" w:rsidRPr="000C2C27">
        <w:rPr>
          <w:rFonts w:ascii="Calibri" w:hAnsi="Calibri" w:cs="Tahoma"/>
          <w:sz w:val="24"/>
          <w:szCs w:val="24"/>
        </w:rPr>
        <w:t xml:space="preserve">the Lewis Creek watershed and the location of </w:t>
      </w:r>
      <w:r w:rsidR="00F44894" w:rsidRPr="000C2C27">
        <w:rPr>
          <w:rFonts w:ascii="Calibri" w:hAnsi="Calibri" w:cs="Tahoma"/>
          <w:sz w:val="24"/>
          <w:szCs w:val="24"/>
        </w:rPr>
        <w:t>sentinel station</w:t>
      </w:r>
      <w:r w:rsidR="00475FEE" w:rsidRPr="000C2C27">
        <w:rPr>
          <w:rFonts w:ascii="Calibri" w:hAnsi="Calibri" w:cs="Tahoma"/>
          <w:sz w:val="24"/>
          <w:szCs w:val="24"/>
        </w:rPr>
        <w:t>,</w:t>
      </w:r>
      <w:r w:rsidR="00F44894" w:rsidRPr="000C2C27">
        <w:rPr>
          <w:rFonts w:ascii="Calibri" w:hAnsi="Calibri" w:cs="Tahoma"/>
          <w:sz w:val="24"/>
          <w:szCs w:val="24"/>
        </w:rPr>
        <w:t xml:space="preserve"> LCR14</w:t>
      </w:r>
      <w:r w:rsidR="00475FEE" w:rsidRPr="000C2C27">
        <w:rPr>
          <w:rFonts w:ascii="Calibri" w:hAnsi="Calibri" w:cs="Tahoma"/>
          <w:sz w:val="24"/>
          <w:szCs w:val="24"/>
        </w:rPr>
        <w:t>,</w:t>
      </w:r>
      <w:r w:rsidR="00F44894" w:rsidRPr="000C2C27">
        <w:rPr>
          <w:rFonts w:ascii="Calibri" w:hAnsi="Calibri" w:cs="Tahoma"/>
          <w:sz w:val="24"/>
          <w:szCs w:val="24"/>
        </w:rPr>
        <w:t xml:space="preserve"> </w:t>
      </w:r>
      <w:r w:rsidR="00475FEE" w:rsidRPr="000C2C27">
        <w:rPr>
          <w:rFonts w:ascii="Calibri" w:hAnsi="Calibri" w:cs="Tahoma"/>
          <w:sz w:val="24"/>
          <w:szCs w:val="24"/>
        </w:rPr>
        <w:t>relative to a USGS g</w:t>
      </w:r>
      <w:r w:rsidR="00F44894" w:rsidRPr="000C2C27">
        <w:rPr>
          <w:rFonts w:ascii="Calibri" w:hAnsi="Calibri" w:cs="Tahoma"/>
          <w:sz w:val="24"/>
          <w:szCs w:val="24"/>
        </w:rPr>
        <w:t xml:space="preserve">aging station located </w:t>
      </w:r>
      <w:r w:rsidRPr="000C2C27">
        <w:rPr>
          <w:rFonts w:ascii="Calibri" w:hAnsi="Calibri" w:cs="Tahoma"/>
          <w:sz w:val="24"/>
          <w:szCs w:val="24"/>
        </w:rPr>
        <w:t xml:space="preserve">just upstream from the US Route 7 </w:t>
      </w:r>
      <w:r w:rsidR="00F44894" w:rsidRPr="000C2C27">
        <w:rPr>
          <w:rFonts w:ascii="Calibri" w:hAnsi="Calibri" w:cs="Tahoma"/>
          <w:sz w:val="24"/>
          <w:szCs w:val="24"/>
        </w:rPr>
        <w:t xml:space="preserve">bridge </w:t>
      </w:r>
      <w:r w:rsidRPr="000C2C27">
        <w:rPr>
          <w:rFonts w:ascii="Calibri" w:hAnsi="Calibri" w:cs="Tahoma"/>
          <w:sz w:val="24"/>
          <w:szCs w:val="24"/>
        </w:rPr>
        <w:t>crossing. This station measures flow from an approximate drainage area of 77.2 square miles</w:t>
      </w:r>
      <w:r w:rsidR="00F44894" w:rsidRPr="000C2C27">
        <w:rPr>
          <w:rFonts w:ascii="Calibri" w:hAnsi="Calibri" w:cs="Tahoma"/>
          <w:sz w:val="24"/>
          <w:szCs w:val="24"/>
        </w:rPr>
        <w:t xml:space="preserve"> </w:t>
      </w:r>
      <w:r w:rsidRPr="000C2C27">
        <w:rPr>
          <w:rFonts w:ascii="Calibri" w:hAnsi="Calibri" w:cs="Tahoma"/>
          <w:sz w:val="24"/>
          <w:szCs w:val="24"/>
        </w:rPr>
        <w:t xml:space="preserve">(USGS, 2017). </w:t>
      </w:r>
      <w:r w:rsidR="00F44894" w:rsidRPr="000C2C27">
        <w:rPr>
          <w:rFonts w:ascii="Calibri" w:hAnsi="Calibri" w:cs="Tahoma"/>
          <w:sz w:val="24"/>
          <w:szCs w:val="24"/>
        </w:rPr>
        <w:t xml:space="preserve"> Station LCR14 has an upstream drainage area of 36.0 square miles. </w:t>
      </w:r>
      <w:r w:rsidRPr="000C2C27">
        <w:rPr>
          <w:rFonts w:ascii="Calibri" w:hAnsi="Calibri" w:cs="Tahoma"/>
          <w:sz w:val="24"/>
          <w:szCs w:val="24"/>
        </w:rPr>
        <w:t xml:space="preserve">  A discharge is assigned for each sampling date</w:t>
      </w:r>
      <w:r w:rsidR="00475FEE" w:rsidRPr="000C2C27">
        <w:rPr>
          <w:rFonts w:ascii="Calibri" w:hAnsi="Calibri" w:cs="Tahoma"/>
          <w:sz w:val="24"/>
          <w:szCs w:val="24"/>
        </w:rPr>
        <w:t xml:space="preserve"> at LCR14</w:t>
      </w:r>
      <w:r w:rsidRPr="000C2C27">
        <w:rPr>
          <w:rFonts w:ascii="Calibri" w:hAnsi="Calibri" w:cs="Tahoma"/>
          <w:sz w:val="24"/>
          <w:szCs w:val="24"/>
        </w:rPr>
        <w:t xml:space="preserve"> </w:t>
      </w:r>
    </w:p>
    <w:p w14:paraId="6C250FA7" w14:textId="77777777" w:rsidR="00F44894" w:rsidRDefault="00F44894" w:rsidP="00F44894">
      <w:pPr>
        <w:spacing w:after="120" w:line="266" w:lineRule="auto"/>
        <w:jc w:val="center"/>
        <w:rPr>
          <w:rFonts w:ascii="Calibri" w:hAnsi="Calibri" w:cs="Tahoma"/>
          <w:sz w:val="24"/>
          <w:szCs w:val="24"/>
        </w:rPr>
      </w:pPr>
      <w:r>
        <w:rPr>
          <w:rFonts w:ascii="Calibri" w:hAnsi="Calibri" w:cs="Tahoma"/>
          <w:noProof/>
          <w:sz w:val="24"/>
          <w:szCs w:val="24"/>
        </w:rPr>
        <w:lastRenderedPageBreak/>
        <w:drawing>
          <wp:inline distT="0" distB="0" distL="0" distR="0" wp14:anchorId="2098EC81" wp14:editId="19EA6581">
            <wp:extent cx="5972806" cy="67532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tional area calc.jpg"/>
                    <pic:cNvPicPr/>
                  </pic:nvPicPr>
                  <pic:blipFill rotWithShape="1">
                    <a:blip r:embed="rId11">
                      <a:extLst>
                        <a:ext uri="{28A0092B-C50C-407E-A947-70E740481C1C}">
                          <a14:useLocalDpi xmlns:a14="http://schemas.microsoft.com/office/drawing/2010/main" val="0"/>
                        </a:ext>
                      </a:extLst>
                    </a:blip>
                    <a:srcRect l="3846" t="2525" r="4167" b="19470"/>
                    <a:stretch/>
                  </pic:blipFill>
                  <pic:spPr bwMode="auto">
                    <a:xfrm>
                      <a:off x="0" y="0"/>
                      <a:ext cx="5976759" cy="6757694"/>
                    </a:xfrm>
                    <a:prstGeom prst="rect">
                      <a:avLst/>
                    </a:prstGeom>
                    <a:ln>
                      <a:noFill/>
                    </a:ln>
                    <a:extLst>
                      <a:ext uri="{53640926-AAD7-44D8-BBD7-CCE9431645EC}">
                        <a14:shadowObscured xmlns:a14="http://schemas.microsoft.com/office/drawing/2010/main"/>
                      </a:ext>
                    </a:extLst>
                  </pic:spPr>
                </pic:pic>
              </a:graphicData>
            </a:graphic>
          </wp:inline>
        </w:drawing>
      </w:r>
    </w:p>
    <w:p w14:paraId="64D6717A" w14:textId="77777777" w:rsidR="00475FEE" w:rsidRPr="000C2C27" w:rsidRDefault="00475FEE" w:rsidP="00F44894">
      <w:pPr>
        <w:spacing w:after="120" w:line="266" w:lineRule="auto"/>
        <w:jc w:val="center"/>
        <w:rPr>
          <w:rFonts w:ascii="Calibri" w:hAnsi="Calibri" w:cs="Tahoma"/>
          <w:i/>
          <w:szCs w:val="24"/>
        </w:rPr>
      </w:pPr>
      <w:r w:rsidRPr="000C2C27">
        <w:rPr>
          <w:rFonts w:ascii="Calibri" w:hAnsi="Calibri" w:cs="Tahoma"/>
          <w:i/>
          <w:szCs w:val="24"/>
        </w:rPr>
        <w:t xml:space="preserve">Figure 1.  Discharge estimate </w:t>
      </w:r>
      <w:r w:rsidR="000C2C27" w:rsidRPr="000C2C27">
        <w:rPr>
          <w:rFonts w:ascii="Calibri" w:hAnsi="Calibri" w:cs="Tahoma"/>
          <w:i/>
          <w:szCs w:val="24"/>
        </w:rPr>
        <w:t xml:space="preserve">for station LCR14 </w:t>
      </w:r>
      <w:r w:rsidRPr="000C2C27">
        <w:rPr>
          <w:rFonts w:ascii="Calibri" w:hAnsi="Calibri" w:cs="Tahoma"/>
          <w:i/>
          <w:szCs w:val="24"/>
        </w:rPr>
        <w:t>in (a) Lewis Creek watershed</w:t>
      </w:r>
      <w:r w:rsidR="000C2C27" w:rsidRPr="000C2C27">
        <w:rPr>
          <w:rFonts w:ascii="Calibri" w:hAnsi="Calibri" w:cs="Tahoma"/>
          <w:i/>
          <w:szCs w:val="24"/>
        </w:rPr>
        <w:t xml:space="preserve"> which monitors</w:t>
      </w:r>
      <w:r w:rsidR="000C2C27" w:rsidRPr="000C2C27">
        <w:rPr>
          <w:rFonts w:ascii="Calibri" w:hAnsi="Calibri" w:cs="Tahoma"/>
          <w:i/>
          <w:szCs w:val="24"/>
        </w:rPr>
        <w:br/>
        <w:t xml:space="preserve"> (b) 47% of the gaged drainage area.  Daily mean flows recorded at the gage on six sample dates in 2016 are (c) adjusted </w:t>
      </w:r>
      <w:r w:rsidR="000C2C27">
        <w:rPr>
          <w:rFonts w:ascii="Calibri" w:hAnsi="Calibri" w:cs="Tahoma"/>
          <w:i/>
          <w:szCs w:val="24"/>
        </w:rPr>
        <w:t>by</w:t>
      </w:r>
      <w:r w:rsidR="000C2C27" w:rsidRPr="000C2C27">
        <w:rPr>
          <w:rFonts w:ascii="Calibri" w:hAnsi="Calibri" w:cs="Tahoma"/>
          <w:i/>
          <w:szCs w:val="24"/>
        </w:rPr>
        <w:t xml:space="preserve"> this proportional area to estimate daily mean flow at LCR14.  Flow levels are assigned with reference to the Flow Duration Curve (Figure 2).</w:t>
      </w:r>
    </w:p>
    <w:p w14:paraId="11CC403F" w14:textId="77777777" w:rsidR="00475FEE" w:rsidRDefault="00475FEE" w:rsidP="00F44894">
      <w:pPr>
        <w:spacing w:after="120" w:line="266" w:lineRule="auto"/>
        <w:jc w:val="center"/>
        <w:rPr>
          <w:rFonts w:ascii="Calibri" w:hAnsi="Calibri" w:cs="Tahoma"/>
          <w:sz w:val="24"/>
          <w:szCs w:val="24"/>
        </w:rPr>
      </w:pPr>
    </w:p>
    <w:p w14:paraId="335B5C08" w14:textId="6BD32C5C" w:rsidR="004024DF" w:rsidRDefault="004024DF" w:rsidP="004024DF">
      <w:pPr>
        <w:spacing w:after="240" w:line="276" w:lineRule="auto"/>
        <w:rPr>
          <w:rFonts w:ascii="Calibri" w:hAnsi="Calibri" w:cs="Tahoma"/>
          <w:sz w:val="24"/>
          <w:szCs w:val="24"/>
        </w:rPr>
      </w:pPr>
      <w:proofErr w:type="gramStart"/>
      <w:r w:rsidRPr="000C2C27">
        <w:rPr>
          <w:rFonts w:ascii="Calibri" w:hAnsi="Calibri" w:cs="Tahoma"/>
          <w:sz w:val="24"/>
          <w:szCs w:val="24"/>
        </w:rPr>
        <w:lastRenderedPageBreak/>
        <w:t>based</w:t>
      </w:r>
      <w:proofErr w:type="gramEnd"/>
      <w:r w:rsidRPr="000C2C27">
        <w:rPr>
          <w:rFonts w:ascii="Calibri" w:hAnsi="Calibri" w:cs="Tahoma"/>
          <w:sz w:val="24"/>
          <w:szCs w:val="24"/>
        </w:rPr>
        <w:t xml:space="preserve"> on reference to the daily mean flow (DMF) recorded at the gage, applying a correction factor for the proportional drainage area of station LCR14</w:t>
      </w:r>
      <w:r>
        <w:rPr>
          <w:rFonts w:ascii="Calibri" w:hAnsi="Calibri" w:cs="Tahoma"/>
          <w:sz w:val="24"/>
          <w:szCs w:val="24"/>
        </w:rPr>
        <w:t xml:space="preserve"> (Fig</w:t>
      </w:r>
      <w:r w:rsidRPr="000C2C27">
        <w:rPr>
          <w:rFonts w:ascii="Calibri" w:hAnsi="Calibri" w:cs="Tahoma"/>
          <w:sz w:val="24"/>
          <w:szCs w:val="24"/>
        </w:rPr>
        <w:t xml:space="preserve"> 1b and 1c).</w:t>
      </w:r>
      <w:r>
        <w:rPr>
          <w:rFonts w:ascii="Calibri" w:hAnsi="Calibri" w:cs="Tahoma"/>
          <w:sz w:val="24"/>
          <w:szCs w:val="24"/>
        </w:rPr>
        <w:t xml:space="preserve">  It is important to note that t</w:t>
      </w:r>
      <w:r>
        <w:rPr>
          <w:rFonts w:ascii="Calibri" w:hAnsi="Calibri" w:cs="Tahoma"/>
          <w:sz w:val="24"/>
          <w:szCs w:val="24"/>
        </w:rPr>
        <w:t xml:space="preserve">his method approximates discharge at the sample station, but may over- or under- estimate the actual flow value, due to natural variability in precipitation and river flow patterns across the watershed.  </w:t>
      </w:r>
    </w:p>
    <w:p w14:paraId="52E6669D" w14:textId="77777777" w:rsidR="004024DF" w:rsidRPr="00024E31" w:rsidRDefault="004024DF" w:rsidP="004024DF">
      <w:pPr>
        <w:spacing w:after="240" w:line="276" w:lineRule="auto"/>
        <w:rPr>
          <w:sz w:val="24"/>
          <w:szCs w:val="24"/>
        </w:rPr>
      </w:pPr>
      <w:r w:rsidRPr="000C2C27">
        <w:rPr>
          <w:sz w:val="24"/>
          <w:szCs w:val="24"/>
        </w:rPr>
        <w:t xml:space="preserve">Gaging records can </w:t>
      </w:r>
      <w:r>
        <w:rPr>
          <w:sz w:val="24"/>
          <w:szCs w:val="24"/>
        </w:rPr>
        <w:t>also be used to categorize Flow Level</w:t>
      </w:r>
      <w:r w:rsidRPr="000C2C27">
        <w:rPr>
          <w:sz w:val="24"/>
          <w:szCs w:val="24"/>
        </w:rPr>
        <w:t xml:space="preserve"> in accordance with </w:t>
      </w:r>
      <w:r w:rsidRPr="000C2C27">
        <w:rPr>
          <w:rFonts w:ascii="Calibri" w:hAnsi="Calibri"/>
          <w:sz w:val="24"/>
          <w:szCs w:val="24"/>
        </w:rPr>
        <w:t xml:space="preserve">VTDEC </w:t>
      </w:r>
      <w:r>
        <w:rPr>
          <w:rFonts w:ascii="Calibri" w:hAnsi="Calibri"/>
          <w:sz w:val="24"/>
          <w:szCs w:val="24"/>
        </w:rPr>
        <w:t>guidance.</w:t>
      </w:r>
      <w:r w:rsidRPr="000C2C27">
        <w:rPr>
          <w:rFonts w:ascii="Calibri" w:hAnsi="Calibri"/>
          <w:sz w:val="24"/>
          <w:szCs w:val="24"/>
        </w:rPr>
        <w:t xml:space="preserve">  </w:t>
      </w:r>
      <w:r w:rsidRPr="000C2C27">
        <w:rPr>
          <w:sz w:val="24"/>
          <w:szCs w:val="24"/>
        </w:rPr>
        <w:t xml:space="preserve">  Figure 2 presents a flow duration curve computed on daily mean flows recorded for water years 1991 through 2015 for the</w:t>
      </w:r>
      <w:r>
        <w:rPr>
          <w:sz w:val="24"/>
          <w:szCs w:val="24"/>
        </w:rPr>
        <w:t xml:space="preserve"> USGS streamflow gaging station on Lewis Creek</w:t>
      </w:r>
      <w:r w:rsidRPr="000C2C27">
        <w:rPr>
          <w:sz w:val="24"/>
          <w:szCs w:val="24"/>
        </w:rPr>
        <w:t xml:space="preserve">. Flows have been categorized </w:t>
      </w:r>
      <w:r w:rsidRPr="000C2C27">
        <w:rPr>
          <w:rFonts w:ascii="Calibri" w:hAnsi="Calibri"/>
          <w:sz w:val="24"/>
          <w:szCs w:val="24"/>
        </w:rPr>
        <w:t xml:space="preserve">following VTDEC </w:t>
      </w:r>
      <w:r w:rsidRPr="000C2C27">
        <w:rPr>
          <w:rFonts w:ascii="Calibri" w:hAnsi="Calibri"/>
          <w:i/>
          <w:sz w:val="24"/>
          <w:szCs w:val="24"/>
        </w:rPr>
        <w:t>Guidance on Streamflow Observations at time of Water Quality Sampling of Rivers and Streams</w:t>
      </w:r>
      <w:r w:rsidRPr="000C2C27">
        <w:rPr>
          <w:rFonts w:ascii="Calibri" w:hAnsi="Calibri"/>
          <w:sz w:val="24"/>
          <w:szCs w:val="24"/>
        </w:rPr>
        <w:t xml:space="preserve">.  High flows are defined as those flow conditions which are equaled or exceeded only 25% of the time, and low flow levels are those equaled or exceeded more than 75% of the time, while those flows occurring between 25 and 75% of the time are classified as medium.  </w:t>
      </w:r>
    </w:p>
    <w:p w14:paraId="63C96C14" w14:textId="62D9E460" w:rsidR="000C2C27" w:rsidRPr="00657E4F" w:rsidRDefault="006D3C07" w:rsidP="00657E4F">
      <w:pPr>
        <w:spacing w:before="240"/>
        <w:jc w:val="center"/>
        <w:rPr>
          <w:rFonts w:cs="Tahoma"/>
          <w:sz w:val="28"/>
          <w:szCs w:val="24"/>
        </w:rPr>
      </w:pPr>
      <w:r>
        <w:rPr>
          <w:noProof/>
        </w:rPr>
        <w:drawing>
          <wp:inline distT="0" distB="0" distL="0" distR="0" wp14:anchorId="4572E3BC" wp14:editId="4E6A660D">
            <wp:extent cx="5933101" cy="3552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ura curve annotated.jpg"/>
                    <pic:cNvPicPr/>
                  </pic:nvPicPr>
                  <pic:blipFill rotWithShape="1">
                    <a:blip r:embed="rId12">
                      <a:extLst>
                        <a:ext uri="{28A0092B-C50C-407E-A947-70E740481C1C}">
                          <a14:useLocalDpi xmlns:a14="http://schemas.microsoft.com/office/drawing/2010/main" val="0"/>
                        </a:ext>
                      </a:extLst>
                    </a:blip>
                    <a:srcRect l="17792" t="6624" r="2724" b="29914"/>
                    <a:stretch/>
                  </pic:blipFill>
                  <pic:spPr bwMode="auto">
                    <a:xfrm>
                      <a:off x="0" y="0"/>
                      <a:ext cx="5940117" cy="3557026"/>
                    </a:xfrm>
                    <a:prstGeom prst="rect">
                      <a:avLst/>
                    </a:prstGeom>
                    <a:ln>
                      <a:noFill/>
                    </a:ln>
                    <a:extLst>
                      <a:ext uri="{53640926-AAD7-44D8-BBD7-CCE9431645EC}">
                        <a14:shadowObscured xmlns:a14="http://schemas.microsoft.com/office/drawing/2010/main"/>
                      </a:ext>
                    </a:extLst>
                  </pic:spPr>
                </pic:pic>
              </a:graphicData>
            </a:graphic>
          </wp:inline>
        </w:drawing>
      </w:r>
      <w:r w:rsidR="00C006F9">
        <w:rPr>
          <w:rFonts w:ascii="Tahoma" w:hAnsi="Tahoma" w:cs="Tahoma"/>
          <w:sz w:val="20"/>
          <w:szCs w:val="20"/>
        </w:rPr>
        <w:br/>
      </w:r>
      <w:r w:rsidR="004024DF">
        <w:rPr>
          <w:rFonts w:cs="Tahoma"/>
          <w:i/>
          <w:szCs w:val="24"/>
        </w:rPr>
        <w:br/>
      </w:r>
      <w:proofErr w:type="gramStart"/>
      <w:r w:rsidR="00C006F9" w:rsidRPr="000C2C27">
        <w:rPr>
          <w:rFonts w:cs="Tahoma"/>
          <w:i/>
          <w:szCs w:val="24"/>
        </w:rPr>
        <w:t xml:space="preserve">Figure </w:t>
      </w:r>
      <w:r w:rsidR="000C2C27" w:rsidRPr="000C2C27">
        <w:rPr>
          <w:rFonts w:cs="Tahoma"/>
          <w:i/>
          <w:szCs w:val="24"/>
        </w:rPr>
        <w:t>2</w:t>
      </w:r>
      <w:r w:rsidR="00C006F9" w:rsidRPr="000C2C27">
        <w:rPr>
          <w:rFonts w:cs="Tahoma"/>
          <w:i/>
          <w:szCs w:val="24"/>
        </w:rPr>
        <w:t>.</w:t>
      </w:r>
      <w:proofErr w:type="gramEnd"/>
      <w:r w:rsidR="00C006F9" w:rsidRPr="000C2C27">
        <w:rPr>
          <w:rFonts w:cs="Tahoma"/>
          <w:i/>
          <w:szCs w:val="24"/>
        </w:rPr>
        <w:t xml:space="preserve">  Flow Duration Curve for Lewis Creek at </w:t>
      </w:r>
      <w:proofErr w:type="spellStart"/>
      <w:r w:rsidR="00C006F9" w:rsidRPr="000C2C27">
        <w:rPr>
          <w:rFonts w:cs="Tahoma"/>
          <w:i/>
          <w:szCs w:val="24"/>
        </w:rPr>
        <w:t>Ferrisburgh</w:t>
      </w:r>
      <w:proofErr w:type="spellEnd"/>
      <w:r w:rsidR="00C006F9" w:rsidRPr="000C2C27">
        <w:rPr>
          <w:rFonts w:cs="Tahoma"/>
          <w:i/>
          <w:szCs w:val="24"/>
        </w:rPr>
        <w:t xml:space="preserve">, </w:t>
      </w:r>
      <w:proofErr w:type="gramStart"/>
      <w:r w:rsidR="00C006F9" w:rsidRPr="000C2C27">
        <w:rPr>
          <w:rFonts w:cs="Tahoma"/>
          <w:i/>
          <w:szCs w:val="24"/>
        </w:rPr>
        <w:t xml:space="preserve">VT </w:t>
      </w:r>
      <w:r>
        <w:rPr>
          <w:rFonts w:cs="Tahoma"/>
          <w:i/>
          <w:szCs w:val="24"/>
        </w:rPr>
        <w:t xml:space="preserve"> (</w:t>
      </w:r>
      <w:proofErr w:type="gramEnd"/>
      <w:r>
        <w:rPr>
          <w:rFonts w:cs="Tahoma"/>
          <w:i/>
          <w:szCs w:val="24"/>
        </w:rPr>
        <w:t xml:space="preserve">USGS </w:t>
      </w:r>
      <w:proofErr w:type="spellStart"/>
      <w:r>
        <w:rPr>
          <w:rFonts w:cs="Tahoma"/>
          <w:i/>
          <w:szCs w:val="24"/>
        </w:rPr>
        <w:t>Stn</w:t>
      </w:r>
      <w:proofErr w:type="spellEnd"/>
      <w:r>
        <w:rPr>
          <w:rFonts w:cs="Tahoma"/>
          <w:i/>
          <w:szCs w:val="24"/>
        </w:rPr>
        <w:t xml:space="preserve"># 04282780).  </w:t>
      </w:r>
      <w:r>
        <w:rPr>
          <w:rFonts w:cs="Tahoma"/>
          <w:i/>
          <w:sz w:val="24"/>
          <w:szCs w:val="24"/>
        </w:rPr>
        <w:t xml:space="preserve">Indicated values (black diamonds) correspond to the discharge that is exceeded </w:t>
      </w:r>
      <w:r w:rsidR="00657E4F">
        <w:rPr>
          <w:rFonts w:cs="Tahoma"/>
          <w:i/>
          <w:sz w:val="24"/>
          <w:szCs w:val="24"/>
        </w:rPr>
        <w:t xml:space="preserve">5%, 10%, 25%, 75%, 90% </w:t>
      </w:r>
      <w:r>
        <w:rPr>
          <w:rFonts w:cs="Tahoma"/>
          <w:i/>
          <w:sz w:val="24"/>
          <w:szCs w:val="24"/>
        </w:rPr>
        <w:t>and 9</w:t>
      </w:r>
      <w:r w:rsidR="00657E4F">
        <w:rPr>
          <w:rFonts w:cs="Tahoma"/>
          <w:i/>
          <w:sz w:val="24"/>
          <w:szCs w:val="24"/>
        </w:rPr>
        <w:t>5</w:t>
      </w:r>
      <w:r>
        <w:rPr>
          <w:rFonts w:cs="Tahoma"/>
          <w:i/>
          <w:sz w:val="24"/>
          <w:szCs w:val="24"/>
        </w:rPr>
        <w:t xml:space="preserve">% of the time (reading from left to right).  </w:t>
      </w:r>
      <w:proofErr w:type="gramStart"/>
      <w:r>
        <w:rPr>
          <w:rFonts w:cs="Tahoma"/>
          <w:i/>
          <w:sz w:val="24"/>
          <w:szCs w:val="24"/>
        </w:rPr>
        <w:t>Based on a</w:t>
      </w:r>
      <w:r w:rsidRPr="00951CF0">
        <w:rPr>
          <w:rFonts w:cs="Tahoma"/>
          <w:i/>
          <w:sz w:val="24"/>
          <w:szCs w:val="24"/>
        </w:rPr>
        <w:t xml:space="preserve">pproved </w:t>
      </w:r>
      <w:r>
        <w:rPr>
          <w:rFonts w:cs="Tahoma"/>
          <w:i/>
          <w:sz w:val="24"/>
          <w:szCs w:val="24"/>
        </w:rPr>
        <w:t xml:space="preserve">daily mean flow </w:t>
      </w:r>
      <w:r w:rsidRPr="00951CF0">
        <w:rPr>
          <w:rFonts w:cs="Tahoma"/>
          <w:i/>
          <w:sz w:val="24"/>
          <w:szCs w:val="24"/>
        </w:rPr>
        <w:t>record for water years: 1991 – 201</w:t>
      </w:r>
      <w:r w:rsidR="00657E4F">
        <w:rPr>
          <w:rFonts w:cs="Tahoma"/>
          <w:i/>
          <w:sz w:val="24"/>
          <w:szCs w:val="24"/>
        </w:rPr>
        <w:t>5</w:t>
      </w:r>
      <w:r w:rsidRPr="00951CF0">
        <w:rPr>
          <w:rFonts w:cs="Tahoma"/>
          <w:i/>
          <w:sz w:val="24"/>
          <w:szCs w:val="24"/>
        </w:rPr>
        <w:t>.</w:t>
      </w:r>
      <w:proofErr w:type="gramEnd"/>
    </w:p>
    <w:p w14:paraId="41442823" w14:textId="3C6E20C0" w:rsidR="00341B64" w:rsidRPr="00CE220F" w:rsidRDefault="000C2C27" w:rsidP="003C431F">
      <w:pPr>
        <w:pStyle w:val="Heading3"/>
        <w:ind w:left="720"/>
      </w:pPr>
      <w:r w:rsidRPr="00CE220F">
        <w:lastRenderedPageBreak/>
        <w:t xml:space="preserve"> </w:t>
      </w:r>
      <w:bookmarkStart w:id="5" w:name="_Toc497229473"/>
      <w:r w:rsidR="00341B64" w:rsidRPr="00CE220F">
        <w:t>2.</w:t>
      </w:r>
      <w:r w:rsidR="00657E4F">
        <w:t>1.2</w:t>
      </w:r>
      <w:r w:rsidR="00341B64" w:rsidRPr="00CE220F">
        <w:tab/>
      </w:r>
      <w:r w:rsidR="00657E4F">
        <w:t>Near-basin USGS gage</w:t>
      </w:r>
      <w:bookmarkEnd w:id="5"/>
      <w:r w:rsidR="00341B64" w:rsidRPr="00CE220F">
        <w:t xml:space="preserve"> </w:t>
      </w:r>
    </w:p>
    <w:p w14:paraId="3BF750B5" w14:textId="4626ED6B" w:rsidR="00341B64" w:rsidRPr="00657E4F" w:rsidRDefault="000D597B" w:rsidP="00657E4F">
      <w:pPr>
        <w:spacing w:line="276" w:lineRule="auto"/>
        <w:rPr>
          <w:sz w:val="24"/>
        </w:rPr>
      </w:pPr>
      <w:r>
        <w:rPr>
          <w:sz w:val="24"/>
        </w:rPr>
        <w:t xml:space="preserve">Many groups will be sampling on rivers that are </w:t>
      </w:r>
      <w:r w:rsidR="00657E4F">
        <w:rPr>
          <w:sz w:val="24"/>
        </w:rPr>
        <w:t>not gaged</w:t>
      </w:r>
      <w:r>
        <w:rPr>
          <w:sz w:val="24"/>
        </w:rPr>
        <w:t xml:space="preserve"> by USGS, or at locations within a gaged basin that are quite distant from the gage, and may exhibit very different hy</w:t>
      </w:r>
      <w:r w:rsidR="00A420BD">
        <w:rPr>
          <w:sz w:val="24"/>
        </w:rPr>
        <w:t>drology patterns</w:t>
      </w:r>
      <w:r w:rsidR="00657E4F">
        <w:rPr>
          <w:sz w:val="24"/>
        </w:rPr>
        <w:t xml:space="preserve"> </w:t>
      </w:r>
      <w:r w:rsidR="00657E4F">
        <w:rPr>
          <w:sz w:val="24"/>
        </w:rPr>
        <w:t>(e.g., more flashy)</w:t>
      </w:r>
      <w:r w:rsidR="00A420BD">
        <w:rPr>
          <w:sz w:val="24"/>
        </w:rPr>
        <w:t xml:space="preserve">.  There are </w:t>
      </w:r>
      <w:r>
        <w:rPr>
          <w:sz w:val="24"/>
        </w:rPr>
        <w:t xml:space="preserve">approaches that can be used in these </w:t>
      </w:r>
      <w:proofErr w:type="spellStart"/>
      <w:r>
        <w:rPr>
          <w:sz w:val="24"/>
        </w:rPr>
        <w:t>ungaged</w:t>
      </w:r>
      <w:proofErr w:type="spellEnd"/>
      <w:r>
        <w:rPr>
          <w:sz w:val="24"/>
        </w:rPr>
        <w:t xml:space="preserve"> loc</w:t>
      </w:r>
      <w:r w:rsidR="00FE4D08">
        <w:rPr>
          <w:sz w:val="24"/>
        </w:rPr>
        <w:t xml:space="preserve">ations to approximate discharge, by looking </w:t>
      </w:r>
      <w:r w:rsidR="00897A16">
        <w:rPr>
          <w:sz w:val="24"/>
        </w:rPr>
        <w:t>to a nearby watershed that is gaged.  Ideally, this nearby watershed should be of similar size, land cover, elevation</w:t>
      </w:r>
      <w:r w:rsidR="00024E31">
        <w:rPr>
          <w:sz w:val="24"/>
        </w:rPr>
        <w:t xml:space="preserve"> and runoff pattern</w:t>
      </w:r>
      <w:r w:rsidR="00897A16">
        <w:rPr>
          <w:sz w:val="24"/>
        </w:rPr>
        <w:t xml:space="preserve">.  The instantaneous and daily mean flow records for this nearby gage can be obtained and adjusted by proportional area (see Section </w:t>
      </w:r>
      <w:r w:rsidR="00024E31">
        <w:rPr>
          <w:sz w:val="24"/>
        </w:rPr>
        <w:t>2.1</w:t>
      </w:r>
      <w:r w:rsidR="00897A16">
        <w:rPr>
          <w:sz w:val="24"/>
        </w:rPr>
        <w:t xml:space="preserve">) to estimate flows in the monitored river.  Groups should seek help from technical consultants or VTDEC basin planners to use this approach.  </w:t>
      </w:r>
    </w:p>
    <w:p w14:paraId="19DFF657" w14:textId="28FC730E" w:rsidR="00341B64" w:rsidRPr="003D246C" w:rsidRDefault="003C431F" w:rsidP="003D246C">
      <w:pPr>
        <w:pStyle w:val="Heading2"/>
        <w:rPr>
          <w:sz w:val="28"/>
        </w:rPr>
      </w:pPr>
      <w:bookmarkStart w:id="6" w:name="_Toc497229474"/>
      <w:r>
        <w:rPr>
          <w:sz w:val="28"/>
        </w:rPr>
        <w:t>2.2</w:t>
      </w:r>
      <w:r w:rsidR="00341B64" w:rsidRPr="003D246C">
        <w:rPr>
          <w:sz w:val="28"/>
        </w:rPr>
        <w:tab/>
        <w:t>Field Estimation</w:t>
      </w:r>
      <w:bookmarkEnd w:id="6"/>
    </w:p>
    <w:p w14:paraId="571D1B46" w14:textId="63539FEF" w:rsidR="009C11B6" w:rsidRDefault="009C11B6" w:rsidP="00FE4D08">
      <w:pPr>
        <w:spacing w:after="120" w:line="276" w:lineRule="auto"/>
        <w:rPr>
          <w:sz w:val="24"/>
        </w:rPr>
      </w:pPr>
      <w:r>
        <w:rPr>
          <w:sz w:val="24"/>
        </w:rPr>
        <w:t>S</w:t>
      </w:r>
      <w:r w:rsidR="008F0991">
        <w:rPr>
          <w:sz w:val="24"/>
        </w:rPr>
        <w:t>amplers are instructed to use their best judgement and site-</w:t>
      </w:r>
      <w:r>
        <w:rPr>
          <w:sz w:val="24"/>
        </w:rPr>
        <w:t xml:space="preserve">specific knowledge to assign a </w:t>
      </w:r>
      <w:r w:rsidRPr="006B247C">
        <w:rPr>
          <w:b/>
          <w:sz w:val="24"/>
        </w:rPr>
        <w:t>F</w:t>
      </w:r>
      <w:r w:rsidR="008F0991" w:rsidRPr="006B247C">
        <w:rPr>
          <w:b/>
          <w:sz w:val="24"/>
        </w:rPr>
        <w:t>lo</w:t>
      </w:r>
      <w:r w:rsidRPr="006B247C">
        <w:rPr>
          <w:b/>
          <w:sz w:val="24"/>
        </w:rPr>
        <w:t>w L</w:t>
      </w:r>
      <w:r w:rsidR="00C46965" w:rsidRPr="006B247C">
        <w:rPr>
          <w:b/>
          <w:sz w:val="24"/>
        </w:rPr>
        <w:t>evel</w:t>
      </w:r>
      <w:r w:rsidR="00C46965">
        <w:rPr>
          <w:sz w:val="24"/>
        </w:rPr>
        <w:t xml:space="preserve"> (</w:t>
      </w:r>
      <w:r w:rsidR="0092115C">
        <w:rPr>
          <w:sz w:val="24"/>
        </w:rPr>
        <w:t>Low, Moderate, H</w:t>
      </w:r>
      <w:r w:rsidR="008F0991">
        <w:rPr>
          <w:sz w:val="24"/>
        </w:rPr>
        <w:t xml:space="preserve">igh, </w:t>
      </w:r>
      <w:r w:rsidR="0092115C">
        <w:rPr>
          <w:sz w:val="24"/>
        </w:rPr>
        <w:t>or Flood</w:t>
      </w:r>
      <w:r w:rsidR="00C46965">
        <w:rPr>
          <w:sz w:val="24"/>
        </w:rPr>
        <w:t xml:space="preserve">) and </w:t>
      </w:r>
      <w:r w:rsidR="00C46965" w:rsidRPr="006B247C">
        <w:rPr>
          <w:b/>
          <w:sz w:val="24"/>
        </w:rPr>
        <w:t>Flow Category</w:t>
      </w:r>
      <w:r w:rsidR="00C46965">
        <w:rPr>
          <w:sz w:val="24"/>
        </w:rPr>
        <w:t xml:space="preserve"> (</w:t>
      </w:r>
      <w:r w:rsidR="0092115C">
        <w:rPr>
          <w:sz w:val="24"/>
        </w:rPr>
        <w:t>Base Flow</w:t>
      </w:r>
      <w:r w:rsidR="0092115C">
        <w:rPr>
          <w:sz w:val="24"/>
        </w:rPr>
        <w:t xml:space="preserve">, </w:t>
      </w:r>
      <w:r w:rsidR="00C46965">
        <w:rPr>
          <w:sz w:val="24"/>
        </w:rPr>
        <w:t>Freshet Flow or</w:t>
      </w:r>
      <w:r w:rsidR="0092115C">
        <w:rPr>
          <w:sz w:val="24"/>
        </w:rPr>
        <w:t xml:space="preserve"> </w:t>
      </w:r>
      <w:r w:rsidR="007B5D25">
        <w:rPr>
          <w:sz w:val="24"/>
        </w:rPr>
        <w:t>Hydro Flow</w:t>
      </w:r>
      <w:r w:rsidR="00C46965">
        <w:rPr>
          <w:sz w:val="24"/>
        </w:rPr>
        <w:t>)</w:t>
      </w:r>
      <w:r w:rsidR="00897A16">
        <w:rPr>
          <w:sz w:val="24"/>
        </w:rPr>
        <w:t xml:space="preserve"> for a given site on a given sample date</w:t>
      </w:r>
      <w:r w:rsidR="00FE4D08">
        <w:rPr>
          <w:sz w:val="24"/>
        </w:rPr>
        <w:t xml:space="preserve"> following VTDEC guidance (Attachment 1)</w:t>
      </w:r>
      <w:r w:rsidR="008F0991">
        <w:rPr>
          <w:sz w:val="24"/>
        </w:rPr>
        <w:t xml:space="preserve">. </w:t>
      </w:r>
      <w:r w:rsidR="00C46965">
        <w:rPr>
          <w:sz w:val="24"/>
        </w:rPr>
        <w:t xml:space="preserve"> </w:t>
      </w:r>
      <w:r w:rsidR="008F0991">
        <w:rPr>
          <w:sz w:val="24"/>
        </w:rPr>
        <w:t xml:space="preserve"> Data should be recorded at the time of sampling on </w:t>
      </w:r>
      <w:r w:rsidR="00024E31">
        <w:rPr>
          <w:sz w:val="24"/>
        </w:rPr>
        <w:t>a field data sheet</w:t>
      </w:r>
      <w:r w:rsidR="008F0991">
        <w:rPr>
          <w:sz w:val="24"/>
        </w:rPr>
        <w:t xml:space="preserve">.  </w:t>
      </w:r>
      <w:r>
        <w:rPr>
          <w:sz w:val="24"/>
        </w:rPr>
        <w:t>An example data sheet is included as A</w:t>
      </w:r>
      <w:r w:rsidR="006B247C">
        <w:rPr>
          <w:sz w:val="24"/>
        </w:rPr>
        <w:t>ttachment</w:t>
      </w:r>
      <w:r>
        <w:rPr>
          <w:sz w:val="24"/>
        </w:rPr>
        <w:t xml:space="preserve"> </w:t>
      </w:r>
      <w:r w:rsidR="006B247C">
        <w:rPr>
          <w:sz w:val="24"/>
        </w:rPr>
        <w:t>2</w:t>
      </w:r>
      <w:r>
        <w:rPr>
          <w:sz w:val="24"/>
        </w:rPr>
        <w:t xml:space="preserve">.  If no within-basin or nearby-basin flow gages are available, this field estimation </w:t>
      </w:r>
      <w:r w:rsidR="00FE4D08">
        <w:rPr>
          <w:sz w:val="24"/>
        </w:rPr>
        <w:t xml:space="preserve">of </w:t>
      </w:r>
      <w:r>
        <w:rPr>
          <w:sz w:val="24"/>
        </w:rPr>
        <w:t xml:space="preserve">Flow Level and Flow Category may be the only means of characterizing flow conditions.  This local site information may replace estimates of flow condition developed from nearby USGS streamflow gages, if site conditions identify that localized weather patterns have influenced flow conditions, or if the nearby gage for some other reason does not reflect characteristics at the site.  Therefore, </w:t>
      </w:r>
      <w:r w:rsidR="009F3D43">
        <w:rPr>
          <w:sz w:val="24"/>
        </w:rPr>
        <w:t>this local flow condition information is very valuable.</w:t>
      </w:r>
      <w:r w:rsidR="00C46965">
        <w:rPr>
          <w:sz w:val="24"/>
        </w:rPr>
        <w:t xml:space="preserve">  The following sections describe a few techniques that may be used to ensure that local flow information is reasonably accurate and representative.  </w:t>
      </w:r>
    </w:p>
    <w:p w14:paraId="129C0BCB" w14:textId="5F5C99EB" w:rsidR="00C46965" w:rsidRPr="007B5D25" w:rsidRDefault="00C46965" w:rsidP="00C46965">
      <w:pPr>
        <w:spacing w:after="240" w:line="276" w:lineRule="auto"/>
        <w:jc w:val="center"/>
        <w:rPr>
          <w:sz w:val="24"/>
          <w:u w:val="single"/>
        </w:rPr>
      </w:pPr>
      <w:r w:rsidRPr="007B5D25">
        <w:rPr>
          <w:sz w:val="24"/>
          <w:u w:val="single"/>
        </w:rPr>
        <w:t>Flow Level</w:t>
      </w:r>
    </w:p>
    <w:p w14:paraId="1E6E7C52" w14:textId="0C8C2E0C" w:rsidR="007613DC" w:rsidRDefault="00FD02E3" w:rsidP="007613DC">
      <w:pPr>
        <w:spacing w:line="276" w:lineRule="auto"/>
        <w:rPr>
          <w:sz w:val="24"/>
        </w:rPr>
      </w:pPr>
      <w:r>
        <w:rPr>
          <w:sz w:val="24"/>
        </w:rPr>
        <w:t xml:space="preserve">A field estimate of Flow Level can be challenging, and requires familiarity with the site under a variety of flow conditions.  The goal is to describe the flow through the cross-sectional area of the channel </w:t>
      </w:r>
      <w:r w:rsidR="00494633">
        <w:rPr>
          <w:sz w:val="24"/>
        </w:rPr>
        <w:t xml:space="preserve">at your specific site </w:t>
      </w:r>
      <w:r>
        <w:rPr>
          <w:sz w:val="24"/>
        </w:rPr>
        <w:t>in terms of a stage, or height, above the channel bed</w:t>
      </w:r>
      <w:r w:rsidR="00494633">
        <w:rPr>
          <w:sz w:val="24"/>
        </w:rPr>
        <w:t xml:space="preserve"> – relative to the full range of flows possible at that site.  </w:t>
      </w:r>
      <w:r w:rsidR="007613DC">
        <w:rPr>
          <w:sz w:val="24"/>
        </w:rPr>
        <w:t xml:space="preserve"> Pictures taken from the same reference point at several different times during different Flow Levels can provide a useful frame of reference to ensure continuity of discharge estimates over multiple years of sampling and across different volunteer samplers.  </w:t>
      </w:r>
      <w:r w:rsidR="004F01C2">
        <w:rPr>
          <w:sz w:val="24"/>
        </w:rPr>
        <w:t>For example, a</w:t>
      </w:r>
      <w:r w:rsidR="007613DC">
        <w:rPr>
          <w:sz w:val="24"/>
        </w:rPr>
        <w:t xml:space="preserve"> game camera programmed to take a picture at the same time daily for several months is likely to capture images that can later be related to a Low, Moderate or High flow stage, with reference to a nearby USGS gage.  Photos can then be selected from that record to generate a photo log similar to the one in Attachment 3.</w:t>
      </w:r>
    </w:p>
    <w:p w14:paraId="76C7EDB9" w14:textId="769F758C" w:rsidR="009F3D43" w:rsidRDefault="00C46965" w:rsidP="009C11B6">
      <w:pPr>
        <w:spacing w:after="240" w:line="276" w:lineRule="auto"/>
        <w:rPr>
          <w:sz w:val="24"/>
        </w:rPr>
      </w:pPr>
      <w:r>
        <w:rPr>
          <w:sz w:val="24"/>
        </w:rPr>
        <w:t>Groups</w:t>
      </w:r>
      <w:r w:rsidR="009F3D43">
        <w:rPr>
          <w:sz w:val="24"/>
        </w:rPr>
        <w:t xml:space="preserve"> may opt to install a staff gage </w:t>
      </w:r>
      <w:r w:rsidR="00FD02E3">
        <w:rPr>
          <w:sz w:val="24"/>
        </w:rPr>
        <w:t xml:space="preserve">(Figure 3a) </w:t>
      </w:r>
      <w:r w:rsidR="009F3D43">
        <w:rPr>
          <w:sz w:val="24"/>
        </w:rPr>
        <w:t xml:space="preserve">at an adjacent structure such as a bridge pier or culvert headwall, to provide a consistent reference point for measuring the fluctuating water </w:t>
      </w:r>
      <w:r w:rsidR="009F3D43">
        <w:rPr>
          <w:sz w:val="24"/>
        </w:rPr>
        <w:lastRenderedPageBreak/>
        <w:t>stage</w:t>
      </w:r>
      <w:r w:rsidR="00FE4D08">
        <w:rPr>
          <w:sz w:val="24"/>
        </w:rPr>
        <w:t xml:space="preserve"> at their sampling station</w:t>
      </w:r>
      <w:r w:rsidR="009F3D43">
        <w:rPr>
          <w:sz w:val="24"/>
        </w:rPr>
        <w:t>.</w:t>
      </w:r>
      <w:r w:rsidR="009F3D43">
        <w:rPr>
          <w:sz w:val="24"/>
        </w:rPr>
        <w:br/>
      </w:r>
      <w:r w:rsidR="00F37492">
        <w:rPr>
          <w:noProof/>
          <w:sz w:val="24"/>
        </w:rPr>
        <w:drawing>
          <wp:inline distT="0" distB="0" distL="0" distR="0" wp14:anchorId="5E6D71B8" wp14:editId="5F9055D2">
            <wp:extent cx="5943600" cy="19018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69E5.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901825"/>
                    </a:xfrm>
                    <a:prstGeom prst="rect">
                      <a:avLst/>
                    </a:prstGeom>
                  </pic:spPr>
                </pic:pic>
              </a:graphicData>
            </a:graphic>
          </wp:inline>
        </w:drawing>
      </w:r>
    </w:p>
    <w:p w14:paraId="0FA42331" w14:textId="6DC35B63" w:rsidR="007613DC" w:rsidRPr="007613DC" w:rsidRDefault="007613DC" w:rsidP="009C11B6">
      <w:pPr>
        <w:spacing w:after="240" w:line="276" w:lineRule="auto"/>
        <w:rPr>
          <w:i/>
        </w:rPr>
      </w:pPr>
      <w:proofErr w:type="gramStart"/>
      <w:r w:rsidRPr="007613DC">
        <w:rPr>
          <w:i/>
        </w:rPr>
        <w:t xml:space="preserve">Figure </w:t>
      </w:r>
      <w:r w:rsidR="00FD02E3">
        <w:rPr>
          <w:i/>
        </w:rPr>
        <w:t>3</w:t>
      </w:r>
      <w:r w:rsidRPr="007613DC">
        <w:rPr>
          <w:i/>
        </w:rPr>
        <w:t>.</w:t>
      </w:r>
      <w:proofErr w:type="gramEnd"/>
      <w:r w:rsidRPr="007613DC">
        <w:rPr>
          <w:i/>
        </w:rPr>
        <w:t xml:space="preserve">  Features at a site can be relied on to discriminate between Flow Levels – such as a staff gage (a) – and to infer Flow Condition – including water lines (a) and debris lines (b) that suggest falling stage.   </w:t>
      </w:r>
    </w:p>
    <w:p w14:paraId="69CB0E68" w14:textId="5389EF5D" w:rsidR="00C46965" w:rsidRDefault="00C46965" w:rsidP="008F0991">
      <w:pPr>
        <w:spacing w:line="276" w:lineRule="auto"/>
        <w:rPr>
          <w:sz w:val="24"/>
        </w:rPr>
      </w:pPr>
      <w:r>
        <w:rPr>
          <w:sz w:val="24"/>
        </w:rPr>
        <w:t xml:space="preserve">Low flow stages are readily recognizable, </w:t>
      </w:r>
      <w:r w:rsidR="00F37492">
        <w:rPr>
          <w:sz w:val="24"/>
        </w:rPr>
        <w:t>since</w:t>
      </w:r>
      <w:r>
        <w:rPr>
          <w:sz w:val="24"/>
        </w:rPr>
        <w:t xml:space="preserve"> much of the channel bed may be exposed above the water surface.  Flow velocities are low, </w:t>
      </w:r>
      <w:r w:rsidR="00FD02E3">
        <w:rPr>
          <w:sz w:val="24"/>
        </w:rPr>
        <w:t xml:space="preserve">water is </w:t>
      </w:r>
      <w:r w:rsidR="00494633">
        <w:rPr>
          <w:sz w:val="24"/>
        </w:rPr>
        <w:t xml:space="preserve">typically </w:t>
      </w:r>
      <w:r w:rsidR="00FD02E3">
        <w:rPr>
          <w:sz w:val="24"/>
        </w:rPr>
        <w:t xml:space="preserve">clear, and </w:t>
      </w:r>
      <w:r>
        <w:rPr>
          <w:sz w:val="24"/>
        </w:rPr>
        <w:t>the</w:t>
      </w:r>
      <w:r w:rsidR="00494633">
        <w:rPr>
          <w:sz w:val="24"/>
        </w:rPr>
        <w:t xml:space="preserve"> river is more easily </w:t>
      </w:r>
      <w:proofErr w:type="spellStart"/>
      <w:r w:rsidR="00494633">
        <w:rPr>
          <w:sz w:val="24"/>
        </w:rPr>
        <w:t>wadeable</w:t>
      </w:r>
      <w:proofErr w:type="spellEnd"/>
      <w:r w:rsidR="00494633">
        <w:rPr>
          <w:sz w:val="24"/>
        </w:rPr>
        <w:t xml:space="preserve">.  In </w:t>
      </w:r>
      <w:r>
        <w:rPr>
          <w:sz w:val="24"/>
        </w:rPr>
        <w:t>fact</w:t>
      </w:r>
      <w:r w:rsidR="00494633">
        <w:rPr>
          <w:sz w:val="24"/>
        </w:rPr>
        <w:t>,</w:t>
      </w:r>
      <w:r>
        <w:rPr>
          <w:sz w:val="24"/>
        </w:rPr>
        <w:t xml:space="preserve"> the sampling location may need to be shifted to access the deepest part of the channel for sampling.   </w:t>
      </w:r>
      <w:r w:rsidR="00FD02E3">
        <w:rPr>
          <w:sz w:val="24"/>
        </w:rPr>
        <w:t xml:space="preserve">Similarly, flood flows are obvious due to their association with large volumes </w:t>
      </w:r>
      <w:r w:rsidR="00494633">
        <w:rPr>
          <w:sz w:val="24"/>
        </w:rPr>
        <w:t>(</w:t>
      </w:r>
      <w:r w:rsidR="00FD02E3">
        <w:rPr>
          <w:sz w:val="24"/>
        </w:rPr>
        <w:t>and perhaps great intensity</w:t>
      </w:r>
      <w:r w:rsidR="00494633">
        <w:rPr>
          <w:sz w:val="24"/>
        </w:rPr>
        <w:t>)</w:t>
      </w:r>
      <w:r w:rsidR="00FD02E3">
        <w:rPr>
          <w:sz w:val="24"/>
        </w:rPr>
        <w:t xml:space="preserve"> of rain fall – sometimes coincident with snow melt.  Waters are typically turbid (muddy), swift-moving (unsafe for wading), and turbulent, and standing waves may be evident (Attachment 3).  </w:t>
      </w:r>
      <w:r>
        <w:rPr>
          <w:sz w:val="24"/>
        </w:rPr>
        <w:t xml:space="preserve">High </w:t>
      </w:r>
      <w:r w:rsidR="00FD02E3">
        <w:rPr>
          <w:sz w:val="24"/>
        </w:rPr>
        <w:t>versus</w:t>
      </w:r>
      <w:r>
        <w:rPr>
          <w:sz w:val="24"/>
        </w:rPr>
        <w:t xml:space="preserve"> Moderate flow levels may be more difficult to discern</w:t>
      </w:r>
      <w:r w:rsidR="00FD02E3">
        <w:rPr>
          <w:sz w:val="24"/>
        </w:rPr>
        <w:t xml:space="preserve"> at the time of sampling</w:t>
      </w:r>
      <w:r w:rsidR="003E3A9F">
        <w:rPr>
          <w:sz w:val="24"/>
        </w:rPr>
        <w:t>, since there is not always a substantial difference in flow stage between a High flow (that occurs less than 25% of the time) and a Moderate flow (that occurs between 25 and 75% of the time)</w:t>
      </w:r>
      <w:r>
        <w:rPr>
          <w:sz w:val="24"/>
        </w:rPr>
        <w:t xml:space="preserve">.  </w:t>
      </w:r>
      <w:r w:rsidR="00494633">
        <w:rPr>
          <w:sz w:val="24"/>
        </w:rPr>
        <w:t xml:space="preserve"> </w:t>
      </w:r>
      <w:r w:rsidR="00FA64CE">
        <w:rPr>
          <w:sz w:val="24"/>
        </w:rPr>
        <w:t>Multiple observations over a long term at a given site, and r</w:t>
      </w:r>
      <w:r w:rsidR="00F37492">
        <w:rPr>
          <w:sz w:val="24"/>
        </w:rPr>
        <w:t>elation of</w:t>
      </w:r>
      <w:r w:rsidR="00FA64CE">
        <w:rPr>
          <w:sz w:val="24"/>
        </w:rPr>
        <w:t xml:space="preserve"> flows to a nearby USGS gage (where available), will help to improve Flow Level estimates.  </w:t>
      </w:r>
    </w:p>
    <w:p w14:paraId="151C8953" w14:textId="77777777" w:rsidR="00FD02E3" w:rsidRPr="007B5D25" w:rsidRDefault="00FD02E3" w:rsidP="00FD02E3">
      <w:pPr>
        <w:spacing w:line="276" w:lineRule="auto"/>
        <w:jc w:val="center"/>
        <w:rPr>
          <w:sz w:val="24"/>
          <w:u w:val="single"/>
        </w:rPr>
      </w:pPr>
      <w:r w:rsidRPr="007B5D25">
        <w:rPr>
          <w:sz w:val="24"/>
          <w:u w:val="single"/>
        </w:rPr>
        <w:t xml:space="preserve">Flow </w:t>
      </w:r>
      <w:r>
        <w:rPr>
          <w:sz w:val="24"/>
          <w:u w:val="single"/>
        </w:rPr>
        <w:t>Category</w:t>
      </w:r>
    </w:p>
    <w:p w14:paraId="592DAE0D" w14:textId="5F32C255" w:rsidR="00F37492" w:rsidRDefault="00FA64CE" w:rsidP="00C46965">
      <w:pPr>
        <w:spacing w:after="240" w:line="276" w:lineRule="auto"/>
        <w:rPr>
          <w:sz w:val="24"/>
        </w:rPr>
      </w:pPr>
      <w:r w:rsidRPr="00FA64CE">
        <w:rPr>
          <w:sz w:val="24"/>
        </w:rPr>
        <w:t>Discharge at a site on the sample date should also be described in terms of a Flow Category from</w:t>
      </w:r>
      <w:r>
        <w:rPr>
          <w:sz w:val="24"/>
        </w:rPr>
        <w:t xml:space="preserve"> </w:t>
      </w:r>
      <w:r w:rsidRPr="00FA64CE">
        <w:rPr>
          <w:sz w:val="24"/>
        </w:rPr>
        <w:t>Base Flow</w:t>
      </w:r>
      <w:r>
        <w:rPr>
          <w:sz w:val="24"/>
        </w:rPr>
        <w:t xml:space="preserve"> to </w:t>
      </w:r>
      <w:r w:rsidRPr="00FA64CE">
        <w:rPr>
          <w:sz w:val="24"/>
        </w:rPr>
        <w:t>Freshet Flow or Hydro</w:t>
      </w:r>
      <w:r>
        <w:rPr>
          <w:sz w:val="24"/>
        </w:rPr>
        <w:t xml:space="preserve"> Flow</w:t>
      </w:r>
      <w:r>
        <w:rPr>
          <w:sz w:val="24"/>
        </w:rPr>
        <w:t>.  Hydro Flow only applies to those stream sites that are downstream from a dam where flows are regulated</w:t>
      </w:r>
      <w:r w:rsidR="00231DB3">
        <w:rPr>
          <w:sz w:val="24"/>
        </w:rPr>
        <w:t xml:space="preserve"> for production of hydropower</w:t>
      </w:r>
      <w:r>
        <w:rPr>
          <w:sz w:val="24"/>
        </w:rPr>
        <w:t>.  Local knowledge, or reference to the VTANR Natural Resource Atlas</w:t>
      </w:r>
      <w:r w:rsidR="00231DB3">
        <w:rPr>
          <w:sz w:val="24"/>
        </w:rPr>
        <w:t>,</w:t>
      </w:r>
      <w:r>
        <w:rPr>
          <w:sz w:val="24"/>
        </w:rPr>
        <w:t xml:space="preserve"> will identify if a hydro dam is located above your station (Attachment 1).  Discharge that is increasing or decreasing in response to a planned release from the upstream dam (and not resulting from</w:t>
      </w:r>
      <w:r w:rsidR="00231DB3">
        <w:rPr>
          <w:sz w:val="24"/>
        </w:rPr>
        <w:t xml:space="preserve"> precipitation or snowmelt) is</w:t>
      </w:r>
      <w:r>
        <w:rPr>
          <w:sz w:val="24"/>
        </w:rPr>
        <w:t xml:space="preserve"> categorized as a Hydro Flow.   Otherwise, discharge will be classified as either </w:t>
      </w:r>
      <w:r w:rsidR="00F37492">
        <w:rPr>
          <w:sz w:val="24"/>
        </w:rPr>
        <w:t>Freshet Flow</w:t>
      </w:r>
      <w:r w:rsidR="00F37492">
        <w:rPr>
          <w:sz w:val="24"/>
        </w:rPr>
        <w:t xml:space="preserve"> (significantly rising or falling in response to a rainfall or snowmelt event) or </w:t>
      </w:r>
      <w:r>
        <w:rPr>
          <w:sz w:val="24"/>
        </w:rPr>
        <w:t>Base Flow</w:t>
      </w:r>
      <w:r w:rsidR="00F37492">
        <w:rPr>
          <w:sz w:val="24"/>
        </w:rPr>
        <w:t xml:space="preserve"> (not significantly rising or falling)</w:t>
      </w:r>
      <w:r>
        <w:rPr>
          <w:sz w:val="24"/>
        </w:rPr>
        <w:t xml:space="preserve">.   </w:t>
      </w:r>
    </w:p>
    <w:p w14:paraId="4A3ADC78" w14:textId="67A7CB5B" w:rsidR="00C46965" w:rsidRDefault="00D7545C" w:rsidP="00C46965">
      <w:pPr>
        <w:spacing w:after="240" w:line="276" w:lineRule="auto"/>
        <w:rPr>
          <w:sz w:val="24"/>
        </w:rPr>
      </w:pPr>
      <w:r>
        <w:rPr>
          <w:sz w:val="24"/>
        </w:rPr>
        <w:lastRenderedPageBreak/>
        <w:t>Careful observation of</w:t>
      </w:r>
      <w:r w:rsidR="00C46965">
        <w:rPr>
          <w:sz w:val="24"/>
        </w:rPr>
        <w:t xml:space="preserve"> the </w:t>
      </w:r>
      <w:r>
        <w:rPr>
          <w:sz w:val="24"/>
        </w:rPr>
        <w:t>streamside</w:t>
      </w:r>
      <w:r w:rsidR="00C46965">
        <w:rPr>
          <w:sz w:val="24"/>
        </w:rPr>
        <w:t xml:space="preserve"> vegetation, boulders, or bridge crossing </w:t>
      </w:r>
      <w:r>
        <w:rPr>
          <w:sz w:val="24"/>
        </w:rPr>
        <w:t>can reveal</w:t>
      </w:r>
      <w:r w:rsidR="00C46965">
        <w:rPr>
          <w:sz w:val="24"/>
        </w:rPr>
        <w:t xml:space="preserve"> a fluctuating water stage.  Matted streamside vegetation, debris marking a recent high water line</w:t>
      </w:r>
      <w:r w:rsidR="00F37492">
        <w:rPr>
          <w:sz w:val="24"/>
        </w:rPr>
        <w:t xml:space="preserve"> (Figure 1b)</w:t>
      </w:r>
      <w:r w:rsidR="00C46965">
        <w:rPr>
          <w:sz w:val="24"/>
        </w:rPr>
        <w:t>, or saturation lines on boulders</w:t>
      </w:r>
      <w:r w:rsidR="00231DB3">
        <w:rPr>
          <w:sz w:val="24"/>
        </w:rPr>
        <w:t xml:space="preserve"> (Figure 1a)</w:t>
      </w:r>
      <w:r w:rsidR="00C46965">
        <w:rPr>
          <w:sz w:val="24"/>
        </w:rPr>
        <w:t xml:space="preserve"> or bridge piers may suggest that water levels were recently higher than at the time of sampling</w:t>
      </w:r>
      <w:r w:rsidR="00FE4D08">
        <w:rPr>
          <w:sz w:val="24"/>
        </w:rPr>
        <w:t xml:space="preserve"> (i.e., a falling stage)</w:t>
      </w:r>
      <w:r w:rsidR="00C46965">
        <w:rPr>
          <w:sz w:val="24"/>
        </w:rPr>
        <w:t>.  Similarly, a rising water</w:t>
      </w:r>
      <w:r>
        <w:rPr>
          <w:sz w:val="24"/>
        </w:rPr>
        <w:t xml:space="preserve"> level can be identified where</w:t>
      </w:r>
      <w:r w:rsidR="00C46965">
        <w:rPr>
          <w:sz w:val="24"/>
        </w:rPr>
        <w:t xml:space="preserve"> features become progressively submerged during the time it takes to collect the sample.  Often water is muddy (or</w:t>
      </w:r>
      <w:r w:rsidR="00F37492">
        <w:rPr>
          <w:sz w:val="24"/>
        </w:rPr>
        <w:t xml:space="preserve"> “turbid”) and opaque during a Freshet F</w:t>
      </w:r>
      <w:r w:rsidR="00C46965">
        <w:rPr>
          <w:sz w:val="24"/>
        </w:rPr>
        <w:t xml:space="preserve">low, especially when water levels are on the rise or just past peak flows.  This information, combined with samplers’ observations of precipitation on the sample date or within the previous day(s), can be combined to suggest that water levels are declining (or still rising) significantly in response to a recent rain event, suggesting Freshet Flow conditions.  </w:t>
      </w:r>
    </w:p>
    <w:p w14:paraId="394FEC0A" w14:textId="1F72DC95" w:rsidR="00231DB3" w:rsidRDefault="00231DB3" w:rsidP="00C46965">
      <w:pPr>
        <w:spacing w:after="240" w:line="276" w:lineRule="auto"/>
        <w:rPr>
          <w:sz w:val="24"/>
        </w:rPr>
      </w:pPr>
      <w:r>
        <w:rPr>
          <w:sz w:val="24"/>
        </w:rPr>
        <w:t>For sites well represented by a nearby USGS streamflow gage, the gaging record can be observed after the fact to confirm Freshet versus Base Flow conditions</w:t>
      </w:r>
      <w:r w:rsidR="004F01C2">
        <w:rPr>
          <w:sz w:val="24"/>
        </w:rPr>
        <w:t xml:space="preserve">.  </w:t>
      </w:r>
      <w:r w:rsidR="00D7545C">
        <w:rPr>
          <w:sz w:val="24"/>
        </w:rPr>
        <w:t>For example, t</w:t>
      </w:r>
      <w:r w:rsidR="004F01C2">
        <w:rPr>
          <w:sz w:val="24"/>
        </w:rPr>
        <w:t xml:space="preserve">he hydrograph </w:t>
      </w:r>
      <w:proofErr w:type="gramStart"/>
      <w:r w:rsidR="004F01C2">
        <w:rPr>
          <w:sz w:val="24"/>
        </w:rPr>
        <w:t xml:space="preserve">in  </w:t>
      </w:r>
      <w:r>
        <w:rPr>
          <w:sz w:val="24"/>
        </w:rPr>
        <w:t>Figure</w:t>
      </w:r>
      <w:proofErr w:type="gramEnd"/>
      <w:r>
        <w:rPr>
          <w:sz w:val="24"/>
        </w:rPr>
        <w:t xml:space="preserve"> </w:t>
      </w:r>
      <w:r w:rsidR="004F01C2">
        <w:rPr>
          <w:sz w:val="24"/>
        </w:rPr>
        <w:t>4 displays the discharge over time for the gaging site on the New Haven River</w:t>
      </w:r>
      <w:r>
        <w:rPr>
          <w:sz w:val="24"/>
        </w:rPr>
        <w:t>.</w:t>
      </w:r>
      <w:r w:rsidR="004F01C2">
        <w:rPr>
          <w:sz w:val="24"/>
        </w:rPr>
        <w:t xml:space="preserve">  Freshet Flows are characterized by a steep rise to a peak, followed by a more gradual decline.  Generally speaking, Base Flow conditions begin where the discharge values return to pre-storm levels (although the hydrograph can be much more complicated (and Base Flow harder to define) if multiple storm events occur one after the other).</w:t>
      </w:r>
    </w:p>
    <w:p w14:paraId="2ECCA59C" w14:textId="47F0EBED" w:rsidR="00FA67F8" w:rsidRDefault="00FA67F8" w:rsidP="008F0991">
      <w:pPr>
        <w:spacing w:line="276" w:lineRule="auto"/>
        <w:rPr>
          <w:color w:val="FF0000"/>
          <w:sz w:val="24"/>
        </w:rPr>
      </w:pPr>
      <w:r>
        <w:rPr>
          <w:noProof/>
          <w:color w:val="FF0000"/>
          <w:sz w:val="24"/>
        </w:rPr>
        <w:drawing>
          <wp:inline distT="0" distB="0" distL="0" distR="0" wp14:anchorId="0097B273" wp14:editId="0D62674A">
            <wp:extent cx="5943600" cy="3444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9AA8.tmp"/>
                    <pic:cNvPicPr/>
                  </pic:nvPicPr>
                  <pic:blipFill rotWithShape="1">
                    <a:blip r:embed="rId14">
                      <a:extLst>
                        <a:ext uri="{28A0092B-C50C-407E-A947-70E740481C1C}">
                          <a14:useLocalDpi xmlns:a14="http://schemas.microsoft.com/office/drawing/2010/main" val="0"/>
                        </a:ext>
                      </a:extLst>
                    </a:blip>
                    <a:srcRect t="2691"/>
                    <a:stretch/>
                  </pic:blipFill>
                  <pic:spPr bwMode="auto">
                    <a:xfrm>
                      <a:off x="0" y="0"/>
                      <a:ext cx="5943600" cy="3444875"/>
                    </a:xfrm>
                    <a:prstGeom prst="rect">
                      <a:avLst/>
                    </a:prstGeom>
                    <a:ln>
                      <a:noFill/>
                    </a:ln>
                    <a:extLst>
                      <a:ext uri="{53640926-AAD7-44D8-BBD7-CCE9431645EC}">
                        <a14:shadowObscured xmlns:a14="http://schemas.microsoft.com/office/drawing/2010/main"/>
                      </a:ext>
                    </a:extLst>
                  </pic:spPr>
                </pic:pic>
              </a:graphicData>
            </a:graphic>
          </wp:inline>
        </w:drawing>
      </w:r>
    </w:p>
    <w:p w14:paraId="132148C5" w14:textId="488C4AEA" w:rsidR="00231DB3" w:rsidRPr="00231DB3" w:rsidRDefault="00231DB3" w:rsidP="00231DB3">
      <w:pPr>
        <w:spacing w:line="276" w:lineRule="auto"/>
        <w:ind w:left="360"/>
        <w:rPr>
          <w:i/>
        </w:rPr>
      </w:pPr>
      <w:proofErr w:type="gramStart"/>
      <w:r w:rsidRPr="00231DB3">
        <w:rPr>
          <w:i/>
        </w:rPr>
        <w:t>Figure 4.</w:t>
      </w:r>
      <w:proofErr w:type="gramEnd"/>
      <w:r w:rsidRPr="00231DB3">
        <w:rPr>
          <w:i/>
        </w:rPr>
        <w:t xml:space="preserve">  </w:t>
      </w:r>
      <w:proofErr w:type="gramStart"/>
      <w:r w:rsidRPr="00231DB3">
        <w:rPr>
          <w:i/>
        </w:rPr>
        <w:t>Instantaneous discharge record for the New Haven River (Station #04282525) and distinction between Freshet Flow and Base Flow conditions.</w:t>
      </w:r>
      <w:proofErr w:type="gramEnd"/>
    </w:p>
    <w:p w14:paraId="6CE35097" w14:textId="64762917" w:rsidR="00FA67F8" w:rsidRPr="009511B9" w:rsidRDefault="00F37492" w:rsidP="008F0991">
      <w:pPr>
        <w:spacing w:line="276" w:lineRule="auto"/>
        <w:rPr>
          <w:sz w:val="24"/>
        </w:rPr>
      </w:pPr>
      <w:r w:rsidRPr="009511B9">
        <w:rPr>
          <w:sz w:val="24"/>
        </w:rPr>
        <w:lastRenderedPageBreak/>
        <w:t>Base</w:t>
      </w:r>
      <w:r w:rsidR="009511B9" w:rsidRPr="009511B9">
        <w:rPr>
          <w:sz w:val="24"/>
        </w:rPr>
        <w:t xml:space="preserve"> F</w:t>
      </w:r>
      <w:r w:rsidRPr="009511B9">
        <w:rPr>
          <w:sz w:val="24"/>
        </w:rPr>
        <w:t>low</w:t>
      </w:r>
      <w:r w:rsidR="009511B9" w:rsidRPr="009511B9">
        <w:rPr>
          <w:sz w:val="24"/>
        </w:rPr>
        <w:t xml:space="preserve"> conditions represent</w:t>
      </w:r>
      <w:r w:rsidRPr="009511B9">
        <w:rPr>
          <w:sz w:val="24"/>
        </w:rPr>
        <w:t xml:space="preserve"> a time when the great majority of water flowing in the river is being supplied by ground</w:t>
      </w:r>
      <w:r w:rsidR="009511B9" w:rsidRPr="009511B9">
        <w:rPr>
          <w:sz w:val="24"/>
        </w:rPr>
        <w:t>water (through subsurface flow paths), a</w:t>
      </w:r>
      <w:r w:rsidRPr="009511B9">
        <w:rPr>
          <w:sz w:val="24"/>
        </w:rPr>
        <w:t xml:space="preserve">nd there is no appreciable increase or decrease in water level over </w:t>
      </w:r>
      <w:r w:rsidR="009511B9" w:rsidRPr="009511B9">
        <w:rPr>
          <w:sz w:val="24"/>
        </w:rPr>
        <w:t>several</w:t>
      </w:r>
      <w:r w:rsidRPr="009511B9">
        <w:rPr>
          <w:sz w:val="24"/>
        </w:rPr>
        <w:t xml:space="preserve"> hours.  </w:t>
      </w:r>
      <w:r w:rsidR="00FA67F8" w:rsidRPr="009511B9">
        <w:rPr>
          <w:sz w:val="24"/>
        </w:rPr>
        <w:t xml:space="preserve">Some rivers exhibit a pattern of </w:t>
      </w:r>
      <w:r w:rsidR="004F01C2">
        <w:rPr>
          <w:sz w:val="24"/>
        </w:rPr>
        <w:t xml:space="preserve">small </w:t>
      </w:r>
      <w:r w:rsidR="00FA67F8" w:rsidRPr="009511B9">
        <w:rPr>
          <w:sz w:val="24"/>
        </w:rPr>
        <w:t>daily fluctuations in water stage – especially noticeable at base</w:t>
      </w:r>
      <w:r w:rsidR="00D7545C">
        <w:rPr>
          <w:sz w:val="24"/>
        </w:rPr>
        <w:t>-</w:t>
      </w:r>
      <w:r w:rsidR="00FA67F8" w:rsidRPr="009511B9">
        <w:rPr>
          <w:sz w:val="24"/>
        </w:rPr>
        <w:t xml:space="preserve">flow </w:t>
      </w:r>
      <w:r w:rsidR="00D7545C">
        <w:rPr>
          <w:sz w:val="24"/>
        </w:rPr>
        <w:t>conditions</w:t>
      </w:r>
      <w:r w:rsidR="00FA67F8" w:rsidRPr="009511B9">
        <w:rPr>
          <w:sz w:val="24"/>
        </w:rPr>
        <w:t>.  This pattern</w:t>
      </w:r>
      <w:r w:rsidRPr="009511B9">
        <w:rPr>
          <w:sz w:val="24"/>
        </w:rPr>
        <w:t xml:space="preserve"> – called </w:t>
      </w:r>
      <w:r w:rsidR="004F01C2">
        <w:rPr>
          <w:sz w:val="24"/>
        </w:rPr>
        <w:t>“</w:t>
      </w:r>
      <w:r w:rsidRPr="009511B9">
        <w:rPr>
          <w:sz w:val="24"/>
        </w:rPr>
        <w:t>diurnal fluctuation</w:t>
      </w:r>
      <w:r w:rsidR="004F01C2">
        <w:rPr>
          <w:sz w:val="24"/>
        </w:rPr>
        <w:t>”</w:t>
      </w:r>
      <w:r w:rsidRPr="009511B9">
        <w:rPr>
          <w:sz w:val="24"/>
        </w:rPr>
        <w:t xml:space="preserve"> </w:t>
      </w:r>
      <w:proofErr w:type="gramStart"/>
      <w:r w:rsidRPr="009511B9">
        <w:rPr>
          <w:sz w:val="24"/>
        </w:rPr>
        <w:t xml:space="preserve">- </w:t>
      </w:r>
      <w:r w:rsidR="00FA67F8" w:rsidRPr="009511B9">
        <w:rPr>
          <w:sz w:val="24"/>
        </w:rPr>
        <w:t xml:space="preserve"> can</w:t>
      </w:r>
      <w:proofErr w:type="gramEnd"/>
      <w:r w:rsidR="00FA67F8" w:rsidRPr="009511B9">
        <w:rPr>
          <w:sz w:val="24"/>
        </w:rPr>
        <w:t xml:space="preserve"> be due to daily cycles of heating and evapotranspiration from wetlands and instream reservoirs.   This daily cycling usually accounts for a small change in water level and can be ignored in the determination of Flow Category (e.g., </w:t>
      </w:r>
      <w:r w:rsidR="00231DB3" w:rsidRPr="009511B9">
        <w:rPr>
          <w:sz w:val="24"/>
        </w:rPr>
        <w:t>Figure 5).</w:t>
      </w:r>
    </w:p>
    <w:p w14:paraId="5A7DBB14" w14:textId="21D9D0B1" w:rsidR="00FA67F8" w:rsidRPr="00FA67F8" w:rsidRDefault="00FA67F8" w:rsidP="008F0991">
      <w:pPr>
        <w:spacing w:line="276" w:lineRule="auto"/>
        <w:rPr>
          <w:color w:val="FF0000"/>
          <w:sz w:val="24"/>
        </w:rPr>
      </w:pPr>
      <w:r>
        <w:rPr>
          <w:noProof/>
          <w:color w:val="FF0000"/>
          <w:sz w:val="24"/>
        </w:rPr>
        <w:drawing>
          <wp:inline distT="0" distB="0" distL="0" distR="0" wp14:anchorId="3C27D28B" wp14:editId="5EC4F9D5">
            <wp:extent cx="5887272" cy="4115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9750.tmp"/>
                    <pic:cNvPicPr/>
                  </pic:nvPicPr>
                  <pic:blipFill>
                    <a:blip r:embed="rId15">
                      <a:extLst>
                        <a:ext uri="{28A0092B-C50C-407E-A947-70E740481C1C}">
                          <a14:useLocalDpi xmlns:a14="http://schemas.microsoft.com/office/drawing/2010/main" val="0"/>
                        </a:ext>
                      </a:extLst>
                    </a:blip>
                    <a:stretch>
                      <a:fillRect/>
                    </a:stretch>
                  </pic:blipFill>
                  <pic:spPr>
                    <a:xfrm>
                      <a:off x="0" y="0"/>
                      <a:ext cx="5887272" cy="4115375"/>
                    </a:xfrm>
                    <a:prstGeom prst="rect">
                      <a:avLst/>
                    </a:prstGeom>
                  </pic:spPr>
                </pic:pic>
              </a:graphicData>
            </a:graphic>
          </wp:inline>
        </w:drawing>
      </w:r>
    </w:p>
    <w:p w14:paraId="5057E1BA" w14:textId="3028E3B5" w:rsidR="00231DB3" w:rsidRPr="00231DB3" w:rsidRDefault="00231DB3" w:rsidP="00231DB3">
      <w:pPr>
        <w:spacing w:line="276" w:lineRule="auto"/>
        <w:ind w:left="450"/>
        <w:rPr>
          <w:i/>
        </w:rPr>
      </w:pPr>
      <w:proofErr w:type="gramStart"/>
      <w:r w:rsidRPr="00231DB3">
        <w:rPr>
          <w:i/>
        </w:rPr>
        <w:t>Figure 5.</w:t>
      </w:r>
      <w:proofErr w:type="gramEnd"/>
      <w:r w:rsidRPr="00231DB3">
        <w:rPr>
          <w:i/>
        </w:rPr>
        <w:t xml:space="preserve">  Instantaneous discharge on the Little Otter Creek during August of 2017 exhibited small daily fluctuations in discharge </w:t>
      </w:r>
      <w:r w:rsidR="004F01C2">
        <w:rPr>
          <w:i/>
        </w:rPr>
        <w:t xml:space="preserve">during Base Flow conditions </w:t>
      </w:r>
      <w:r w:rsidRPr="00231DB3">
        <w:rPr>
          <w:i/>
        </w:rPr>
        <w:t xml:space="preserve">due to temperature changes that drove evapotranspiration rates. </w:t>
      </w:r>
    </w:p>
    <w:p w14:paraId="45EBA087" w14:textId="77777777" w:rsidR="00D7545C" w:rsidRDefault="00D7545C" w:rsidP="00D7545C"/>
    <w:p w14:paraId="17B7A776" w14:textId="77777777" w:rsidR="00341B64" w:rsidRPr="00341B64" w:rsidRDefault="00341B64" w:rsidP="00341B64">
      <w:pPr>
        <w:pStyle w:val="Heading1"/>
      </w:pPr>
      <w:bookmarkStart w:id="7" w:name="_Toc497229475"/>
      <w:r>
        <w:t>3.0</w:t>
      </w:r>
      <w:r>
        <w:tab/>
      </w:r>
      <w:r w:rsidRPr="00341B64">
        <w:t>Qualitative Load</w:t>
      </w:r>
      <w:r w:rsidR="00E66256">
        <w:t>ing</w:t>
      </w:r>
      <w:r w:rsidRPr="00341B64">
        <w:t xml:space="preserve"> Estimates</w:t>
      </w:r>
      <w:bookmarkEnd w:id="7"/>
    </w:p>
    <w:p w14:paraId="46316C3D" w14:textId="1BEBED80" w:rsidR="00356A37" w:rsidRPr="007613DC" w:rsidRDefault="00A420BD" w:rsidP="00D26C98">
      <w:pPr>
        <w:spacing w:line="276" w:lineRule="auto"/>
        <w:rPr>
          <w:color w:val="FF0000"/>
          <w:sz w:val="24"/>
        </w:rPr>
      </w:pPr>
      <w:r>
        <w:rPr>
          <w:sz w:val="24"/>
        </w:rPr>
        <w:t>Whether relying on USGS streamflow gaging data or field-based estimates, the a</w:t>
      </w:r>
      <w:r w:rsidR="000C2C27">
        <w:rPr>
          <w:sz w:val="24"/>
        </w:rPr>
        <w:t>ssign</w:t>
      </w:r>
      <w:r>
        <w:rPr>
          <w:sz w:val="24"/>
        </w:rPr>
        <w:t xml:space="preserve">ment of </w:t>
      </w:r>
      <w:r w:rsidR="00D7545C">
        <w:rPr>
          <w:sz w:val="24"/>
        </w:rPr>
        <w:t>F</w:t>
      </w:r>
      <w:r>
        <w:rPr>
          <w:sz w:val="24"/>
        </w:rPr>
        <w:t xml:space="preserve">low </w:t>
      </w:r>
      <w:r w:rsidR="00D7545C">
        <w:rPr>
          <w:sz w:val="24"/>
        </w:rPr>
        <w:t>L</w:t>
      </w:r>
      <w:r>
        <w:rPr>
          <w:sz w:val="24"/>
        </w:rPr>
        <w:t>evel for</w:t>
      </w:r>
      <w:r w:rsidR="00024E31">
        <w:rPr>
          <w:sz w:val="24"/>
        </w:rPr>
        <w:t xml:space="preserve"> each sample date </w:t>
      </w:r>
      <w:r w:rsidR="000C2C27">
        <w:rPr>
          <w:sz w:val="24"/>
        </w:rPr>
        <w:t>allows for certain qualitative loading estimates to be made.</w:t>
      </w:r>
      <w:r w:rsidR="003C431F">
        <w:rPr>
          <w:sz w:val="24"/>
        </w:rPr>
        <w:t xml:space="preserve">  </w:t>
      </w:r>
      <w:r w:rsidR="00FE4D08" w:rsidRPr="003C4906">
        <w:rPr>
          <w:sz w:val="24"/>
        </w:rPr>
        <w:t>In most cases, concentration data can serve as a meaningful proxy for load</w:t>
      </w:r>
      <w:r w:rsidR="00FE4D08">
        <w:rPr>
          <w:sz w:val="24"/>
        </w:rPr>
        <w:t>ing</w:t>
      </w:r>
      <w:r w:rsidR="00FE4D08" w:rsidRPr="003C4906">
        <w:rPr>
          <w:sz w:val="24"/>
        </w:rPr>
        <w:t xml:space="preserve">.  </w:t>
      </w:r>
      <w:r w:rsidR="00FE4D08">
        <w:rPr>
          <w:sz w:val="24"/>
        </w:rPr>
        <w:t xml:space="preserve"> </w:t>
      </w:r>
      <w:r w:rsidR="003C431F">
        <w:rPr>
          <w:sz w:val="24"/>
        </w:rPr>
        <w:t xml:space="preserve">Data can be subset by flow level – separating </w:t>
      </w:r>
      <w:r w:rsidR="00FE4D08">
        <w:rPr>
          <w:sz w:val="24"/>
        </w:rPr>
        <w:t>low-flow/ base-flow events</w:t>
      </w:r>
      <w:r w:rsidR="003C431F">
        <w:rPr>
          <w:sz w:val="24"/>
        </w:rPr>
        <w:t xml:space="preserve"> from moderate </w:t>
      </w:r>
      <w:r w:rsidR="00FE4D08">
        <w:rPr>
          <w:sz w:val="24"/>
        </w:rPr>
        <w:t>to high flow/ freshet conditions</w:t>
      </w:r>
      <w:r w:rsidR="003C431F">
        <w:rPr>
          <w:sz w:val="24"/>
        </w:rPr>
        <w:t xml:space="preserve"> – to reveal patterns in pollutant transport under these different conditions. </w:t>
      </w:r>
    </w:p>
    <w:p w14:paraId="71123AD2" w14:textId="62B4586E" w:rsidR="00537C63" w:rsidRDefault="00F377C3" w:rsidP="00341B64">
      <w:pPr>
        <w:pStyle w:val="Heading2"/>
      </w:pPr>
      <w:bookmarkStart w:id="8" w:name="_Toc497229476"/>
      <w:r>
        <w:lastRenderedPageBreak/>
        <w:t>3.1</w:t>
      </w:r>
      <w:r w:rsidR="00341B64">
        <w:tab/>
      </w:r>
      <w:r>
        <w:t>Base</w:t>
      </w:r>
      <w:r w:rsidR="00887BDF">
        <w:t>-</w:t>
      </w:r>
      <w:r>
        <w:t xml:space="preserve">flow </w:t>
      </w:r>
      <w:r w:rsidR="006216E0">
        <w:t>“Hot Spots”</w:t>
      </w:r>
      <w:bookmarkEnd w:id="8"/>
      <w:r w:rsidR="006216E0">
        <w:t xml:space="preserve"> </w:t>
      </w:r>
    </w:p>
    <w:p w14:paraId="602CFE94" w14:textId="368C1EAD" w:rsidR="00222D3B" w:rsidRDefault="003C4906" w:rsidP="00E037D6">
      <w:pPr>
        <w:spacing w:line="276" w:lineRule="auto"/>
        <w:rPr>
          <w:rFonts w:ascii="Calibri" w:hAnsi="Calibri" w:cs="Tunga"/>
          <w:sz w:val="24"/>
        </w:rPr>
      </w:pPr>
      <w:r w:rsidRPr="003C4906">
        <w:rPr>
          <w:sz w:val="24"/>
        </w:rPr>
        <w:t xml:space="preserve">For example, Figure </w:t>
      </w:r>
      <w:r w:rsidR="00D7545C">
        <w:rPr>
          <w:sz w:val="24"/>
        </w:rPr>
        <w:t>6</w:t>
      </w:r>
      <w:r w:rsidR="000257BA">
        <w:rPr>
          <w:sz w:val="24"/>
        </w:rPr>
        <w:t xml:space="preserve"> illustrates </w:t>
      </w:r>
      <w:r w:rsidRPr="003C4906">
        <w:rPr>
          <w:sz w:val="24"/>
        </w:rPr>
        <w:t>stations sampled on the New Haven River and tributaries</w:t>
      </w:r>
      <w:r w:rsidR="007B5D25">
        <w:rPr>
          <w:sz w:val="24"/>
        </w:rPr>
        <w:t xml:space="preserve"> during base-flow conditions</w:t>
      </w:r>
      <w:r w:rsidR="000257BA">
        <w:rPr>
          <w:sz w:val="24"/>
        </w:rPr>
        <w:t xml:space="preserve"> in </w:t>
      </w:r>
      <w:r w:rsidR="000257BA" w:rsidRPr="003C4906">
        <w:rPr>
          <w:sz w:val="24"/>
        </w:rPr>
        <w:t>2016</w:t>
      </w:r>
      <w:r w:rsidRPr="003C4906">
        <w:rPr>
          <w:sz w:val="24"/>
        </w:rPr>
        <w:t xml:space="preserve">.  </w:t>
      </w:r>
      <w:r w:rsidR="00E037D6">
        <w:rPr>
          <w:sz w:val="24"/>
        </w:rPr>
        <w:t xml:space="preserve">According to the Vermont Water Quality Standards (VWMD, 2016), </w:t>
      </w:r>
      <w:r w:rsidR="00E037D6">
        <w:rPr>
          <w:rFonts w:ascii="Calibri" w:hAnsi="Calibri" w:cs="Tunga"/>
          <w:sz w:val="24"/>
        </w:rPr>
        <w:t>t</w:t>
      </w:r>
      <w:r w:rsidR="00E037D6" w:rsidRPr="00E037D6">
        <w:rPr>
          <w:rFonts w:ascii="Calibri" w:hAnsi="Calibri" w:cs="Tunga"/>
          <w:sz w:val="24"/>
        </w:rPr>
        <w:t xml:space="preserve">he instream phosphorus criterion of 27 µg/L for warm-water medium gradient </w:t>
      </w:r>
      <w:proofErr w:type="spellStart"/>
      <w:r w:rsidR="00E037D6" w:rsidRPr="00E037D6">
        <w:rPr>
          <w:rFonts w:ascii="Calibri" w:hAnsi="Calibri" w:cs="Tunga"/>
          <w:sz w:val="24"/>
        </w:rPr>
        <w:t>wadeable</w:t>
      </w:r>
      <w:proofErr w:type="spellEnd"/>
      <w:r w:rsidR="00E037D6" w:rsidRPr="00E037D6">
        <w:rPr>
          <w:rFonts w:ascii="Calibri" w:hAnsi="Calibri" w:cs="Tunga"/>
          <w:sz w:val="24"/>
        </w:rPr>
        <w:t xml:space="preserve"> stream ecotypes in Class B waters is applicable only </w:t>
      </w:r>
      <w:r w:rsidR="00E037D6" w:rsidRPr="00E037D6">
        <w:rPr>
          <w:rFonts w:ascii="Calibri" w:hAnsi="Calibri"/>
          <w:sz w:val="24"/>
        </w:rPr>
        <w:t>at low median monthly flow during</w:t>
      </w:r>
      <w:r w:rsidR="00E037D6">
        <w:rPr>
          <w:rFonts w:ascii="Calibri" w:hAnsi="Calibri"/>
          <w:sz w:val="24"/>
        </w:rPr>
        <w:t xml:space="preserve"> the months of</w:t>
      </w:r>
      <w:r w:rsidR="00E037D6" w:rsidRPr="00E037D6">
        <w:rPr>
          <w:rFonts w:ascii="Calibri" w:hAnsi="Calibri"/>
          <w:sz w:val="24"/>
        </w:rPr>
        <w:t xml:space="preserve"> June through October</w:t>
      </w:r>
      <w:r w:rsidR="00E037D6" w:rsidRPr="00E037D6">
        <w:rPr>
          <w:rFonts w:ascii="Calibri" w:hAnsi="Calibri" w:cs="Tunga"/>
          <w:sz w:val="24"/>
        </w:rPr>
        <w:t>.  Based on gaging records from the New Haven River at Brooksville, flows were below the low median monthly flow on the July, Augus</w:t>
      </w:r>
      <w:r w:rsidR="00E037D6">
        <w:rPr>
          <w:rFonts w:ascii="Calibri" w:hAnsi="Calibri" w:cs="Tunga"/>
          <w:sz w:val="24"/>
        </w:rPr>
        <w:t xml:space="preserve">t, and September sample dates, Therefore, </w:t>
      </w:r>
      <w:r w:rsidR="00E037D6" w:rsidRPr="003C4906">
        <w:rPr>
          <w:sz w:val="24"/>
        </w:rPr>
        <w:t xml:space="preserve">Total Phosphorus </w:t>
      </w:r>
      <w:r w:rsidR="00E037D6">
        <w:rPr>
          <w:sz w:val="24"/>
        </w:rPr>
        <w:t>(</w:t>
      </w:r>
      <w:r w:rsidR="00E037D6">
        <w:rPr>
          <w:rFonts w:ascii="Calibri" w:hAnsi="Calibri" w:cs="Tunga"/>
          <w:sz w:val="24"/>
        </w:rPr>
        <w:t xml:space="preserve">TP) results were subset to just those three low-flow/ base-flow events, </w:t>
      </w:r>
      <w:r w:rsidR="00E037D6">
        <w:rPr>
          <w:rFonts w:ascii="Calibri" w:hAnsi="Calibri" w:cs="Tunga"/>
          <w:sz w:val="24"/>
        </w:rPr>
        <w:t>and t</w:t>
      </w:r>
      <w:r w:rsidR="00E037D6" w:rsidRPr="00E037D6">
        <w:rPr>
          <w:rFonts w:ascii="Calibri" w:hAnsi="Calibri" w:cs="Tunga"/>
          <w:sz w:val="24"/>
          <w:szCs w:val="24"/>
        </w:rPr>
        <w:t xml:space="preserve">he mean of the results available for these three summer sampling dates exceeded the </w:t>
      </w:r>
      <w:r w:rsidR="00E037D6">
        <w:rPr>
          <w:rFonts w:ascii="Calibri" w:hAnsi="Calibri" w:cs="Tunga"/>
          <w:sz w:val="24"/>
          <w:szCs w:val="24"/>
        </w:rPr>
        <w:t xml:space="preserve">water-quality </w:t>
      </w:r>
      <w:r w:rsidR="00E037D6" w:rsidRPr="00E037D6">
        <w:rPr>
          <w:rFonts w:ascii="Calibri" w:hAnsi="Calibri" w:cs="Tunga"/>
          <w:sz w:val="24"/>
          <w:szCs w:val="24"/>
        </w:rPr>
        <w:t>standard at all four stations on the Muddy Branch</w:t>
      </w:r>
      <w:r w:rsidR="00E037D6">
        <w:rPr>
          <w:rFonts w:ascii="Calibri" w:hAnsi="Calibri" w:cs="Tunga"/>
          <w:sz w:val="24"/>
          <w:szCs w:val="24"/>
        </w:rPr>
        <w:t>.</w:t>
      </w:r>
      <w:r w:rsidR="00E037D6">
        <w:rPr>
          <w:rFonts w:ascii="Calibri" w:hAnsi="Calibri" w:cs="Tunga"/>
          <w:sz w:val="24"/>
        </w:rPr>
        <w:t xml:space="preserve"> </w:t>
      </w:r>
      <w:r w:rsidR="00222D3B">
        <w:rPr>
          <w:rFonts w:ascii="Calibri" w:hAnsi="Calibri" w:cs="Tunga"/>
          <w:sz w:val="24"/>
        </w:rPr>
        <w:t xml:space="preserve"> These </w:t>
      </w:r>
      <w:proofErr w:type="spellStart"/>
      <w:r w:rsidR="00222D3B">
        <w:rPr>
          <w:rFonts w:ascii="Calibri" w:hAnsi="Calibri" w:cs="Tunga"/>
          <w:sz w:val="24"/>
        </w:rPr>
        <w:t>exceedences</w:t>
      </w:r>
      <w:proofErr w:type="spellEnd"/>
      <w:r w:rsidR="00222D3B">
        <w:rPr>
          <w:rFonts w:ascii="Calibri" w:hAnsi="Calibri" w:cs="Tunga"/>
          <w:sz w:val="24"/>
        </w:rPr>
        <w:t xml:space="preserve"> of the standard will be considered alongside other indicators, including biomonitoring data, to determine if these waters should be listed as impaired.  </w:t>
      </w:r>
    </w:p>
    <w:p w14:paraId="62E574D8" w14:textId="3881B647" w:rsidR="00E037D6" w:rsidRDefault="00222D3B" w:rsidP="00E037D6">
      <w:pPr>
        <w:spacing w:line="276" w:lineRule="auto"/>
        <w:rPr>
          <w:rFonts w:ascii="Calibri" w:hAnsi="Calibri" w:cs="Tunga"/>
          <w:sz w:val="20"/>
        </w:rPr>
      </w:pPr>
      <w:r w:rsidRPr="004763F1">
        <w:rPr>
          <w:rFonts w:cstheme="minorHAnsi"/>
          <w:noProof/>
          <w:sz w:val="24"/>
          <w:szCs w:val="24"/>
        </w:rPr>
        <w:drawing>
          <wp:anchor distT="0" distB="0" distL="114300" distR="114300" simplePos="0" relativeHeight="251682816" behindDoc="1" locked="0" layoutInCell="1" allowOverlap="1" wp14:anchorId="1658AEA3" wp14:editId="2381C58E">
            <wp:simplePos x="0" y="0"/>
            <wp:positionH relativeFrom="column">
              <wp:posOffset>-38735</wp:posOffset>
            </wp:positionH>
            <wp:positionV relativeFrom="paragraph">
              <wp:posOffset>632460</wp:posOffset>
            </wp:positionV>
            <wp:extent cx="3714115" cy="3695700"/>
            <wp:effectExtent l="0" t="0" r="635" b="0"/>
            <wp:wrapTight wrapText="bothSides">
              <wp:wrapPolygon edited="0">
                <wp:start x="0" y="0"/>
                <wp:lineTo x="0" y="21489"/>
                <wp:lineTo x="21493" y="21489"/>
                <wp:lineTo x="21493"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l="6237" t="5464" r="8603" b="29062"/>
                    <a:stretch/>
                  </pic:blipFill>
                  <pic:spPr>
                    <a:xfrm>
                      <a:off x="0" y="0"/>
                      <a:ext cx="3714115" cy="3695700"/>
                    </a:xfrm>
                    <a:prstGeom prst="rect">
                      <a:avLst/>
                    </a:prstGeom>
                  </pic:spPr>
                </pic:pic>
              </a:graphicData>
            </a:graphic>
            <wp14:sizeRelH relativeFrom="page">
              <wp14:pctWidth>0</wp14:pctWidth>
            </wp14:sizeRelH>
            <wp14:sizeRelV relativeFrom="page">
              <wp14:pctHeight>0</wp14:pctHeight>
            </wp14:sizeRelV>
          </wp:anchor>
        </w:drawing>
      </w:r>
      <w:r w:rsidR="00E037D6">
        <w:rPr>
          <w:rFonts w:ascii="Calibri" w:hAnsi="Calibri" w:cs="Tunga"/>
          <w:sz w:val="24"/>
        </w:rPr>
        <w:t>Mean</w:t>
      </w:r>
      <w:r w:rsidR="00E037D6" w:rsidRPr="003C4906">
        <w:rPr>
          <w:sz w:val="24"/>
        </w:rPr>
        <w:t xml:space="preserve"> </w:t>
      </w:r>
      <w:r w:rsidR="00E037D6">
        <w:rPr>
          <w:sz w:val="24"/>
        </w:rPr>
        <w:t>TP concentrations</w:t>
      </w:r>
      <w:r w:rsidR="00E037D6" w:rsidRPr="003C4906">
        <w:rPr>
          <w:sz w:val="24"/>
        </w:rPr>
        <w:t xml:space="preserve"> </w:t>
      </w:r>
      <w:r w:rsidR="00E037D6">
        <w:rPr>
          <w:sz w:val="24"/>
        </w:rPr>
        <w:t xml:space="preserve">were </w:t>
      </w:r>
      <w:r w:rsidR="00E037D6" w:rsidRPr="003C4906">
        <w:rPr>
          <w:sz w:val="24"/>
        </w:rPr>
        <w:t xml:space="preserve">illustrated </w:t>
      </w:r>
      <w:r>
        <w:rPr>
          <w:sz w:val="24"/>
        </w:rPr>
        <w:t xml:space="preserve">in Figure 6 </w:t>
      </w:r>
      <w:r w:rsidR="00E037D6" w:rsidRPr="003C4906">
        <w:rPr>
          <w:sz w:val="24"/>
        </w:rPr>
        <w:t xml:space="preserve">by color-coding the incremental </w:t>
      </w:r>
      <w:proofErr w:type="spellStart"/>
      <w:r w:rsidR="00E037D6" w:rsidRPr="003C4906">
        <w:rPr>
          <w:sz w:val="24"/>
        </w:rPr>
        <w:t>subwatershed</w:t>
      </w:r>
      <w:proofErr w:type="spellEnd"/>
      <w:r w:rsidR="00E037D6" w:rsidRPr="003C4906">
        <w:rPr>
          <w:sz w:val="24"/>
        </w:rPr>
        <w:t xml:space="preserve"> draining to each </w:t>
      </w:r>
      <w:r w:rsidR="00E037D6" w:rsidRPr="00E037D6">
        <w:rPr>
          <w:sz w:val="24"/>
          <w:szCs w:val="24"/>
        </w:rPr>
        <w:t>station.</w:t>
      </w:r>
      <w:r w:rsidR="00E037D6">
        <w:rPr>
          <w:sz w:val="24"/>
          <w:szCs w:val="24"/>
        </w:rPr>
        <w:t xml:space="preserve"> </w:t>
      </w:r>
      <w:r w:rsidR="00E037D6">
        <w:rPr>
          <w:rFonts w:ascii="Calibri" w:hAnsi="Calibri" w:cs="Tunga"/>
        </w:rPr>
        <w:t xml:space="preserve"> </w:t>
      </w:r>
      <w:r w:rsidR="00E037D6">
        <w:rPr>
          <w:sz w:val="24"/>
        </w:rPr>
        <w:t>Under</w:t>
      </w:r>
      <w:r w:rsidR="000257BA">
        <w:rPr>
          <w:sz w:val="24"/>
        </w:rPr>
        <w:t xml:space="preserve"> </w:t>
      </w:r>
      <w:proofErr w:type="gramStart"/>
      <w:r w:rsidR="000257BA">
        <w:rPr>
          <w:sz w:val="24"/>
        </w:rPr>
        <w:t>these base-flow</w:t>
      </w:r>
      <w:proofErr w:type="gramEnd"/>
      <w:r w:rsidR="000257BA">
        <w:rPr>
          <w:sz w:val="24"/>
        </w:rPr>
        <w:t>, s</w:t>
      </w:r>
      <w:r w:rsidR="003C4906">
        <w:rPr>
          <w:sz w:val="24"/>
        </w:rPr>
        <w:t xml:space="preserve">ummer </w:t>
      </w:r>
      <w:r w:rsidR="003C4906" w:rsidRPr="00222D3B">
        <w:rPr>
          <w:sz w:val="24"/>
          <w:szCs w:val="24"/>
        </w:rPr>
        <w:t xml:space="preserve">conditions, the Muddy Branch (NHM sites) and West Brook (NHWB sites) </w:t>
      </w:r>
      <w:r w:rsidR="00181256" w:rsidRPr="00222D3B">
        <w:rPr>
          <w:sz w:val="24"/>
          <w:szCs w:val="24"/>
        </w:rPr>
        <w:t xml:space="preserve">tributaries </w:t>
      </w:r>
      <w:r w:rsidR="003C4906" w:rsidRPr="00222D3B">
        <w:rPr>
          <w:sz w:val="24"/>
          <w:szCs w:val="24"/>
        </w:rPr>
        <w:t xml:space="preserve">are disproportionate loaders of </w:t>
      </w:r>
      <w:r w:rsidR="00E037D6" w:rsidRPr="00222D3B">
        <w:rPr>
          <w:sz w:val="24"/>
          <w:szCs w:val="24"/>
        </w:rPr>
        <w:t>TP</w:t>
      </w:r>
      <w:r w:rsidR="003C4906" w:rsidRPr="00222D3B">
        <w:rPr>
          <w:sz w:val="24"/>
          <w:szCs w:val="24"/>
        </w:rPr>
        <w:t xml:space="preserve"> to the New Haven River.</w:t>
      </w:r>
      <w:r w:rsidR="00181256" w:rsidRPr="00222D3B">
        <w:rPr>
          <w:sz w:val="24"/>
          <w:szCs w:val="24"/>
        </w:rPr>
        <w:t xml:space="preserve">  </w:t>
      </w:r>
      <w:r w:rsidR="000257BA" w:rsidRPr="00222D3B">
        <w:rPr>
          <w:sz w:val="24"/>
          <w:szCs w:val="24"/>
        </w:rPr>
        <w:t xml:space="preserve">Agricultural and developed land uses are more concentrated in this southwestern part of the watershed, as compared to the headwaters. </w:t>
      </w:r>
      <w:r w:rsidR="00181256" w:rsidRPr="00222D3B">
        <w:rPr>
          <w:sz w:val="24"/>
          <w:szCs w:val="24"/>
        </w:rPr>
        <w:t xml:space="preserve">Each of these tributaries is </w:t>
      </w:r>
      <w:r w:rsidR="000257BA" w:rsidRPr="00222D3B">
        <w:rPr>
          <w:sz w:val="24"/>
          <w:szCs w:val="24"/>
        </w:rPr>
        <w:t xml:space="preserve">also </w:t>
      </w:r>
      <w:r w:rsidR="00181256" w:rsidRPr="00222D3B">
        <w:rPr>
          <w:sz w:val="24"/>
          <w:szCs w:val="24"/>
        </w:rPr>
        <w:t>underlain by fine-grained silt and clay soils derived from glacial lake deposits</w:t>
      </w:r>
      <w:r w:rsidR="000257BA" w:rsidRPr="00222D3B">
        <w:rPr>
          <w:sz w:val="24"/>
          <w:szCs w:val="24"/>
        </w:rPr>
        <w:t xml:space="preserve">, which have an affinity for phosphorus and which are easily entrained and transported by </w:t>
      </w:r>
      <w:r w:rsidR="003C431F" w:rsidRPr="00222D3B">
        <w:rPr>
          <w:sz w:val="24"/>
          <w:szCs w:val="24"/>
        </w:rPr>
        <w:t>a range of flows</w:t>
      </w:r>
      <w:r w:rsidR="00181256" w:rsidRPr="00222D3B">
        <w:rPr>
          <w:sz w:val="24"/>
          <w:szCs w:val="24"/>
        </w:rPr>
        <w:t xml:space="preserve">. </w:t>
      </w:r>
      <w:r w:rsidR="00033BCA" w:rsidRPr="00222D3B">
        <w:rPr>
          <w:sz w:val="24"/>
          <w:szCs w:val="24"/>
        </w:rPr>
        <w:t xml:space="preserve"> </w:t>
      </w:r>
      <w:r w:rsidR="00E037D6" w:rsidRPr="00222D3B">
        <w:rPr>
          <w:rFonts w:ascii="Calibri" w:hAnsi="Calibri" w:cs="Tunga"/>
          <w:sz w:val="24"/>
          <w:szCs w:val="24"/>
        </w:rPr>
        <w:t>These are areas where restoration / mitigation actions should be focused, including nutrient management</w:t>
      </w:r>
      <w:r>
        <w:rPr>
          <w:rFonts w:ascii="Calibri" w:hAnsi="Calibri" w:cs="Tunga"/>
          <w:sz w:val="24"/>
          <w:szCs w:val="24"/>
        </w:rPr>
        <w:t xml:space="preserve"> to reduce phosphorus inputs.</w:t>
      </w:r>
    </w:p>
    <w:p w14:paraId="78A8BA23" w14:textId="77777777" w:rsidR="00222D3B" w:rsidRPr="003C4906" w:rsidRDefault="00222D3B" w:rsidP="00222D3B">
      <w:pPr>
        <w:autoSpaceDE w:val="0"/>
        <w:autoSpaceDN w:val="0"/>
        <w:adjustRightInd w:val="0"/>
        <w:spacing w:line="276" w:lineRule="auto"/>
        <w:ind w:right="3600"/>
        <w:rPr>
          <w:rFonts w:ascii="Calibri" w:hAnsi="Calibri" w:cs="Tunga"/>
          <w:i/>
        </w:rPr>
      </w:pPr>
      <w:proofErr w:type="gramStart"/>
      <w:r w:rsidRPr="003C4906">
        <w:rPr>
          <w:rFonts w:ascii="Calibri" w:hAnsi="Calibri" w:cs="Tunga"/>
          <w:i/>
        </w:rPr>
        <w:t xml:space="preserve">Figure </w:t>
      </w:r>
      <w:r>
        <w:rPr>
          <w:rFonts w:ascii="Calibri" w:hAnsi="Calibri" w:cs="Tunga"/>
          <w:i/>
        </w:rPr>
        <w:t>6</w:t>
      </w:r>
      <w:r w:rsidRPr="003C4906">
        <w:rPr>
          <w:rFonts w:ascii="Calibri" w:hAnsi="Calibri" w:cs="Tunga"/>
          <w:i/>
        </w:rPr>
        <w:t>.</w:t>
      </w:r>
      <w:proofErr w:type="gramEnd"/>
      <w:r w:rsidRPr="003C4906">
        <w:rPr>
          <w:rFonts w:ascii="Calibri" w:hAnsi="Calibri" w:cs="Tunga"/>
          <w:i/>
        </w:rPr>
        <w:t xml:space="preserve"> Mean value of Total Phosphorus detected in July, August and September  (2016) during </w:t>
      </w:r>
      <w:r>
        <w:rPr>
          <w:rFonts w:ascii="Calibri" w:hAnsi="Calibri" w:cs="Tunga"/>
          <w:i/>
        </w:rPr>
        <w:t>base</w:t>
      </w:r>
      <w:r w:rsidRPr="003C4906">
        <w:rPr>
          <w:rFonts w:ascii="Calibri" w:hAnsi="Calibri" w:cs="Tunga"/>
          <w:i/>
        </w:rPr>
        <w:t xml:space="preserve"> flow conditions at or below the Low-Median-Monthly Flow in </w:t>
      </w:r>
      <w:r>
        <w:rPr>
          <w:rFonts w:ascii="Calibri" w:hAnsi="Calibri" w:cs="Tunga"/>
          <w:i/>
        </w:rPr>
        <w:t xml:space="preserve">the </w:t>
      </w:r>
      <w:r w:rsidRPr="003C4906">
        <w:rPr>
          <w:rFonts w:ascii="Calibri" w:hAnsi="Calibri" w:cs="Tunga"/>
          <w:i/>
        </w:rPr>
        <w:t>New Haven River</w:t>
      </w:r>
      <w:r>
        <w:rPr>
          <w:rFonts w:ascii="Calibri" w:hAnsi="Calibri" w:cs="Tunga"/>
          <w:i/>
        </w:rPr>
        <w:t xml:space="preserve"> watershed</w:t>
      </w:r>
      <w:r w:rsidRPr="003C4906">
        <w:rPr>
          <w:rFonts w:ascii="Calibri" w:hAnsi="Calibri" w:cs="Tunga"/>
          <w:i/>
        </w:rPr>
        <w:t>.</w:t>
      </w:r>
    </w:p>
    <w:p w14:paraId="14FCA3C0" w14:textId="4484B0B4" w:rsidR="003C4906" w:rsidRPr="00222D3B" w:rsidRDefault="00033BCA" w:rsidP="00222D3B">
      <w:pPr>
        <w:spacing w:line="276" w:lineRule="auto"/>
        <w:rPr>
          <w:rFonts w:ascii="Calibri" w:hAnsi="Calibri" w:cs="Tunga"/>
          <w:sz w:val="24"/>
        </w:rPr>
      </w:pPr>
      <w:proofErr w:type="spellStart"/>
      <w:r w:rsidRPr="00222D3B">
        <w:rPr>
          <w:rFonts w:ascii="Calibri" w:hAnsi="Calibri" w:cs="Tunga"/>
          <w:sz w:val="24"/>
        </w:rPr>
        <w:lastRenderedPageBreak/>
        <w:t>Baseflow</w:t>
      </w:r>
      <w:proofErr w:type="spellEnd"/>
      <w:r w:rsidRPr="00222D3B">
        <w:rPr>
          <w:rFonts w:ascii="Calibri" w:hAnsi="Calibri" w:cs="Tunga"/>
          <w:sz w:val="24"/>
        </w:rPr>
        <w:t xml:space="preserve"> monitoring</w:t>
      </w:r>
      <w:r w:rsidR="00222D3B" w:rsidRPr="00222D3B">
        <w:rPr>
          <w:rFonts w:ascii="Calibri" w:hAnsi="Calibri" w:cs="Tunga"/>
          <w:sz w:val="24"/>
        </w:rPr>
        <w:t>, in general,</w:t>
      </w:r>
      <w:r w:rsidRPr="00222D3B">
        <w:rPr>
          <w:rFonts w:ascii="Calibri" w:hAnsi="Calibri" w:cs="Tunga"/>
          <w:sz w:val="24"/>
        </w:rPr>
        <w:t xml:space="preserve"> is also a </w:t>
      </w:r>
      <w:r w:rsidR="00222D3B" w:rsidRPr="00222D3B">
        <w:rPr>
          <w:rFonts w:ascii="Calibri" w:hAnsi="Calibri" w:cs="Tunga"/>
          <w:sz w:val="24"/>
        </w:rPr>
        <w:t>g</w:t>
      </w:r>
      <w:r w:rsidRPr="00222D3B">
        <w:rPr>
          <w:rFonts w:ascii="Calibri" w:hAnsi="Calibri" w:cs="Tunga"/>
          <w:sz w:val="24"/>
        </w:rPr>
        <w:t xml:space="preserve">ood way to spatially locate critical source areas of pollutants that may </w:t>
      </w:r>
      <w:proofErr w:type="gramStart"/>
      <w:r w:rsidRPr="00222D3B">
        <w:rPr>
          <w:rFonts w:ascii="Calibri" w:hAnsi="Calibri" w:cs="Tunga"/>
          <w:sz w:val="24"/>
        </w:rPr>
        <w:t>preferentially  impact</w:t>
      </w:r>
      <w:proofErr w:type="gramEnd"/>
      <w:r w:rsidRPr="00222D3B">
        <w:rPr>
          <w:rFonts w:ascii="Calibri" w:hAnsi="Calibri" w:cs="Tunga"/>
          <w:sz w:val="24"/>
        </w:rPr>
        <w:t xml:space="preserve"> groundwater, such as</w:t>
      </w:r>
      <w:r w:rsidR="00222D3B">
        <w:rPr>
          <w:rFonts w:ascii="Calibri" w:hAnsi="Calibri" w:cs="Tunga"/>
          <w:sz w:val="24"/>
        </w:rPr>
        <w:t xml:space="preserve"> nitrates and </w:t>
      </w:r>
      <w:r w:rsidRPr="00222D3B">
        <w:rPr>
          <w:rFonts w:ascii="Calibri" w:hAnsi="Calibri" w:cs="Tunga"/>
          <w:sz w:val="24"/>
        </w:rPr>
        <w:t>dissolved phosphorus, or</w:t>
      </w:r>
      <w:r w:rsidR="00222D3B">
        <w:rPr>
          <w:rFonts w:ascii="Calibri" w:hAnsi="Calibri" w:cs="Tunga"/>
          <w:sz w:val="24"/>
        </w:rPr>
        <w:t xml:space="preserve"> </w:t>
      </w:r>
      <w:r w:rsidRPr="00222D3B">
        <w:rPr>
          <w:rFonts w:ascii="Calibri" w:hAnsi="Calibri" w:cs="Tunga"/>
          <w:sz w:val="24"/>
        </w:rPr>
        <w:t>to identify point sources of pollutants</w:t>
      </w:r>
      <w:r w:rsidR="00222D3B">
        <w:rPr>
          <w:rFonts w:ascii="Calibri" w:hAnsi="Calibri" w:cs="Tunga"/>
          <w:sz w:val="24"/>
        </w:rPr>
        <w:t>,</w:t>
      </w:r>
      <w:r w:rsidRPr="00222D3B">
        <w:rPr>
          <w:rFonts w:ascii="Calibri" w:hAnsi="Calibri" w:cs="Tunga"/>
          <w:sz w:val="24"/>
        </w:rPr>
        <w:t xml:space="preserve"> such as</w:t>
      </w:r>
      <w:r w:rsidR="007613DC" w:rsidRPr="00222D3B">
        <w:rPr>
          <w:rFonts w:ascii="Calibri" w:hAnsi="Calibri" w:cs="Tunga"/>
          <w:sz w:val="24"/>
        </w:rPr>
        <w:t xml:space="preserve"> failing septic systems or</w:t>
      </w:r>
      <w:r w:rsidRPr="00222D3B">
        <w:rPr>
          <w:rFonts w:ascii="Calibri" w:hAnsi="Calibri" w:cs="Tunga"/>
          <w:sz w:val="24"/>
        </w:rPr>
        <w:t xml:space="preserve">  illicit discharges from </w:t>
      </w:r>
      <w:r w:rsidR="007613DC" w:rsidRPr="00222D3B">
        <w:rPr>
          <w:rFonts w:ascii="Calibri" w:hAnsi="Calibri" w:cs="Tunga"/>
          <w:sz w:val="24"/>
        </w:rPr>
        <w:t>pipes</w:t>
      </w:r>
      <w:r w:rsidR="00222D3B">
        <w:rPr>
          <w:rFonts w:ascii="Calibri" w:hAnsi="Calibri" w:cs="Tunga"/>
          <w:sz w:val="24"/>
        </w:rPr>
        <w:t>.</w:t>
      </w:r>
    </w:p>
    <w:p w14:paraId="4267A08B" w14:textId="6CC12ABA" w:rsidR="006216E0" w:rsidRDefault="006216E0" w:rsidP="006216E0">
      <w:pPr>
        <w:pStyle w:val="Heading2"/>
      </w:pPr>
      <w:bookmarkStart w:id="9" w:name="_Toc497229477"/>
      <w:r>
        <w:t>3.</w:t>
      </w:r>
      <w:r w:rsidR="00F377C3">
        <w:t>2</w:t>
      </w:r>
      <w:r>
        <w:tab/>
        <w:t>High-flow Concentration Data as a Proxy for Loading</w:t>
      </w:r>
      <w:bookmarkEnd w:id="9"/>
    </w:p>
    <w:p w14:paraId="1C86BE4E" w14:textId="3133A813" w:rsidR="006216E0" w:rsidRDefault="009C3B2B" w:rsidP="0000056D">
      <w:pPr>
        <w:spacing w:line="276" w:lineRule="auto"/>
        <w:rPr>
          <w:rFonts w:ascii="Calibri" w:hAnsi="Calibri"/>
          <w:sz w:val="24"/>
          <w:szCs w:val="24"/>
        </w:rPr>
      </w:pPr>
      <w:r>
        <w:rPr>
          <w:rFonts w:ascii="Calibri" w:hAnsi="Calibri"/>
          <w:sz w:val="24"/>
          <w:szCs w:val="24"/>
        </w:rPr>
        <w:t xml:space="preserve">For those constituents with a strong correlation to discharge (e.g., sediment, particulate phosphorus), the majority of loading to receiving waters is occurring during infrequent, high-magnitude flow events – typically, in the spring and fall of the year, </w:t>
      </w:r>
      <w:r w:rsidR="00887BDF">
        <w:rPr>
          <w:rFonts w:ascii="Calibri" w:hAnsi="Calibri"/>
          <w:sz w:val="24"/>
          <w:szCs w:val="24"/>
        </w:rPr>
        <w:t>but occasionally during</w:t>
      </w:r>
      <w:r>
        <w:rPr>
          <w:rFonts w:ascii="Calibri" w:hAnsi="Calibri"/>
          <w:sz w:val="24"/>
          <w:szCs w:val="24"/>
        </w:rPr>
        <w:t xml:space="preserve"> summer </w:t>
      </w:r>
      <w:r w:rsidR="00887BDF">
        <w:rPr>
          <w:rFonts w:ascii="Calibri" w:hAnsi="Calibri"/>
          <w:sz w:val="24"/>
          <w:szCs w:val="24"/>
        </w:rPr>
        <w:t>convective storms or hurricanes</w:t>
      </w:r>
      <w:r>
        <w:rPr>
          <w:rFonts w:ascii="Calibri" w:hAnsi="Calibri"/>
          <w:sz w:val="24"/>
          <w:szCs w:val="24"/>
        </w:rPr>
        <w:t xml:space="preserve">.  </w:t>
      </w:r>
      <w:r w:rsidR="00887BDF">
        <w:rPr>
          <w:rFonts w:ascii="Calibri" w:hAnsi="Calibri"/>
          <w:sz w:val="24"/>
          <w:szCs w:val="24"/>
        </w:rPr>
        <w:t>Groups focused on loading to lakes should</w:t>
      </w:r>
      <w:r>
        <w:rPr>
          <w:rFonts w:ascii="Calibri" w:hAnsi="Calibri"/>
          <w:sz w:val="24"/>
          <w:szCs w:val="24"/>
        </w:rPr>
        <w:t xml:space="preserve"> target </w:t>
      </w:r>
      <w:r w:rsidR="004B12FF">
        <w:rPr>
          <w:rFonts w:ascii="Calibri" w:hAnsi="Calibri"/>
          <w:sz w:val="24"/>
          <w:szCs w:val="24"/>
        </w:rPr>
        <w:t>storm events</w:t>
      </w:r>
      <w:r>
        <w:rPr>
          <w:rFonts w:ascii="Calibri" w:hAnsi="Calibri"/>
          <w:sz w:val="24"/>
          <w:szCs w:val="24"/>
        </w:rPr>
        <w:t xml:space="preserve"> for sampling, as a means to identify high-loading sub-regions of their watersheds.</w:t>
      </w:r>
      <w:r w:rsidR="004B12FF">
        <w:rPr>
          <w:rFonts w:ascii="Calibri" w:hAnsi="Calibri"/>
          <w:sz w:val="24"/>
          <w:szCs w:val="24"/>
        </w:rPr>
        <w:t xml:space="preserve">  </w:t>
      </w:r>
      <w:r>
        <w:rPr>
          <w:rFonts w:ascii="Calibri" w:hAnsi="Calibri"/>
          <w:sz w:val="24"/>
          <w:szCs w:val="24"/>
        </w:rPr>
        <w:t xml:space="preserve">  </w:t>
      </w:r>
      <w:r w:rsidR="00356A37">
        <w:rPr>
          <w:rFonts w:ascii="Calibri" w:hAnsi="Calibri"/>
          <w:sz w:val="24"/>
          <w:szCs w:val="24"/>
        </w:rPr>
        <w:t xml:space="preserve">For example, </w:t>
      </w:r>
      <w:r w:rsidR="004C6D52">
        <w:rPr>
          <w:rFonts w:ascii="Calibri" w:hAnsi="Calibri"/>
          <w:sz w:val="24"/>
          <w:szCs w:val="24"/>
        </w:rPr>
        <w:t>Lewis Creek Association carried out</w:t>
      </w:r>
      <w:r>
        <w:rPr>
          <w:rFonts w:ascii="Calibri" w:hAnsi="Calibri"/>
          <w:sz w:val="24"/>
          <w:szCs w:val="24"/>
        </w:rPr>
        <w:t xml:space="preserve"> </w:t>
      </w:r>
      <w:r w:rsidR="004C6D52">
        <w:rPr>
          <w:rFonts w:ascii="Calibri" w:hAnsi="Calibri"/>
          <w:sz w:val="24"/>
          <w:szCs w:val="24"/>
        </w:rPr>
        <w:t>storm sampling in the</w:t>
      </w:r>
      <w:r>
        <w:rPr>
          <w:rFonts w:ascii="Calibri" w:hAnsi="Calibri"/>
          <w:sz w:val="24"/>
          <w:szCs w:val="24"/>
        </w:rPr>
        <w:t xml:space="preserve"> Pond Brook tributary of Lewis Creek in 2012 to evaluate patterns in sediment and nutrient loading.  Four monitoring stations were established along the Brook (Figure </w:t>
      </w:r>
      <w:r w:rsidR="00D7545C">
        <w:rPr>
          <w:rFonts w:ascii="Calibri" w:hAnsi="Calibri"/>
          <w:sz w:val="24"/>
          <w:szCs w:val="24"/>
        </w:rPr>
        <w:t>7</w:t>
      </w:r>
      <w:r>
        <w:rPr>
          <w:rFonts w:ascii="Calibri" w:hAnsi="Calibri"/>
          <w:sz w:val="24"/>
          <w:szCs w:val="24"/>
        </w:rPr>
        <w:t xml:space="preserve">a), and seven high-flow events were captured, including a relatively intense rain event on May 12. </w:t>
      </w:r>
      <w:r w:rsidR="004C6D52">
        <w:rPr>
          <w:rFonts w:ascii="Calibri" w:hAnsi="Calibri"/>
          <w:sz w:val="24"/>
          <w:szCs w:val="24"/>
        </w:rPr>
        <w:t xml:space="preserve"> Concentration d</w:t>
      </w:r>
      <w:r w:rsidR="00887BDF">
        <w:rPr>
          <w:rFonts w:ascii="Calibri" w:hAnsi="Calibri"/>
          <w:sz w:val="24"/>
          <w:szCs w:val="24"/>
        </w:rPr>
        <w:t>ata from these high-flow events</w:t>
      </w:r>
      <w:r w:rsidR="004C6D52">
        <w:rPr>
          <w:rFonts w:ascii="Calibri" w:hAnsi="Calibri"/>
          <w:sz w:val="24"/>
          <w:szCs w:val="24"/>
        </w:rPr>
        <w:t xml:space="preserve"> revealed</w:t>
      </w:r>
      <w:r>
        <w:rPr>
          <w:rFonts w:ascii="Calibri" w:hAnsi="Calibri"/>
          <w:sz w:val="24"/>
          <w:szCs w:val="24"/>
        </w:rPr>
        <w:t xml:space="preserve"> </w:t>
      </w:r>
      <w:r w:rsidR="004C6D52">
        <w:rPr>
          <w:rFonts w:ascii="Calibri" w:hAnsi="Calibri"/>
          <w:sz w:val="24"/>
          <w:szCs w:val="24"/>
        </w:rPr>
        <w:t xml:space="preserve">two </w:t>
      </w:r>
      <w:proofErr w:type="spellStart"/>
      <w:r w:rsidR="004C6D52">
        <w:rPr>
          <w:rFonts w:ascii="Calibri" w:hAnsi="Calibri"/>
          <w:sz w:val="24"/>
          <w:szCs w:val="24"/>
        </w:rPr>
        <w:t>subwatersheds</w:t>
      </w:r>
      <w:proofErr w:type="spellEnd"/>
      <w:r w:rsidR="004C6D52">
        <w:rPr>
          <w:rFonts w:ascii="Calibri" w:hAnsi="Calibri"/>
          <w:sz w:val="24"/>
          <w:szCs w:val="24"/>
        </w:rPr>
        <w:t xml:space="preserve"> that appeared to be disproportionate loaders of </w:t>
      </w:r>
      <w:r>
        <w:rPr>
          <w:rFonts w:ascii="Calibri" w:hAnsi="Calibri"/>
          <w:sz w:val="24"/>
          <w:szCs w:val="24"/>
        </w:rPr>
        <w:t xml:space="preserve">Total Suspended </w:t>
      </w:r>
      <w:r w:rsidR="00887BDF">
        <w:rPr>
          <w:rFonts w:ascii="Calibri" w:hAnsi="Calibri"/>
          <w:sz w:val="24"/>
          <w:szCs w:val="24"/>
        </w:rPr>
        <w:t>Solids</w:t>
      </w:r>
      <w:r w:rsidR="004C6D52">
        <w:rPr>
          <w:rFonts w:ascii="Calibri" w:hAnsi="Calibri"/>
          <w:sz w:val="24"/>
          <w:szCs w:val="24"/>
        </w:rPr>
        <w:t xml:space="preserve"> (Figure </w:t>
      </w:r>
      <w:r w:rsidR="00D7545C">
        <w:rPr>
          <w:rFonts w:ascii="Calibri" w:hAnsi="Calibri"/>
          <w:sz w:val="24"/>
          <w:szCs w:val="24"/>
        </w:rPr>
        <w:t>7</w:t>
      </w:r>
      <w:r w:rsidR="004C6D52">
        <w:rPr>
          <w:rFonts w:ascii="Calibri" w:hAnsi="Calibri"/>
          <w:sz w:val="24"/>
          <w:szCs w:val="24"/>
        </w:rPr>
        <w:t>b)</w:t>
      </w:r>
      <w:r>
        <w:rPr>
          <w:rFonts w:ascii="Calibri" w:hAnsi="Calibri"/>
          <w:sz w:val="24"/>
          <w:szCs w:val="24"/>
        </w:rPr>
        <w:t xml:space="preserve"> and Total Phosphorus </w:t>
      </w:r>
      <w:r w:rsidR="004C6D52">
        <w:rPr>
          <w:rFonts w:ascii="Calibri" w:hAnsi="Calibri"/>
          <w:sz w:val="24"/>
          <w:szCs w:val="24"/>
        </w:rPr>
        <w:t xml:space="preserve">(Figure </w:t>
      </w:r>
      <w:r w:rsidR="00D7545C">
        <w:rPr>
          <w:rFonts w:ascii="Calibri" w:hAnsi="Calibri"/>
          <w:sz w:val="24"/>
          <w:szCs w:val="24"/>
        </w:rPr>
        <w:t>7</w:t>
      </w:r>
      <w:r w:rsidR="004C6D52">
        <w:rPr>
          <w:rFonts w:ascii="Calibri" w:hAnsi="Calibri"/>
          <w:sz w:val="24"/>
          <w:szCs w:val="24"/>
        </w:rPr>
        <w:t>c).  This information was communicated to landowners and partner agencies to support design and implementation of best management practices in the Pond Brook valley.</w:t>
      </w:r>
    </w:p>
    <w:p w14:paraId="783F6696" w14:textId="77777777" w:rsidR="00CF631B" w:rsidRDefault="004763F1" w:rsidP="00222D3B">
      <w:pPr>
        <w:spacing w:line="276" w:lineRule="auto"/>
        <w:jc w:val="center"/>
        <w:rPr>
          <w:rFonts w:ascii="Calibri" w:hAnsi="Calibri"/>
          <w:sz w:val="24"/>
        </w:rPr>
      </w:pPr>
      <w:r>
        <w:rPr>
          <w:rFonts w:ascii="Calibri" w:hAnsi="Calibri"/>
          <w:noProof/>
          <w:sz w:val="24"/>
        </w:rPr>
        <w:drawing>
          <wp:inline distT="0" distB="0" distL="0" distR="0" wp14:anchorId="50E4F130" wp14:editId="3825AB11">
            <wp:extent cx="5667375" cy="374350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flow conc.jpg"/>
                    <pic:cNvPicPr/>
                  </pic:nvPicPr>
                  <pic:blipFill rotWithShape="1">
                    <a:blip r:embed="rId17">
                      <a:extLst>
                        <a:ext uri="{28A0092B-C50C-407E-A947-70E740481C1C}">
                          <a14:useLocalDpi xmlns:a14="http://schemas.microsoft.com/office/drawing/2010/main" val="0"/>
                        </a:ext>
                      </a:extLst>
                    </a:blip>
                    <a:srcRect l="1762" t="10043" r="2404" b="5556"/>
                    <a:stretch/>
                  </pic:blipFill>
                  <pic:spPr bwMode="auto">
                    <a:xfrm>
                      <a:off x="0" y="0"/>
                      <a:ext cx="5670828" cy="3745781"/>
                    </a:xfrm>
                    <a:prstGeom prst="rect">
                      <a:avLst/>
                    </a:prstGeom>
                    <a:ln>
                      <a:noFill/>
                    </a:ln>
                    <a:extLst>
                      <a:ext uri="{53640926-AAD7-44D8-BBD7-CCE9431645EC}">
                        <a14:shadowObscured xmlns:a14="http://schemas.microsoft.com/office/drawing/2010/main"/>
                      </a:ext>
                    </a:extLst>
                  </pic:spPr>
                </pic:pic>
              </a:graphicData>
            </a:graphic>
          </wp:inline>
        </w:drawing>
      </w:r>
    </w:p>
    <w:p w14:paraId="334F87CC" w14:textId="2425D4DF" w:rsidR="00CF631B" w:rsidRDefault="009C3B2B" w:rsidP="009C3B2B">
      <w:pPr>
        <w:spacing w:line="276" w:lineRule="auto"/>
        <w:jc w:val="center"/>
        <w:rPr>
          <w:rFonts w:ascii="Calibri" w:hAnsi="Calibri"/>
          <w:i/>
          <w:sz w:val="24"/>
        </w:rPr>
      </w:pPr>
      <w:proofErr w:type="gramStart"/>
      <w:r w:rsidRPr="009C3B2B">
        <w:rPr>
          <w:rFonts w:ascii="Calibri" w:hAnsi="Calibri"/>
          <w:i/>
          <w:sz w:val="24"/>
        </w:rPr>
        <w:t xml:space="preserve">Figure </w:t>
      </w:r>
      <w:r w:rsidR="00D7545C">
        <w:rPr>
          <w:rFonts w:ascii="Calibri" w:hAnsi="Calibri"/>
          <w:i/>
          <w:sz w:val="24"/>
        </w:rPr>
        <w:t>7</w:t>
      </w:r>
      <w:r w:rsidRPr="009C3B2B">
        <w:rPr>
          <w:rFonts w:ascii="Calibri" w:hAnsi="Calibri"/>
          <w:i/>
          <w:sz w:val="24"/>
        </w:rPr>
        <w:t>.</w:t>
      </w:r>
      <w:proofErr w:type="gramEnd"/>
      <w:r w:rsidRPr="009C3B2B">
        <w:rPr>
          <w:rFonts w:ascii="Calibri" w:hAnsi="Calibri"/>
          <w:i/>
          <w:sz w:val="24"/>
        </w:rPr>
        <w:t xml:space="preserve">  Storm sampling in the Pond Brook tributary of Lewis Creek in 2012.</w:t>
      </w:r>
    </w:p>
    <w:p w14:paraId="5DB94E7B" w14:textId="3DF00FDF" w:rsidR="004B12FF" w:rsidRPr="004B12FF" w:rsidRDefault="004B12FF" w:rsidP="004B12FF">
      <w:pPr>
        <w:spacing w:line="276" w:lineRule="auto"/>
        <w:rPr>
          <w:rFonts w:ascii="Calibri" w:hAnsi="Calibri"/>
          <w:sz w:val="24"/>
        </w:rPr>
      </w:pPr>
      <w:r w:rsidRPr="004B12FF">
        <w:rPr>
          <w:rFonts w:ascii="Calibri" w:hAnsi="Calibri"/>
          <w:sz w:val="24"/>
        </w:rPr>
        <w:lastRenderedPageBreak/>
        <w:t>While event-based sampling (i.e., “storm-chasing”</w:t>
      </w:r>
      <w:r>
        <w:rPr>
          <w:rFonts w:ascii="Calibri" w:hAnsi="Calibri"/>
          <w:sz w:val="24"/>
        </w:rPr>
        <w:t>)</w:t>
      </w:r>
      <w:r w:rsidRPr="004B12FF">
        <w:rPr>
          <w:rFonts w:ascii="Calibri" w:hAnsi="Calibri"/>
          <w:sz w:val="24"/>
        </w:rPr>
        <w:t xml:space="preserve"> may not be practical for volunteer groups, it is still possible to capture some high-flow events during scheduled sampling efforts, especially if months of typically higher flows are represented in the schedule (e.g., April, May).</w:t>
      </w:r>
      <w:r w:rsidR="00222D3B">
        <w:rPr>
          <w:rFonts w:ascii="Calibri" w:hAnsi="Calibri"/>
          <w:sz w:val="24"/>
        </w:rPr>
        <w:br/>
      </w:r>
    </w:p>
    <w:p w14:paraId="0D1967F7" w14:textId="77777777" w:rsidR="00814275" w:rsidRDefault="00122A9A" w:rsidP="00A420BD">
      <w:pPr>
        <w:pStyle w:val="Heading1"/>
      </w:pPr>
      <w:bookmarkStart w:id="10" w:name="_Toc497229478"/>
      <w:r>
        <w:t>4.0</w:t>
      </w:r>
      <w:r>
        <w:tab/>
        <w:t>Quantitative Loading Estimates (Coarse-level)</w:t>
      </w:r>
      <w:bookmarkEnd w:id="10"/>
    </w:p>
    <w:p w14:paraId="22B633D1" w14:textId="77777777" w:rsidR="00181256" w:rsidRDefault="00356A37" w:rsidP="00356A37">
      <w:pPr>
        <w:spacing w:line="276" w:lineRule="auto"/>
        <w:rPr>
          <w:sz w:val="24"/>
        </w:rPr>
      </w:pPr>
      <w:r>
        <w:rPr>
          <w:sz w:val="24"/>
        </w:rPr>
        <w:t xml:space="preserve">Groups could generate </w:t>
      </w:r>
      <w:r w:rsidR="00122A9A">
        <w:rPr>
          <w:sz w:val="24"/>
        </w:rPr>
        <w:t>coarse estimate</w:t>
      </w:r>
      <w:r w:rsidR="00181256">
        <w:rPr>
          <w:sz w:val="24"/>
        </w:rPr>
        <w:t>s</w:t>
      </w:r>
      <w:r w:rsidR="00122A9A">
        <w:rPr>
          <w:sz w:val="24"/>
        </w:rPr>
        <w:t xml:space="preserve"> of loading for </w:t>
      </w:r>
      <w:r w:rsidR="00181256">
        <w:rPr>
          <w:sz w:val="24"/>
        </w:rPr>
        <w:t>a given sub-watershed</w:t>
      </w:r>
      <w:r w:rsidR="00122A9A">
        <w:rPr>
          <w:sz w:val="24"/>
        </w:rPr>
        <w:t xml:space="preserve"> in order to communicate </w:t>
      </w:r>
      <w:r>
        <w:rPr>
          <w:sz w:val="24"/>
        </w:rPr>
        <w:t>its</w:t>
      </w:r>
      <w:r w:rsidR="00122A9A">
        <w:rPr>
          <w:sz w:val="24"/>
        </w:rPr>
        <w:t xml:space="preserve"> </w:t>
      </w:r>
      <w:r w:rsidR="00181256">
        <w:rPr>
          <w:sz w:val="24"/>
        </w:rPr>
        <w:t>contribution to the</w:t>
      </w:r>
      <w:r w:rsidR="00122A9A">
        <w:rPr>
          <w:sz w:val="24"/>
        </w:rPr>
        <w:t xml:space="preserve"> overall watershed</w:t>
      </w:r>
      <w:r>
        <w:rPr>
          <w:sz w:val="24"/>
        </w:rPr>
        <w:t xml:space="preserve"> load</w:t>
      </w:r>
      <w:r w:rsidR="00122A9A">
        <w:rPr>
          <w:sz w:val="24"/>
        </w:rPr>
        <w:t xml:space="preserve">.  </w:t>
      </w:r>
      <w:r w:rsidR="00181256">
        <w:rPr>
          <w:sz w:val="24"/>
        </w:rPr>
        <w:t xml:space="preserve">Consider an example calculation for the Muddy Branch tributary to New Haven River depicted in Figure </w:t>
      </w:r>
      <w:r>
        <w:rPr>
          <w:sz w:val="24"/>
        </w:rPr>
        <w:t>4</w:t>
      </w:r>
      <w:r w:rsidR="00181256">
        <w:rPr>
          <w:sz w:val="24"/>
        </w:rPr>
        <w:t xml:space="preserve">.  </w:t>
      </w:r>
    </w:p>
    <w:p w14:paraId="42EE9E89" w14:textId="77777777" w:rsidR="00122A9A" w:rsidRDefault="00122A9A" w:rsidP="00356A37">
      <w:pPr>
        <w:spacing w:line="276" w:lineRule="auto"/>
        <w:rPr>
          <w:sz w:val="24"/>
        </w:rPr>
      </w:pPr>
      <w:r>
        <w:rPr>
          <w:sz w:val="24"/>
        </w:rPr>
        <w:t xml:space="preserve">A coarse estimate can be made of the </w:t>
      </w:r>
      <w:r w:rsidR="000578DD">
        <w:rPr>
          <w:sz w:val="24"/>
        </w:rPr>
        <w:t>contribution of this tributary to overall loading in the</w:t>
      </w:r>
      <w:r w:rsidR="00356A37">
        <w:rPr>
          <w:sz w:val="24"/>
        </w:rPr>
        <w:t xml:space="preserve"> watershed, </w:t>
      </w:r>
      <w:r w:rsidR="000578DD">
        <w:rPr>
          <w:sz w:val="24"/>
        </w:rPr>
        <w:t xml:space="preserve">relying on mean concentration data for the monitored spring and summer months (April through September) and the daily mean discharge measured at the USGS gage near station NHR0.5 (Table </w:t>
      </w:r>
      <w:r w:rsidR="00356A37">
        <w:rPr>
          <w:sz w:val="24"/>
        </w:rPr>
        <w:t>1</w:t>
      </w:r>
      <w:r w:rsidR="000578DD">
        <w:rPr>
          <w:sz w:val="24"/>
        </w:rPr>
        <w:t>).</w:t>
      </w:r>
    </w:p>
    <w:p w14:paraId="5744BDCB" w14:textId="58AF1186" w:rsidR="008E044F" w:rsidRDefault="008E044F" w:rsidP="00356A37">
      <w:pPr>
        <w:spacing w:line="276" w:lineRule="auto"/>
        <w:rPr>
          <w:sz w:val="24"/>
        </w:rPr>
      </w:pPr>
      <w:r>
        <w:rPr>
          <w:sz w:val="24"/>
        </w:rPr>
        <w:t>The daily mean discharge at the gage was adjusted by the proportional area at each monitoring site.  For example, Muddy Branch drains 17 sq</w:t>
      </w:r>
      <w:r w:rsidR="00356A37">
        <w:rPr>
          <w:sz w:val="24"/>
        </w:rPr>
        <w:t>.</w:t>
      </w:r>
      <w:r>
        <w:rPr>
          <w:sz w:val="24"/>
        </w:rPr>
        <w:t xml:space="preserve"> miles, which is 0.15 times the watershed area measured at the gage (115 sq</w:t>
      </w:r>
      <w:r w:rsidR="00356A37">
        <w:rPr>
          <w:sz w:val="24"/>
        </w:rPr>
        <w:t>.</w:t>
      </w:r>
      <w:r>
        <w:rPr>
          <w:sz w:val="24"/>
        </w:rPr>
        <w:t xml:space="preserve"> mi</w:t>
      </w:r>
      <w:r w:rsidR="00356A37">
        <w:rPr>
          <w:sz w:val="24"/>
        </w:rPr>
        <w:t>.</w:t>
      </w:r>
      <w:r>
        <w:rPr>
          <w:sz w:val="24"/>
        </w:rPr>
        <w:t xml:space="preserve">).  Mean daily discharge recorded at the gage was multiplied by 0.15 to obtain an estimate of daily mean discharge in Muddy Branch.  The adjusted daily mean discharge for each day from April 1 through September 30 of 2017 was converted to liters, and the overall mean TP concentration (56.3 </w:t>
      </w:r>
      <w:proofErr w:type="spellStart"/>
      <w:r>
        <w:rPr>
          <w:sz w:val="24"/>
        </w:rPr>
        <w:t>ug</w:t>
      </w:r>
      <w:proofErr w:type="spellEnd"/>
      <w:r>
        <w:rPr>
          <w:sz w:val="24"/>
        </w:rPr>
        <w:t>/L) was then multiplied by each day’s flux of water</w:t>
      </w:r>
      <w:r w:rsidR="00EF684C">
        <w:rPr>
          <w:sz w:val="24"/>
        </w:rPr>
        <w:t xml:space="preserve"> </w:t>
      </w:r>
      <w:r w:rsidR="00356A37">
        <w:rPr>
          <w:sz w:val="24"/>
        </w:rPr>
        <w:t>(</w:t>
      </w:r>
      <w:r w:rsidR="00EF684C">
        <w:rPr>
          <w:sz w:val="24"/>
        </w:rPr>
        <w:t>and adjusted for unit conversions</w:t>
      </w:r>
      <w:r w:rsidR="00356A37">
        <w:rPr>
          <w:sz w:val="24"/>
        </w:rPr>
        <w:t>)</w:t>
      </w:r>
      <w:r>
        <w:rPr>
          <w:sz w:val="24"/>
        </w:rPr>
        <w:t xml:space="preserve"> to generate an estimate of daily mean flux of TP (in kilograms)</w:t>
      </w:r>
      <w:r w:rsidR="00EF684C">
        <w:rPr>
          <w:sz w:val="24"/>
        </w:rPr>
        <w:t xml:space="preserve">.  Finally, the daily estimates of TP flux were summed for the period from April 1 through September 30 to arrive at a Spring/Summer 2016 TP load (Table 1).  The same process was followed to generate a Spring/Summer 2016 TP load </w:t>
      </w:r>
      <w:r w:rsidR="00887BDF">
        <w:rPr>
          <w:sz w:val="24"/>
        </w:rPr>
        <w:t xml:space="preserve">for stations NHR0.5 </w:t>
      </w:r>
      <w:r w:rsidR="00EF684C">
        <w:rPr>
          <w:sz w:val="24"/>
        </w:rPr>
        <w:t>at the former Dog Team Tavern</w:t>
      </w:r>
      <w:r w:rsidR="00887BDF">
        <w:rPr>
          <w:sz w:val="24"/>
        </w:rPr>
        <w:t>,</w:t>
      </w:r>
      <w:r w:rsidR="00EF684C">
        <w:rPr>
          <w:sz w:val="24"/>
        </w:rPr>
        <w:t xml:space="preserve"> which is the downstream-most station in the watershed and representative of loading from New Haven River to Otter Creek.  </w:t>
      </w:r>
      <w:r>
        <w:rPr>
          <w:sz w:val="24"/>
        </w:rPr>
        <w:t xml:space="preserve"> </w:t>
      </w:r>
    </w:p>
    <w:p w14:paraId="1BCB2B3B" w14:textId="77777777" w:rsidR="00222D3B" w:rsidRDefault="00222D3B" w:rsidP="00222D3B">
      <w:pPr>
        <w:rPr>
          <w:sz w:val="24"/>
        </w:rPr>
      </w:pPr>
      <w:r>
        <w:rPr>
          <w:sz w:val="24"/>
        </w:rPr>
        <w:t xml:space="preserve">Thus, while the Muddy Branch sub-watershed represents only 15% of the watershed in area, it was responsible for approximately 71% of the overall load of phosphorus during </w:t>
      </w:r>
      <w:proofErr w:type="spellStart"/>
      <w:r>
        <w:rPr>
          <w:sz w:val="24"/>
        </w:rPr>
        <w:t>baseflow</w:t>
      </w:r>
      <w:proofErr w:type="spellEnd"/>
      <w:r>
        <w:rPr>
          <w:sz w:val="24"/>
        </w:rPr>
        <w:t xml:space="preserve"> conditions in the months of April through September of 2016.  This finding would suggest that nutrient reduction strategies be focused in the Muddy Branch.</w:t>
      </w:r>
    </w:p>
    <w:p w14:paraId="0D3824FF" w14:textId="77777777" w:rsidR="00222D3B" w:rsidRDefault="00222D3B" w:rsidP="00222D3B">
      <w:pPr>
        <w:autoSpaceDE w:val="0"/>
        <w:autoSpaceDN w:val="0"/>
        <w:adjustRightInd w:val="0"/>
        <w:spacing w:line="276" w:lineRule="auto"/>
        <w:rPr>
          <w:rFonts w:cstheme="minorHAnsi"/>
          <w:sz w:val="24"/>
          <w:szCs w:val="24"/>
        </w:rPr>
      </w:pPr>
      <w:r>
        <w:rPr>
          <w:rFonts w:cstheme="minorHAnsi"/>
          <w:sz w:val="24"/>
          <w:szCs w:val="24"/>
        </w:rPr>
        <w:t>This method is approximate only, and does not account for the complex dynamics of nutrient and sediment cycling in rivers, and effects of variable discharge.  However, the method does provide an estimate of relative pollutant load contributions from sub-regions of a watershed – that may compel action on the part of landowners or towns, and help to prioritize resources for mitigation efforts.</w:t>
      </w:r>
      <w:r w:rsidRPr="00356A37">
        <w:rPr>
          <w:sz w:val="24"/>
        </w:rPr>
        <w:t xml:space="preserve"> </w:t>
      </w:r>
    </w:p>
    <w:p w14:paraId="31260CF0" w14:textId="77777777" w:rsidR="00222D3B" w:rsidRDefault="00222D3B" w:rsidP="00356A37">
      <w:pPr>
        <w:spacing w:line="276" w:lineRule="auto"/>
        <w:rPr>
          <w:sz w:val="24"/>
        </w:rPr>
      </w:pPr>
    </w:p>
    <w:p w14:paraId="0331EE4A" w14:textId="77777777" w:rsidR="000578DD" w:rsidRPr="000578DD" w:rsidRDefault="000578DD" w:rsidP="000578DD">
      <w:pPr>
        <w:jc w:val="center"/>
        <w:rPr>
          <w:i/>
          <w:sz w:val="24"/>
        </w:rPr>
      </w:pPr>
      <w:proofErr w:type="gramStart"/>
      <w:r w:rsidRPr="000578DD">
        <w:rPr>
          <w:i/>
          <w:sz w:val="24"/>
        </w:rPr>
        <w:lastRenderedPageBreak/>
        <w:t>Table 1.</w:t>
      </w:r>
      <w:proofErr w:type="gramEnd"/>
      <w:r w:rsidRPr="000578DD">
        <w:rPr>
          <w:i/>
          <w:sz w:val="24"/>
        </w:rPr>
        <w:t xml:space="preserve">  Coarse-level estimate of TP loading from Muddy Branch </w:t>
      </w:r>
      <w:r w:rsidRPr="000578DD">
        <w:rPr>
          <w:i/>
          <w:sz w:val="24"/>
        </w:rPr>
        <w:br/>
        <w:t>tributary of the New Haven River.</w:t>
      </w:r>
    </w:p>
    <w:p w14:paraId="2D8F42AF" w14:textId="77777777" w:rsidR="000578DD" w:rsidRDefault="000578DD" w:rsidP="00981733">
      <w:pPr>
        <w:jc w:val="center"/>
        <w:rPr>
          <w:sz w:val="24"/>
        </w:rPr>
      </w:pPr>
      <w:r w:rsidRPr="000578DD">
        <w:rPr>
          <w:noProof/>
        </w:rPr>
        <w:drawing>
          <wp:inline distT="0" distB="0" distL="0" distR="0" wp14:anchorId="43C3CC8F" wp14:editId="498B6CEE">
            <wp:extent cx="5400675" cy="3076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076575"/>
                    </a:xfrm>
                    <a:prstGeom prst="rect">
                      <a:avLst/>
                    </a:prstGeom>
                    <a:noFill/>
                    <a:ln>
                      <a:noFill/>
                    </a:ln>
                  </pic:spPr>
                </pic:pic>
              </a:graphicData>
            </a:graphic>
          </wp:inline>
        </w:drawing>
      </w:r>
    </w:p>
    <w:p w14:paraId="24FA4AD5" w14:textId="77777777" w:rsidR="00374B4F" w:rsidRDefault="00374B4F" w:rsidP="00DD424C">
      <w:pPr>
        <w:pStyle w:val="Heading1"/>
      </w:pPr>
    </w:p>
    <w:p w14:paraId="69C58C0D" w14:textId="77777777" w:rsidR="00884987" w:rsidRPr="00C97F16" w:rsidRDefault="00DA40C1" w:rsidP="00DD424C">
      <w:pPr>
        <w:pStyle w:val="Heading1"/>
      </w:pPr>
      <w:bookmarkStart w:id="11" w:name="_Toc497229479"/>
      <w:r>
        <w:t>5</w:t>
      </w:r>
      <w:r w:rsidR="00DD424C">
        <w:t>.0</w:t>
      </w:r>
      <w:r w:rsidR="00DD424C">
        <w:tab/>
      </w:r>
      <w:r w:rsidR="00884987" w:rsidRPr="00C97F16">
        <w:t>References</w:t>
      </w:r>
      <w:bookmarkEnd w:id="11"/>
    </w:p>
    <w:p w14:paraId="5A9ACE8D" w14:textId="23F830A9" w:rsidR="00BE7EBA" w:rsidRDefault="00E736A9" w:rsidP="00E736A9">
      <w:pPr>
        <w:pStyle w:val="HTMLPreformatted"/>
        <w:shd w:val="clear" w:color="auto" w:fill="FFFFFF"/>
        <w:wordWrap w:val="0"/>
        <w:spacing w:line="225" w:lineRule="atLeast"/>
        <w:rPr>
          <w:rFonts w:ascii="Calibri" w:hAnsi="Calibri"/>
          <w:color w:val="000000" w:themeColor="text1"/>
          <w:sz w:val="24"/>
        </w:rPr>
      </w:pPr>
      <w:r>
        <w:rPr>
          <w:rFonts w:asciiTheme="minorHAnsi" w:eastAsiaTheme="minorHAnsi" w:hAnsiTheme="minorHAnsi" w:cstheme="minorBidi"/>
          <w:color w:val="2E74B5" w:themeColor="accent1" w:themeShade="BF"/>
          <w:sz w:val="22"/>
          <w:szCs w:val="22"/>
        </w:rPr>
        <w:br/>
      </w:r>
      <w:r w:rsidR="00BE7EBA" w:rsidRPr="00E736A9">
        <w:rPr>
          <w:rFonts w:ascii="Calibri" w:hAnsi="Calibri"/>
          <w:color w:val="000000" w:themeColor="text1"/>
          <w:sz w:val="24"/>
        </w:rPr>
        <w:t xml:space="preserve">USGS, 2016, National Water Information System, </w:t>
      </w:r>
      <w:hyperlink r:id="rId19" w:history="1">
        <w:r w:rsidR="0092115C" w:rsidRPr="00F66DB5">
          <w:rPr>
            <w:rStyle w:val="Hyperlink"/>
            <w:rFonts w:ascii="Calibri" w:hAnsi="Calibri"/>
            <w:sz w:val="24"/>
          </w:rPr>
          <w:t>http://waterdata.usgs.gov/vt/nwis/rt</w:t>
        </w:r>
      </w:hyperlink>
      <w:r w:rsidR="00BE7EBA" w:rsidRPr="00E736A9">
        <w:rPr>
          <w:rFonts w:ascii="Calibri" w:hAnsi="Calibri"/>
          <w:color w:val="000000" w:themeColor="text1"/>
          <w:sz w:val="24"/>
        </w:rPr>
        <w:t xml:space="preserve"> </w:t>
      </w:r>
    </w:p>
    <w:p w14:paraId="7492209E" w14:textId="77777777" w:rsidR="00374B4F" w:rsidRDefault="00374B4F" w:rsidP="00374B4F">
      <w:pPr>
        <w:ind w:left="360" w:hanging="360"/>
        <w:rPr>
          <w:rFonts w:ascii="Calibri" w:hAnsi="Calibri"/>
        </w:rPr>
      </w:pPr>
    </w:p>
    <w:p w14:paraId="2C3B289F" w14:textId="77777777" w:rsidR="00374B4F" w:rsidRPr="001D5C88" w:rsidRDefault="00374B4F" w:rsidP="00374B4F">
      <w:pPr>
        <w:ind w:left="360" w:hanging="360"/>
        <w:rPr>
          <w:rFonts w:ascii="Calibri" w:hAnsi="Calibri"/>
        </w:rPr>
      </w:pPr>
      <w:proofErr w:type="gramStart"/>
      <w:r w:rsidRPr="001D5C88">
        <w:rPr>
          <w:rFonts w:ascii="Calibri" w:hAnsi="Calibri"/>
        </w:rPr>
        <w:t>Vermont Watershed Management Division, 2016.</w:t>
      </w:r>
      <w:proofErr w:type="gramEnd"/>
      <w:r w:rsidRPr="001D5C88">
        <w:rPr>
          <w:rFonts w:ascii="Calibri" w:hAnsi="Calibri"/>
        </w:rPr>
        <w:t xml:space="preserve">  </w:t>
      </w:r>
      <w:proofErr w:type="gramStart"/>
      <w:r w:rsidRPr="001D5C88">
        <w:rPr>
          <w:rFonts w:ascii="Calibri" w:hAnsi="Calibri"/>
          <w:i/>
        </w:rPr>
        <w:t>Vermont Water Quality Standards</w:t>
      </w:r>
      <w:r w:rsidRPr="001D5C88">
        <w:rPr>
          <w:rFonts w:ascii="Calibri" w:hAnsi="Calibri"/>
        </w:rPr>
        <w:t>.</w:t>
      </w:r>
      <w:proofErr w:type="gramEnd"/>
      <w:r w:rsidRPr="001D5C88">
        <w:rPr>
          <w:rFonts w:ascii="Calibri" w:hAnsi="Calibri"/>
        </w:rPr>
        <w:t xml:space="preserve"> </w:t>
      </w:r>
      <w:r w:rsidRPr="001D5C88">
        <w:rPr>
          <w:rFonts w:ascii="Calibri" w:hAnsi="Calibri"/>
        </w:rPr>
        <w:br/>
        <w:t xml:space="preserve">Effective 15 January 2017.  Montpelier, VT.   Available at: </w:t>
      </w:r>
      <w:r w:rsidRPr="001D5C88">
        <w:t>http://dec.vermont.gov/sites/dec/files/ documents/wsmd_water_quality_standards_2016.pdf</w:t>
      </w:r>
    </w:p>
    <w:p w14:paraId="04181DC8" w14:textId="77777777" w:rsidR="00374B4F" w:rsidRDefault="00374B4F" w:rsidP="00E736A9">
      <w:pPr>
        <w:pStyle w:val="HTMLPreformatted"/>
        <w:shd w:val="clear" w:color="auto" w:fill="FFFFFF"/>
        <w:wordWrap w:val="0"/>
        <w:spacing w:line="225" w:lineRule="atLeast"/>
        <w:rPr>
          <w:rFonts w:ascii="Calibri" w:hAnsi="Calibri"/>
          <w:color w:val="000000" w:themeColor="text1"/>
          <w:sz w:val="24"/>
        </w:rPr>
      </w:pPr>
    </w:p>
    <w:p w14:paraId="7C2A4075" w14:textId="77777777" w:rsidR="0092115C" w:rsidRDefault="0092115C" w:rsidP="00E736A9">
      <w:pPr>
        <w:pStyle w:val="HTMLPreformatted"/>
        <w:shd w:val="clear" w:color="auto" w:fill="FFFFFF"/>
        <w:wordWrap w:val="0"/>
        <w:spacing w:line="225" w:lineRule="atLeast"/>
        <w:rPr>
          <w:rFonts w:ascii="Calibri" w:hAnsi="Calibri"/>
          <w:color w:val="000000" w:themeColor="text1"/>
          <w:sz w:val="24"/>
        </w:rPr>
      </w:pPr>
    </w:p>
    <w:p w14:paraId="2B36A6B3" w14:textId="77777777" w:rsidR="0092115C" w:rsidRDefault="0092115C" w:rsidP="00E736A9">
      <w:pPr>
        <w:pStyle w:val="HTMLPreformatted"/>
        <w:shd w:val="clear" w:color="auto" w:fill="FFFFFF"/>
        <w:wordWrap w:val="0"/>
        <w:spacing w:line="225" w:lineRule="atLeast"/>
        <w:rPr>
          <w:rFonts w:ascii="Calibri" w:hAnsi="Calibri"/>
          <w:color w:val="000000" w:themeColor="text1"/>
          <w:sz w:val="24"/>
        </w:rPr>
        <w:sectPr w:rsidR="0092115C" w:rsidSect="00E53F0F">
          <w:footerReference w:type="default" r:id="rId20"/>
          <w:pgSz w:w="12240" w:h="15840"/>
          <w:pgMar w:top="1440" w:right="1440" w:bottom="1440" w:left="1440" w:header="720" w:footer="720" w:gutter="0"/>
          <w:pgNumType w:start="1"/>
          <w:cols w:space="720"/>
          <w:docGrid w:linePitch="360"/>
        </w:sectPr>
      </w:pPr>
    </w:p>
    <w:p w14:paraId="036F79CC" w14:textId="66A035A3" w:rsidR="0092115C" w:rsidRDefault="0092115C" w:rsidP="00E736A9">
      <w:pPr>
        <w:pStyle w:val="HTMLPreformatted"/>
        <w:shd w:val="clear" w:color="auto" w:fill="FFFFFF"/>
        <w:wordWrap w:val="0"/>
        <w:spacing w:line="225" w:lineRule="atLeast"/>
        <w:rPr>
          <w:rFonts w:ascii="Calibri" w:hAnsi="Calibri"/>
          <w:color w:val="000000" w:themeColor="text1"/>
          <w:sz w:val="24"/>
        </w:rPr>
      </w:pPr>
    </w:p>
    <w:p w14:paraId="637286ED" w14:textId="77777777" w:rsidR="007B5D25" w:rsidRDefault="007B5D25" w:rsidP="00E736A9">
      <w:pPr>
        <w:pStyle w:val="HTMLPreformatted"/>
        <w:shd w:val="clear" w:color="auto" w:fill="FFFFFF"/>
        <w:wordWrap w:val="0"/>
        <w:spacing w:line="225" w:lineRule="atLeast"/>
        <w:rPr>
          <w:rFonts w:ascii="Calibri" w:hAnsi="Calibri"/>
          <w:color w:val="000000" w:themeColor="text1"/>
          <w:sz w:val="24"/>
        </w:rPr>
      </w:pPr>
    </w:p>
    <w:p w14:paraId="3BAF1F32" w14:textId="77777777" w:rsidR="007B5D25" w:rsidRDefault="007B5D25" w:rsidP="00E736A9">
      <w:pPr>
        <w:pStyle w:val="HTMLPreformatted"/>
        <w:shd w:val="clear" w:color="auto" w:fill="FFFFFF"/>
        <w:wordWrap w:val="0"/>
        <w:spacing w:line="225" w:lineRule="atLeast"/>
        <w:rPr>
          <w:rFonts w:ascii="Calibri" w:hAnsi="Calibri"/>
          <w:color w:val="000000" w:themeColor="text1"/>
          <w:sz w:val="24"/>
        </w:rPr>
      </w:pPr>
    </w:p>
    <w:p w14:paraId="484C869F" w14:textId="77777777" w:rsidR="007B5D25" w:rsidRDefault="007B5D25" w:rsidP="00E736A9">
      <w:pPr>
        <w:pStyle w:val="HTMLPreformatted"/>
        <w:shd w:val="clear" w:color="auto" w:fill="FFFFFF"/>
        <w:wordWrap w:val="0"/>
        <w:spacing w:line="225" w:lineRule="atLeast"/>
        <w:rPr>
          <w:rFonts w:ascii="Calibri" w:hAnsi="Calibri"/>
          <w:color w:val="000000" w:themeColor="text1"/>
          <w:sz w:val="24"/>
        </w:rPr>
      </w:pPr>
    </w:p>
    <w:p w14:paraId="3AD56A36" w14:textId="77777777" w:rsidR="007B5D25" w:rsidRDefault="007B5D25" w:rsidP="00E736A9">
      <w:pPr>
        <w:pStyle w:val="HTMLPreformatted"/>
        <w:shd w:val="clear" w:color="auto" w:fill="FFFFFF"/>
        <w:wordWrap w:val="0"/>
        <w:spacing w:line="225" w:lineRule="atLeast"/>
        <w:rPr>
          <w:rFonts w:ascii="Calibri" w:hAnsi="Calibri"/>
          <w:color w:val="000000" w:themeColor="text1"/>
          <w:sz w:val="24"/>
        </w:rPr>
      </w:pPr>
    </w:p>
    <w:p w14:paraId="6AA5FDDC" w14:textId="77777777" w:rsidR="0092115C" w:rsidRDefault="0092115C" w:rsidP="00E736A9">
      <w:pPr>
        <w:pStyle w:val="HTMLPreformatted"/>
        <w:shd w:val="clear" w:color="auto" w:fill="FFFFFF"/>
        <w:wordWrap w:val="0"/>
        <w:spacing w:line="225" w:lineRule="atLeast"/>
        <w:rPr>
          <w:rFonts w:ascii="Calibri" w:hAnsi="Calibri"/>
          <w:color w:val="000000" w:themeColor="text1"/>
          <w:sz w:val="24"/>
        </w:rPr>
      </w:pPr>
    </w:p>
    <w:p w14:paraId="7D08E325" w14:textId="484F1A1F" w:rsidR="0092115C" w:rsidRPr="007B5D25" w:rsidRDefault="0092115C" w:rsidP="007B5D25">
      <w:pPr>
        <w:pStyle w:val="HTMLPreformatted"/>
        <w:shd w:val="clear" w:color="auto" w:fill="FFFFFF"/>
        <w:wordWrap w:val="0"/>
        <w:spacing w:line="225" w:lineRule="atLeast"/>
        <w:jc w:val="center"/>
        <w:rPr>
          <w:rFonts w:asciiTheme="minorHAnsi" w:hAnsiTheme="minorHAnsi"/>
          <w:b/>
          <w:color w:val="000000" w:themeColor="text1"/>
          <w:sz w:val="32"/>
          <w:szCs w:val="24"/>
        </w:rPr>
      </w:pPr>
      <w:r w:rsidRPr="007B5D25">
        <w:rPr>
          <w:rFonts w:asciiTheme="minorHAnsi" w:hAnsiTheme="minorHAnsi"/>
          <w:b/>
          <w:color w:val="000000" w:themeColor="text1"/>
          <w:sz w:val="32"/>
          <w:szCs w:val="24"/>
        </w:rPr>
        <w:t>Attachment 1</w:t>
      </w:r>
    </w:p>
    <w:p w14:paraId="091CDC4F" w14:textId="77777777" w:rsidR="0092115C" w:rsidRPr="007B5D25" w:rsidRDefault="0092115C" w:rsidP="007B5D25">
      <w:pPr>
        <w:pStyle w:val="HTMLPreformatted"/>
        <w:shd w:val="clear" w:color="auto" w:fill="FFFFFF"/>
        <w:wordWrap w:val="0"/>
        <w:spacing w:line="225" w:lineRule="atLeast"/>
        <w:jc w:val="center"/>
        <w:rPr>
          <w:rFonts w:asciiTheme="minorHAnsi" w:hAnsiTheme="minorHAnsi"/>
          <w:b/>
          <w:color w:val="000000" w:themeColor="text1"/>
          <w:sz w:val="32"/>
          <w:szCs w:val="24"/>
        </w:rPr>
      </w:pPr>
    </w:p>
    <w:p w14:paraId="7CADA751" w14:textId="77777777" w:rsidR="007B5D25" w:rsidRPr="007B5D25" w:rsidRDefault="007B5D25" w:rsidP="007B5D25">
      <w:pPr>
        <w:pStyle w:val="HTMLPreformatted"/>
        <w:shd w:val="clear" w:color="auto" w:fill="FFFFFF"/>
        <w:wordWrap w:val="0"/>
        <w:spacing w:line="225" w:lineRule="atLeast"/>
        <w:jc w:val="center"/>
        <w:rPr>
          <w:rFonts w:asciiTheme="minorHAnsi" w:hAnsiTheme="minorHAnsi"/>
          <w:b/>
          <w:color w:val="000000" w:themeColor="text1"/>
          <w:sz w:val="32"/>
          <w:szCs w:val="24"/>
        </w:rPr>
      </w:pPr>
    </w:p>
    <w:p w14:paraId="2CF8BAC6" w14:textId="28587B66" w:rsidR="007B5D25" w:rsidRDefault="007B5D25" w:rsidP="007B5D25">
      <w:pPr>
        <w:pStyle w:val="HTMLPreformatted"/>
        <w:shd w:val="clear" w:color="auto" w:fill="FFFFFF"/>
        <w:wordWrap w:val="0"/>
        <w:spacing w:line="225" w:lineRule="atLeast"/>
        <w:jc w:val="center"/>
        <w:rPr>
          <w:rFonts w:asciiTheme="minorHAnsi" w:hAnsiTheme="minorHAnsi"/>
          <w:b/>
          <w:i/>
          <w:sz w:val="32"/>
          <w:szCs w:val="24"/>
        </w:rPr>
      </w:pPr>
      <w:r w:rsidRPr="007B5D25">
        <w:rPr>
          <w:rFonts w:asciiTheme="minorHAnsi" w:hAnsiTheme="minorHAnsi"/>
          <w:b/>
          <w:sz w:val="32"/>
          <w:szCs w:val="24"/>
        </w:rPr>
        <w:t xml:space="preserve">VTDEC </w:t>
      </w:r>
      <w:r w:rsidRPr="007B5D25">
        <w:rPr>
          <w:rFonts w:asciiTheme="minorHAnsi" w:hAnsiTheme="minorHAnsi"/>
          <w:b/>
          <w:i/>
          <w:sz w:val="32"/>
          <w:szCs w:val="24"/>
        </w:rPr>
        <w:t xml:space="preserve">Guidance on Streamflow Observations </w:t>
      </w:r>
      <w:r>
        <w:rPr>
          <w:rFonts w:asciiTheme="minorHAnsi" w:hAnsiTheme="minorHAnsi"/>
          <w:b/>
          <w:i/>
          <w:sz w:val="32"/>
          <w:szCs w:val="24"/>
        </w:rPr>
        <w:br/>
      </w:r>
      <w:proofErr w:type="gramStart"/>
      <w:r w:rsidRPr="007B5D25">
        <w:rPr>
          <w:rFonts w:asciiTheme="minorHAnsi" w:hAnsiTheme="minorHAnsi"/>
          <w:b/>
          <w:i/>
          <w:sz w:val="32"/>
          <w:szCs w:val="24"/>
        </w:rPr>
        <w:t>at</w:t>
      </w:r>
      <w:proofErr w:type="gramEnd"/>
      <w:r w:rsidRPr="007B5D25">
        <w:rPr>
          <w:rFonts w:asciiTheme="minorHAnsi" w:hAnsiTheme="minorHAnsi"/>
          <w:b/>
          <w:i/>
          <w:sz w:val="32"/>
          <w:szCs w:val="24"/>
        </w:rPr>
        <w:t xml:space="preserve"> time of Water Quality Sampling of Rivers and Streams</w:t>
      </w:r>
    </w:p>
    <w:p w14:paraId="398FC393" w14:textId="77777777" w:rsidR="007B5D25" w:rsidRDefault="007B5D25" w:rsidP="007B5D25">
      <w:pPr>
        <w:pStyle w:val="HTMLPreformatted"/>
        <w:shd w:val="clear" w:color="auto" w:fill="FFFFFF"/>
        <w:wordWrap w:val="0"/>
        <w:spacing w:line="225" w:lineRule="atLeast"/>
        <w:jc w:val="center"/>
        <w:rPr>
          <w:rFonts w:asciiTheme="minorHAnsi" w:hAnsiTheme="minorHAnsi"/>
          <w:b/>
          <w:i/>
          <w:sz w:val="32"/>
          <w:szCs w:val="24"/>
        </w:rPr>
      </w:pPr>
    </w:p>
    <w:p w14:paraId="1DC43A66" w14:textId="77777777" w:rsidR="007B5D25" w:rsidRDefault="007B5D25" w:rsidP="007B5D25">
      <w:pPr>
        <w:pStyle w:val="HTMLPreformatted"/>
        <w:shd w:val="clear" w:color="auto" w:fill="FFFFFF"/>
        <w:wordWrap w:val="0"/>
        <w:spacing w:line="225" w:lineRule="atLeast"/>
        <w:jc w:val="center"/>
        <w:rPr>
          <w:rFonts w:asciiTheme="minorHAnsi" w:hAnsiTheme="minorHAnsi"/>
          <w:b/>
          <w:color w:val="000000" w:themeColor="text1"/>
          <w:sz w:val="32"/>
          <w:szCs w:val="24"/>
        </w:rPr>
        <w:sectPr w:rsidR="007B5D25" w:rsidSect="00E53F0F">
          <w:footerReference w:type="default" r:id="rId21"/>
          <w:pgSz w:w="12240" w:h="15840"/>
          <w:pgMar w:top="1440" w:right="1440" w:bottom="1440" w:left="1440" w:header="720" w:footer="720" w:gutter="0"/>
          <w:pgNumType w:start="1"/>
          <w:cols w:space="720"/>
          <w:docGrid w:linePitch="360"/>
        </w:sectPr>
      </w:pPr>
    </w:p>
    <w:p w14:paraId="5B4EB64B" w14:textId="75B4378E" w:rsidR="007B5D25" w:rsidRDefault="007B5D25" w:rsidP="007B5D25">
      <w:pPr>
        <w:pStyle w:val="HTMLPreformatted"/>
        <w:shd w:val="clear" w:color="auto" w:fill="FFFFFF"/>
        <w:wordWrap w:val="0"/>
        <w:spacing w:line="225" w:lineRule="atLeast"/>
        <w:jc w:val="center"/>
        <w:rPr>
          <w:rFonts w:asciiTheme="minorHAnsi" w:hAnsiTheme="minorHAnsi"/>
          <w:b/>
          <w:color w:val="000000" w:themeColor="text1"/>
          <w:sz w:val="32"/>
          <w:szCs w:val="24"/>
        </w:rPr>
      </w:pPr>
    </w:p>
    <w:p w14:paraId="4091ACBA" w14:textId="1649B3DD" w:rsidR="007B5D25" w:rsidRDefault="007B5D25" w:rsidP="007B5D25">
      <w:pPr>
        <w:pStyle w:val="HTMLPreformatted"/>
        <w:shd w:val="clear" w:color="auto" w:fill="FFFFFF"/>
        <w:wordWrap w:val="0"/>
        <w:spacing w:line="225" w:lineRule="atLeast"/>
        <w:jc w:val="center"/>
        <w:rPr>
          <w:rFonts w:asciiTheme="minorHAnsi" w:hAnsiTheme="minorHAnsi"/>
          <w:b/>
          <w:color w:val="000000" w:themeColor="text1"/>
          <w:sz w:val="32"/>
          <w:szCs w:val="24"/>
        </w:rPr>
        <w:sectPr w:rsidR="007B5D25" w:rsidSect="007B5D25">
          <w:pgSz w:w="12240" w:h="15840"/>
          <w:pgMar w:top="720" w:right="720" w:bottom="720" w:left="720" w:header="720" w:footer="720" w:gutter="0"/>
          <w:pgNumType w:start="1"/>
          <w:cols w:space="720"/>
          <w:docGrid w:linePitch="360"/>
        </w:sectPr>
      </w:pPr>
      <w:r>
        <w:rPr>
          <w:rFonts w:asciiTheme="minorHAnsi" w:hAnsiTheme="minorHAnsi"/>
          <w:b/>
          <w:noProof/>
          <w:color w:val="000000" w:themeColor="text1"/>
          <w:sz w:val="32"/>
          <w:szCs w:val="24"/>
        </w:rPr>
        <w:drawing>
          <wp:inline distT="0" distB="0" distL="0" distR="0" wp14:anchorId="2485DF95" wp14:editId="3CF19DE3">
            <wp:extent cx="5944230" cy="809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BCD4.tmp"/>
                    <pic:cNvPicPr/>
                  </pic:nvPicPr>
                  <pic:blipFill>
                    <a:blip r:embed="rId22">
                      <a:extLst>
                        <a:ext uri="{28A0092B-C50C-407E-A947-70E740481C1C}">
                          <a14:useLocalDpi xmlns:a14="http://schemas.microsoft.com/office/drawing/2010/main" val="0"/>
                        </a:ext>
                      </a:extLst>
                    </a:blip>
                    <a:stretch>
                      <a:fillRect/>
                    </a:stretch>
                  </pic:blipFill>
                  <pic:spPr>
                    <a:xfrm>
                      <a:off x="0" y="0"/>
                      <a:ext cx="5944627" cy="8096791"/>
                    </a:xfrm>
                    <a:prstGeom prst="rect">
                      <a:avLst/>
                    </a:prstGeom>
                  </pic:spPr>
                </pic:pic>
              </a:graphicData>
            </a:graphic>
          </wp:inline>
        </w:drawing>
      </w:r>
    </w:p>
    <w:p w14:paraId="0C011F9E" w14:textId="4B3249B8" w:rsidR="007B5D25" w:rsidRPr="007B5D25" w:rsidRDefault="007B5D25" w:rsidP="007B5D25">
      <w:pPr>
        <w:pStyle w:val="HTMLPreformatted"/>
        <w:shd w:val="clear" w:color="auto" w:fill="FFFFFF"/>
        <w:wordWrap w:val="0"/>
        <w:spacing w:line="225" w:lineRule="atLeast"/>
        <w:jc w:val="center"/>
        <w:rPr>
          <w:rFonts w:asciiTheme="minorHAnsi" w:hAnsiTheme="minorHAnsi"/>
          <w:b/>
          <w:color w:val="000000" w:themeColor="text1"/>
          <w:sz w:val="32"/>
          <w:szCs w:val="24"/>
        </w:rPr>
        <w:sectPr w:rsidR="007B5D25" w:rsidRPr="007B5D25" w:rsidSect="00E53F0F">
          <w:pgSz w:w="12240" w:h="15840"/>
          <w:pgMar w:top="1440" w:right="1440" w:bottom="1440" w:left="1440" w:header="720" w:footer="720" w:gutter="0"/>
          <w:pgNumType w:start="1"/>
          <w:cols w:space="720"/>
          <w:docGrid w:linePitch="360"/>
        </w:sectPr>
      </w:pPr>
      <w:r>
        <w:rPr>
          <w:rFonts w:asciiTheme="minorHAnsi" w:hAnsiTheme="minorHAnsi"/>
          <w:b/>
          <w:noProof/>
          <w:color w:val="000000" w:themeColor="text1"/>
          <w:sz w:val="32"/>
          <w:szCs w:val="24"/>
        </w:rPr>
        <w:lastRenderedPageBreak/>
        <w:drawing>
          <wp:inline distT="0" distB="0" distL="0" distR="0" wp14:anchorId="6342EB63" wp14:editId="0F6C0478">
            <wp:extent cx="6064118" cy="7381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705B.tmp"/>
                    <pic:cNvPicPr/>
                  </pic:nvPicPr>
                  <pic:blipFill>
                    <a:blip r:embed="rId23">
                      <a:extLst>
                        <a:ext uri="{28A0092B-C50C-407E-A947-70E740481C1C}">
                          <a14:useLocalDpi xmlns:a14="http://schemas.microsoft.com/office/drawing/2010/main" val="0"/>
                        </a:ext>
                      </a:extLst>
                    </a:blip>
                    <a:stretch>
                      <a:fillRect/>
                    </a:stretch>
                  </pic:blipFill>
                  <pic:spPr>
                    <a:xfrm>
                      <a:off x="0" y="0"/>
                      <a:ext cx="6066131" cy="7384325"/>
                    </a:xfrm>
                    <a:prstGeom prst="rect">
                      <a:avLst/>
                    </a:prstGeom>
                  </pic:spPr>
                </pic:pic>
              </a:graphicData>
            </a:graphic>
          </wp:inline>
        </w:drawing>
      </w:r>
    </w:p>
    <w:p w14:paraId="333C89CF" w14:textId="457394CC" w:rsidR="0092115C" w:rsidRDefault="0092115C" w:rsidP="00E736A9">
      <w:pPr>
        <w:pStyle w:val="HTMLPreformatted"/>
        <w:shd w:val="clear" w:color="auto" w:fill="FFFFFF"/>
        <w:wordWrap w:val="0"/>
        <w:spacing w:line="225" w:lineRule="atLeast"/>
        <w:rPr>
          <w:rFonts w:ascii="Calibri" w:hAnsi="Calibri"/>
          <w:color w:val="000000" w:themeColor="text1"/>
          <w:sz w:val="24"/>
        </w:rPr>
      </w:pPr>
    </w:p>
    <w:p w14:paraId="2337E855" w14:textId="77777777" w:rsidR="007B5D25" w:rsidRDefault="007B5D25" w:rsidP="00E736A9">
      <w:pPr>
        <w:pStyle w:val="HTMLPreformatted"/>
        <w:shd w:val="clear" w:color="auto" w:fill="FFFFFF"/>
        <w:wordWrap w:val="0"/>
        <w:spacing w:line="225" w:lineRule="atLeast"/>
        <w:rPr>
          <w:rFonts w:ascii="Calibri" w:hAnsi="Calibri"/>
          <w:color w:val="000000" w:themeColor="text1"/>
          <w:sz w:val="24"/>
        </w:rPr>
      </w:pPr>
    </w:p>
    <w:p w14:paraId="32D8C0BF" w14:textId="77777777" w:rsidR="007B5D25" w:rsidRDefault="007B5D25" w:rsidP="00E736A9">
      <w:pPr>
        <w:pStyle w:val="HTMLPreformatted"/>
        <w:shd w:val="clear" w:color="auto" w:fill="FFFFFF"/>
        <w:wordWrap w:val="0"/>
        <w:spacing w:line="225" w:lineRule="atLeast"/>
        <w:rPr>
          <w:rFonts w:ascii="Calibri" w:hAnsi="Calibri"/>
          <w:color w:val="000000" w:themeColor="text1"/>
          <w:sz w:val="24"/>
        </w:rPr>
      </w:pPr>
    </w:p>
    <w:p w14:paraId="40673E3F" w14:textId="77777777" w:rsidR="007B5D25" w:rsidRDefault="007B5D25" w:rsidP="00E736A9">
      <w:pPr>
        <w:pStyle w:val="HTMLPreformatted"/>
        <w:shd w:val="clear" w:color="auto" w:fill="FFFFFF"/>
        <w:wordWrap w:val="0"/>
        <w:spacing w:line="225" w:lineRule="atLeast"/>
        <w:rPr>
          <w:rFonts w:ascii="Calibri" w:hAnsi="Calibri"/>
          <w:color w:val="000000" w:themeColor="text1"/>
          <w:sz w:val="24"/>
        </w:rPr>
      </w:pPr>
    </w:p>
    <w:p w14:paraId="53CBCF14" w14:textId="77777777" w:rsidR="007B5D25" w:rsidRDefault="007B5D25" w:rsidP="00E736A9">
      <w:pPr>
        <w:pStyle w:val="HTMLPreformatted"/>
        <w:shd w:val="clear" w:color="auto" w:fill="FFFFFF"/>
        <w:wordWrap w:val="0"/>
        <w:spacing w:line="225" w:lineRule="atLeast"/>
        <w:rPr>
          <w:rFonts w:ascii="Calibri" w:hAnsi="Calibri"/>
          <w:color w:val="000000" w:themeColor="text1"/>
          <w:sz w:val="24"/>
        </w:rPr>
      </w:pPr>
    </w:p>
    <w:p w14:paraId="1C2FEE90" w14:textId="24F94F1D" w:rsidR="0092115C" w:rsidRPr="007B5D25" w:rsidRDefault="0092115C" w:rsidP="007B5D25">
      <w:pPr>
        <w:pStyle w:val="HTMLPreformatted"/>
        <w:shd w:val="clear" w:color="auto" w:fill="FFFFFF"/>
        <w:wordWrap w:val="0"/>
        <w:spacing w:line="225" w:lineRule="atLeast"/>
        <w:jc w:val="center"/>
        <w:rPr>
          <w:rFonts w:ascii="Calibri" w:hAnsi="Calibri"/>
          <w:b/>
          <w:color w:val="000000" w:themeColor="text1"/>
          <w:sz w:val="32"/>
        </w:rPr>
      </w:pPr>
      <w:r w:rsidRPr="007B5D25">
        <w:rPr>
          <w:rFonts w:ascii="Calibri" w:hAnsi="Calibri"/>
          <w:b/>
          <w:color w:val="000000" w:themeColor="text1"/>
          <w:sz w:val="32"/>
        </w:rPr>
        <w:t xml:space="preserve">Attachment </w:t>
      </w:r>
      <w:r w:rsidRPr="007B5D25">
        <w:rPr>
          <w:rFonts w:ascii="Calibri" w:hAnsi="Calibri"/>
          <w:b/>
          <w:color w:val="000000" w:themeColor="text1"/>
          <w:sz w:val="32"/>
        </w:rPr>
        <w:t>2</w:t>
      </w:r>
    </w:p>
    <w:p w14:paraId="0B5CE23B" w14:textId="77777777" w:rsidR="0092115C" w:rsidRPr="007B5D25" w:rsidRDefault="0092115C" w:rsidP="007B5D25">
      <w:pPr>
        <w:pStyle w:val="HTMLPreformatted"/>
        <w:shd w:val="clear" w:color="auto" w:fill="FFFFFF"/>
        <w:wordWrap w:val="0"/>
        <w:spacing w:line="225" w:lineRule="atLeast"/>
        <w:jc w:val="center"/>
        <w:rPr>
          <w:rFonts w:ascii="Calibri" w:hAnsi="Calibri"/>
          <w:b/>
          <w:color w:val="000000" w:themeColor="text1"/>
          <w:sz w:val="32"/>
        </w:rPr>
      </w:pPr>
    </w:p>
    <w:p w14:paraId="055FAAFC" w14:textId="25CB8DF6" w:rsidR="0092115C" w:rsidRPr="007B5D25" w:rsidRDefault="0092115C" w:rsidP="007B5D25">
      <w:pPr>
        <w:pStyle w:val="HTMLPreformatted"/>
        <w:shd w:val="clear" w:color="auto" w:fill="FFFFFF"/>
        <w:wordWrap w:val="0"/>
        <w:spacing w:line="225" w:lineRule="atLeast"/>
        <w:jc w:val="center"/>
        <w:rPr>
          <w:rFonts w:ascii="Calibri" w:hAnsi="Calibri"/>
          <w:b/>
          <w:color w:val="000000" w:themeColor="text1"/>
          <w:sz w:val="32"/>
        </w:rPr>
      </w:pPr>
      <w:r w:rsidRPr="007B5D25">
        <w:rPr>
          <w:rFonts w:ascii="Calibri" w:hAnsi="Calibri"/>
          <w:b/>
          <w:color w:val="000000" w:themeColor="text1"/>
          <w:sz w:val="32"/>
        </w:rPr>
        <w:t>Example Field Data Sheet</w:t>
      </w:r>
    </w:p>
    <w:p w14:paraId="422F25D7" w14:textId="77777777" w:rsidR="0092115C" w:rsidRPr="007B5D25" w:rsidRDefault="0092115C" w:rsidP="007B5D25">
      <w:pPr>
        <w:pStyle w:val="HTMLPreformatted"/>
        <w:shd w:val="clear" w:color="auto" w:fill="FFFFFF"/>
        <w:wordWrap w:val="0"/>
        <w:spacing w:line="225" w:lineRule="atLeast"/>
        <w:jc w:val="center"/>
        <w:rPr>
          <w:rFonts w:ascii="Calibri" w:hAnsi="Calibri"/>
          <w:b/>
          <w:color w:val="000000" w:themeColor="text1"/>
          <w:sz w:val="32"/>
        </w:rPr>
      </w:pPr>
    </w:p>
    <w:p w14:paraId="0FB4AE8E" w14:textId="77777777" w:rsidR="0092115C" w:rsidRDefault="0092115C" w:rsidP="0092115C">
      <w:pPr>
        <w:pStyle w:val="HTMLPreformatted"/>
        <w:shd w:val="clear" w:color="auto" w:fill="FFFFFF"/>
        <w:wordWrap w:val="0"/>
        <w:spacing w:line="225" w:lineRule="atLeast"/>
        <w:rPr>
          <w:rFonts w:ascii="Calibri" w:hAnsi="Calibri"/>
          <w:color w:val="000000" w:themeColor="text1"/>
          <w:sz w:val="24"/>
        </w:rPr>
        <w:sectPr w:rsidR="0092115C" w:rsidSect="00E53F0F">
          <w:pgSz w:w="12240" w:h="15840"/>
          <w:pgMar w:top="1440" w:right="1440" w:bottom="1440" w:left="1440" w:header="720" w:footer="720" w:gutter="0"/>
          <w:pgNumType w:start="1"/>
          <w:cols w:space="720"/>
          <w:docGrid w:linePitch="360"/>
        </w:sectPr>
      </w:pPr>
    </w:p>
    <w:p w14:paraId="339A31ED" w14:textId="10A51A54" w:rsidR="0092115C" w:rsidRDefault="0092115C" w:rsidP="0092115C">
      <w:pPr>
        <w:pStyle w:val="HTMLPreformatted"/>
        <w:shd w:val="clear" w:color="auto" w:fill="FFFFFF"/>
        <w:wordWrap w:val="0"/>
        <w:spacing w:line="225" w:lineRule="atLeast"/>
        <w:rPr>
          <w:rFonts w:ascii="Calibri" w:hAnsi="Calibri"/>
          <w:color w:val="000000" w:themeColor="text1"/>
          <w:sz w:val="24"/>
        </w:rPr>
      </w:pPr>
      <w:r>
        <w:rPr>
          <w:rFonts w:ascii="Calibri" w:hAnsi="Calibri"/>
          <w:color w:val="000000" w:themeColor="text1"/>
          <w:sz w:val="24"/>
        </w:rPr>
        <w:lastRenderedPageBreak/>
        <w:t xml:space="preserve"> </w:t>
      </w:r>
    </w:p>
    <w:p w14:paraId="2199497E" w14:textId="77777777" w:rsidR="0092115C" w:rsidRDefault="0092115C" w:rsidP="0092115C">
      <w:pPr>
        <w:pStyle w:val="HTMLPreformatted"/>
        <w:shd w:val="clear" w:color="auto" w:fill="FFFFFF"/>
        <w:wordWrap w:val="0"/>
        <w:spacing w:line="225" w:lineRule="atLeast"/>
        <w:rPr>
          <w:rFonts w:ascii="Calibri" w:hAnsi="Calibri"/>
          <w:color w:val="000000" w:themeColor="text1"/>
          <w:sz w:val="24"/>
        </w:rPr>
      </w:pPr>
    </w:p>
    <w:p w14:paraId="4BF50F0D" w14:textId="657C7BC6" w:rsidR="0092115C" w:rsidRDefault="007B5D25" w:rsidP="0092115C">
      <w:pPr>
        <w:pStyle w:val="HTMLPreformatted"/>
        <w:shd w:val="clear" w:color="auto" w:fill="FFFFFF"/>
        <w:wordWrap w:val="0"/>
        <w:spacing w:line="225" w:lineRule="atLeast"/>
        <w:rPr>
          <w:rFonts w:ascii="Calibri" w:hAnsi="Calibri"/>
          <w:color w:val="000000" w:themeColor="text1"/>
          <w:sz w:val="24"/>
        </w:rPr>
        <w:sectPr w:rsidR="0092115C" w:rsidSect="0092115C">
          <w:pgSz w:w="15840" w:h="12240" w:orient="landscape"/>
          <w:pgMar w:top="720" w:right="720" w:bottom="720" w:left="720" w:header="720" w:footer="720" w:gutter="0"/>
          <w:pgNumType w:start="1"/>
          <w:cols w:space="720"/>
          <w:docGrid w:linePitch="360"/>
        </w:sectPr>
      </w:pPr>
      <w:r>
        <w:rPr>
          <w:rFonts w:ascii="Calibri" w:hAnsi="Calibri"/>
          <w:noProof/>
          <w:color w:val="000000" w:themeColor="text1"/>
          <w:sz w:val="24"/>
        </w:rPr>
        <w:drawing>
          <wp:inline distT="0" distB="0" distL="0" distR="0" wp14:anchorId="73A543C0" wp14:editId="779ED3FF">
            <wp:extent cx="9144000" cy="6089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E308.tmp"/>
                    <pic:cNvPicPr/>
                  </pic:nvPicPr>
                  <pic:blipFill>
                    <a:blip r:embed="rId24">
                      <a:extLst>
                        <a:ext uri="{28A0092B-C50C-407E-A947-70E740481C1C}">
                          <a14:useLocalDpi xmlns:a14="http://schemas.microsoft.com/office/drawing/2010/main" val="0"/>
                        </a:ext>
                      </a:extLst>
                    </a:blip>
                    <a:stretch>
                      <a:fillRect/>
                    </a:stretch>
                  </pic:blipFill>
                  <pic:spPr>
                    <a:xfrm>
                      <a:off x="0" y="0"/>
                      <a:ext cx="9144000" cy="6089650"/>
                    </a:xfrm>
                    <a:prstGeom prst="rect">
                      <a:avLst/>
                    </a:prstGeom>
                  </pic:spPr>
                </pic:pic>
              </a:graphicData>
            </a:graphic>
          </wp:inline>
        </w:drawing>
      </w:r>
    </w:p>
    <w:p w14:paraId="28EFBACB" w14:textId="0FDDD305" w:rsidR="0092115C" w:rsidRDefault="0092115C" w:rsidP="0092115C">
      <w:pPr>
        <w:pStyle w:val="HTMLPreformatted"/>
        <w:shd w:val="clear" w:color="auto" w:fill="FFFFFF"/>
        <w:wordWrap w:val="0"/>
        <w:spacing w:line="225" w:lineRule="atLeast"/>
        <w:rPr>
          <w:rFonts w:ascii="Calibri" w:hAnsi="Calibri"/>
          <w:color w:val="000000" w:themeColor="text1"/>
          <w:sz w:val="24"/>
        </w:rPr>
      </w:pPr>
    </w:p>
    <w:p w14:paraId="44E7B492" w14:textId="77777777" w:rsidR="007B5D25" w:rsidRDefault="007B5D25" w:rsidP="0092115C">
      <w:pPr>
        <w:pStyle w:val="HTMLPreformatted"/>
        <w:shd w:val="clear" w:color="auto" w:fill="FFFFFF"/>
        <w:wordWrap w:val="0"/>
        <w:spacing w:line="225" w:lineRule="atLeast"/>
        <w:rPr>
          <w:rFonts w:ascii="Calibri" w:hAnsi="Calibri"/>
          <w:color w:val="000000" w:themeColor="text1"/>
          <w:sz w:val="24"/>
        </w:rPr>
      </w:pPr>
    </w:p>
    <w:p w14:paraId="08072434" w14:textId="77777777" w:rsidR="007B5D25" w:rsidRDefault="007B5D25" w:rsidP="0092115C">
      <w:pPr>
        <w:pStyle w:val="HTMLPreformatted"/>
        <w:shd w:val="clear" w:color="auto" w:fill="FFFFFF"/>
        <w:wordWrap w:val="0"/>
        <w:spacing w:line="225" w:lineRule="atLeast"/>
        <w:rPr>
          <w:rFonts w:ascii="Calibri" w:hAnsi="Calibri"/>
          <w:color w:val="000000" w:themeColor="text1"/>
          <w:sz w:val="24"/>
        </w:rPr>
      </w:pPr>
    </w:p>
    <w:p w14:paraId="3742272F" w14:textId="77777777" w:rsidR="007B5D25" w:rsidRDefault="007B5D25" w:rsidP="0092115C">
      <w:pPr>
        <w:pStyle w:val="HTMLPreformatted"/>
        <w:shd w:val="clear" w:color="auto" w:fill="FFFFFF"/>
        <w:wordWrap w:val="0"/>
        <w:spacing w:line="225" w:lineRule="atLeast"/>
        <w:rPr>
          <w:rFonts w:ascii="Calibri" w:hAnsi="Calibri"/>
          <w:color w:val="000000" w:themeColor="text1"/>
          <w:sz w:val="24"/>
        </w:rPr>
      </w:pPr>
    </w:p>
    <w:p w14:paraId="7FE61A66" w14:textId="77777777" w:rsidR="007B5D25" w:rsidRDefault="007B5D25" w:rsidP="0092115C">
      <w:pPr>
        <w:pStyle w:val="HTMLPreformatted"/>
        <w:shd w:val="clear" w:color="auto" w:fill="FFFFFF"/>
        <w:wordWrap w:val="0"/>
        <w:spacing w:line="225" w:lineRule="atLeast"/>
        <w:rPr>
          <w:rFonts w:ascii="Calibri" w:hAnsi="Calibri"/>
          <w:color w:val="000000" w:themeColor="text1"/>
          <w:sz w:val="24"/>
        </w:rPr>
      </w:pPr>
    </w:p>
    <w:p w14:paraId="1504863B" w14:textId="77777777" w:rsidR="007B5D25" w:rsidRDefault="007B5D25" w:rsidP="0092115C">
      <w:pPr>
        <w:pStyle w:val="HTMLPreformatted"/>
        <w:shd w:val="clear" w:color="auto" w:fill="FFFFFF"/>
        <w:wordWrap w:val="0"/>
        <w:spacing w:line="225" w:lineRule="atLeast"/>
        <w:rPr>
          <w:rFonts w:ascii="Calibri" w:hAnsi="Calibri"/>
          <w:color w:val="000000" w:themeColor="text1"/>
          <w:sz w:val="24"/>
        </w:rPr>
      </w:pPr>
    </w:p>
    <w:p w14:paraId="699E46C5" w14:textId="77777777" w:rsidR="007B5D25" w:rsidRPr="007B5D25" w:rsidRDefault="007B5D25" w:rsidP="007B5D25">
      <w:pPr>
        <w:pStyle w:val="HTMLPreformatted"/>
        <w:shd w:val="clear" w:color="auto" w:fill="FFFFFF"/>
        <w:wordWrap w:val="0"/>
        <w:spacing w:line="225" w:lineRule="atLeast"/>
        <w:jc w:val="center"/>
        <w:rPr>
          <w:rFonts w:ascii="Calibri" w:hAnsi="Calibri"/>
          <w:b/>
          <w:color w:val="000000" w:themeColor="text1"/>
          <w:sz w:val="32"/>
        </w:rPr>
      </w:pPr>
    </w:p>
    <w:p w14:paraId="0D11DC94" w14:textId="3BBBE822" w:rsidR="0092115C" w:rsidRPr="007B5D25" w:rsidRDefault="0092115C" w:rsidP="007B5D25">
      <w:pPr>
        <w:pStyle w:val="HTMLPreformatted"/>
        <w:shd w:val="clear" w:color="auto" w:fill="FFFFFF"/>
        <w:wordWrap w:val="0"/>
        <w:spacing w:line="225" w:lineRule="atLeast"/>
        <w:jc w:val="center"/>
        <w:rPr>
          <w:rFonts w:ascii="Calibri" w:hAnsi="Calibri"/>
          <w:b/>
          <w:color w:val="000000" w:themeColor="text1"/>
          <w:sz w:val="32"/>
        </w:rPr>
      </w:pPr>
      <w:r w:rsidRPr="007B5D25">
        <w:rPr>
          <w:rFonts w:ascii="Calibri" w:hAnsi="Calibri"/>
          <w:b/>
          <w:color w:val="000000" w:themeColor="text1"/>
          <w:sz w:val="32"/>
        </w:rPr>
        <w:t>Attachment 3</w:t>
      </w:r>
    </w:p>
    <w:p w14:paraId="0147D4D0" w14:textId="77777777" w:rsidR="0092115C" w:rsidRPr="007B5D25" w:rsidRDefault="0092115C" w:rsidP="007B5D25">
      <w:pPr>
        <w:pStyle w:val="HTMLPreformatted"/>
        <w:shd w:val="clear" w:color="auto" w:fill="FFFFFF"/>
        <w:wordWrap w:val="0"/>
        <w:spacing w:line="225" w:lineRule="atLeast"/>
        <w:jc w:val="center"/>
        <w:rPr>
          <w:rFonts w:ascii="Calibri" w:hAnsi="Calibri"/>
          <w:b/>
          <w:color w:val="000000" w:themeColor="text1"/>
          <w:sz w:val="32"/>
        </w:rPr>
      </w:pPr>
    </w:p>
    <w:p w14:paraId="1D02325B" w14:textId="25849EDA" w:rsidR="00D93798" w:rsidRDefault="00D93798" w:rsidP="00D93798">
      <w:pPr>
        <w:pStyle w:val="HTMLPreformatted"/>
        <w:shd w:val="clear" w:color="auto" w:fill="FFFFFF"/>
        <w:wordWrap w:val="0"/>
        <w:spacing w:line="225" w:lineRule="atLeast"/>
        <w:jc w:val="center"/>
        <w:rPr>
          <w:rFonts w:ascii="Calibri" w:hAnsi="Calibri"/>
          <w:b/>
          <w:color w:val="000000" w:themeColor="text1"/>
          <w:sz w:val="32"/>
        </w:rPr>
      </w:pPr>
      <w:r>
        <w:rPr>
          <w:rFonts w:ascii="Calibri" w:hAnsi="Calibri"/>
          <w:b/>
          <w:color w:val="000000" w:themeColor="text1"/>
          <w:sz w:val="32"/>
        </w:rPr>
        <w:t xml:space="preserve">Example photographic </w:t>
      </w:r>
      <w:r w:rsidR="0092115C" w:rsidRPr="007B5D25">
        <w:rPr>
          <w:rFonts w:ascii="Calibri" w:hAnsi="Calibri"/>
          <w:b/>
          <w:color w:val="000000" w:themeColor="text1"/>
          <w:sz w:val="32"/>
        </w:rPr>
        <w:t>log</w:t>
      </w:r>
    </w:p>
    <w:p w14:paraId="32C53F83" w14:textId="78528613" w:rsidR="0092115C" w:rsidRPr="007B5D25" w:rsidRDefault="0092115C" w:rsidP="00D93798">
      <w:pPr>
        <w:pStyle w:val="HTMLPreformatted"/>
        <w:shd w:val="clear" w:color="auto" w:fill="FFFFFF"/>
        <w:wordWrap w:val="0"/>
        <w:spacing w:line="225" w:lineRule="atLeast"/>
        <w:jc w:val="center"/>
        <w:rPr>
          <w:rFonts w:ascii="Calibri" w:hAnsi="Calibri"/>
          <w:b/>
          <w:color w:val="000000" w:themeColor="text1"/>
          <w:sz w:val="32"/>
        </w:rPr>
      </w:pPr>
      <w:proofErr w:type="gramStart"/>
      <w:r w:rsidRPr="007B5D25">
        <w:rPr>
          <w:rFonts w:ascii="Calibri" w:hAnsi="Calibri"/>
          <w:b/>
          <w:color w:val="000000" w:themeColor="text1"/>
          <w:sz w:val="32"/>
        </w:rPr>
        <w:t>for</w:t>
      </w:r>
      <w:proofErr w:type="gramEnd"/>
      <w:r w:rsidRPr="007B5D25">
        <w:rPr>
          <w:rFonts w:ascii="Calibri" w:hAnsi="Calibri"/>
          <w:b/>
          <w:color w:val="000000" w:themeColor="text1"/>
          <w:sz w:val="32"/>
        </w:rPr>
        <w:t xml:space="preserve"> Flow Level</w:t>
      </w:r>
      <w:r w:rsidR="00D93798">
        <w:rPr>
          <w:rFonts w:ascii="Calibri" w:hAnsi="Calibri"/>
          <w:b/>
          <w:color w:val="000000" w:themeColor="text1"/>
          <w:sz w:val="32"/>
        </w:rPr>
        <w:t xml:space="preserve"> and Flow Category</w:t>
      </w:r>
    </w:p>
    <w:p w14:paraId="347F8C23" w14:textId="77777777" w:rsidR="0092115C" w:rsidRPr="007B5D25" w:rsidRDefault="0092115C" w:rsidP="007B5D25">
      <w:pPr>
        <w:pStyle w:val="HTMLPreformatted"/>
        <w:shd w:val="clear" w:color="auto" w:fill="FFFFFF"/>
        <w:wordWrap w:val="0"/>
        <w:spacing w:line="225" w:lineRule="atLeast"/>
        <w:jc w:val="center"/>
        <w:rPr>
          <w:rFonts w:ascii="Calibri" w:hAnsi="Calibri"/>
          <w:b/>
          <w:color w:val="000000" w:themeColor="text1"/>
          <w:sz w:val="32"/>
        </w:rPr>
      </w:pPr>
    </w:p>
    <w:p w14:paraId="58FEF6CE" w14:textId="77777777" w:rsidR="0092115C" w:rsidRPr="007B5D25" w:rsidRDefault="0092115C" w:rsidP="007B5D25">
      <w:pPr>
        <w:pStyle w:val="HTMLPreformatted"/>
        <w:shd w:val="clear" w:color="auto" w:fill="FFFFFF"/>
        <w:wordWrap w:val="0"/>
        <w:spacing w:line="225" w:lineRule="atLeast"/>
        <w:jc w:val="center"/>
        <w:rPr>
          <w:rFonts w:ascii="Calibri" w:hAnsi="Calibri"/>
          <w:b/>
          <w:color w:val="000000" w:themeColor="text1"/>
          <w:sz w:val="32"/>
        </w:rPr>
      </w:pPr>
    </w:p>
    <w:p w14:paraId="1DA9F693" w14:textId="1B374E1D" w:rsidR="0092115C" w:rsidRPr="00E736A9" w:rsidRDefault="0092115C" w:rsidP="00E736A9">
      <w:pPr>
        <w:pStyle w:val="HTMLPreformatted"/>
        <w:shd w:val="clear" w:color="auto" w:fill="FFFFFF"/>
        <w:wordWrap w:val="0"/>
        <w:spacing w:line="225" w:lineRule="atLeast"/>
        <w:rPr>
          <w:rFonts w:ascii="Calibri" w:hAnsi="Calibri"/>
          <w:color w:val="000000" w:themeColor="text1"/>
          <w:sz w:val="24"/>
        </w:rPr>
      </w:pPr>
    </w:p>
    <w:p w14:paraId="32ACF485" w14:textId="1993A53F" w:rsidR="006C13DD" w:rsidRPr="003E3A9F" w:rsidRDefault="00E51791" w:rsidP="00F02B43">
      <w:pPr>
        <w:rPr>
          <w:sz w:val="24"/>
        </w:rPr>
        <w:sectPr w:rsidR="006C13DD" w:rsidRPr="003E3A9F" w:rsidSect="00E53F0F">
          <w:pgSz w:w="12240" w:h="15840"/>
          <w:pgMar w:top="1440" w:right="1440" w:bottom="1440" w:left="1440" w:header="720" w:footer="720" w:gutter="0"/>
          <w:pgNumType w:start="1"/>
          <w:cols w:space="720"/>
          <w:docGrid w:linePitch="360"/>
        </w:sectPr>
      </w:pPr>
      <w:r>
        <w:rPr>
          <w:sz w:val="24"/>
        </w:rPr>
        <w:t>The following pages display p</w:t>
      </w:r>
      <w:r w:rsidR="003E3A9F" w:rsidRPr="003E3A9F">
        <w:rPr>
          <w:sz w:val="24"/>
        </w:rPr>
        <w:t xml:space="preserve">hotographs from the same vantage point </w:t>
      </w:r>
      <w:r w:rsidR="00B72445">
        <w:rPr>
          <w:sz w:val="24"/>
        </w:rPr>
        <w:t xml:space="preserve">(facing downstream) </w:t>
      </w:r>
      <w:r w:rsidR="003E3A9F" w:rsidRPr="003E3A9F">
        <w:rPr>
          <w:sz w:val="24"/>
        </w:rPr>
        <w:t xml:space="preserve">on the Shepard Brook, tributary to the Mad River, collected during a variety of Flow Levels and Flow Categories.  Provided </w:t>
      </w:r>
      <w:r>
        <w:rPr>
          <w:sz w:val="24"/>
        </w:rPr>
        <w:t>discharge</w:t>
      </w:r>
      <w:r w:rsidR="003E3A9F" w:rsidRPr="003E3A9F">
        <w:rPr>
          <w:sz w:val="24"/>
        </w:rPr>
        <w:t xml:space="preserve"> values are daily mean flows (DMF) in cubic feet per second, recorded at the USGS </w:t>
      </w:r>
      <w:r>
        <w:rPr>
          <w:sz w:val="24"/>
        </w:rPr>
        <w:t>s</w:t>
      </w:r>
      <w:r w:rsidR="003E3A9F" w:rsidRPr="003E3A9F">
        <w:rPr>
          <w:sz w:val="24"/>
        </w:rPr>
        <w:t xml:space="preserve">treamflow gaging station (#04288000) on the Mad River located approximately </w:t>
      </w:r>
      <w:r w:rsidR="00897BB6">
        <w:rPr>
          <w:sz w:val="24"/>
        </w:rPr>
        <w:t>5.3</w:t>
      </w:r>
      <w:r w:rsidR="003E3A9F" w:rsidRPr="003E3A9F">
        <w:rPr>
          <w:sz w:val="24"/>
        </w:rPr>
        <w:t xml:space="preserve"> miles downstream from this site.  Dashed, white arrows indicate the approximate </w:t>
      </w:r>
      <w:proofErr w:type="spellStart"/>
      <w:r w:rsidR="003E3A9F" w:rsidRPr="003E3A9F">
        <w:rPr>
          <w:sz w:val="24"/>
        </w:rPr>
        <w:t>bankfull</w:t>
      </w:r>
      <w:proofErr w:type="spellEnd"/>
      <w:r w:rsidR="003E3A9F" w:rsidRPr="003E3A9F">
        <w:rPr>
          <w:sz w:val="24"/>
        </w:rPr>
        <w:t xml:space="preserve"> flow elevation, corresponding to a discharge with a 1.5-year recurrence interval.</w:t>
      </w:r>
    </w:p>
    <w:p w14:paraId="7FF2CC6A" w14:textId="58CC1583" w:rsidR="00884987" w:rsidRDefault="006C13DD" w:rsidP="00F02B43">
      <w:r>
        <w:rPr>
          <w:noProof/>
        </w:rPr>
        <w:lastRenderedPageBreak/>
        <w:drawing>
          <wp:inline distT="0" distB="0" distL="0" distR="0" wp14:anchorId="28623827" wp14:editId="25A4E824">
            <wp:extent cx="6858000" cy="914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Stages Mad RIver 1.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426A61FA" w14:textId="03CF0E4B" w:rsidR="006C13DD" w:rsidRDefault="006C13DD" w:rsidP="00F02B43">
      <w:r>
        <w:rPr>
          <w:noProof/>
        </w:rPr>
        <w:lastRenderedPageBreak/>
        <w:drawing>
          <wp:inline distT="0" distB="0" distL="0" distR="0" wp14:anchorId="3964023A" wp14:editId="4CB640A3">
            <wp:extent cx="6858000" cy="91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Stages Mad RIver 2.jpg"/>
                    <pic:cNvPicPr/>
                  </pic:nvPicPr>
                  <pic:blipFill>
                    <a:blip r:embed="rId26">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sectPr w:rsidR="006C13DD" w:rsidSect="006C13DD">
      <w:pgSz w:w="12240" w:h="15840"/>
      <w:pgMar w:top="720" w:right="720" w:bottom="720" w:left="72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37E5B2" w15:done="0"/>
  <w15:commentEx w15:paraId="627F8404" w15:done="0"/>
  <w15:commentEx w15:paraId="70367F22" w15:done="0"/>
  <w15:commentEx w15:paraId="7EB38094" w15:done="0"/>
  <w15:commentEx w15:paraId="75B83748" w15:done="0"/>
  <w15:commentEx w15:paraId="43F421F8" w15:done="0"/>
  <w15:commentEx w15:paraId="5F9806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37E5B2" w16cid:durableId="1D1CAB93"/>
  <w16cid:commentId w16cid:paraId="70367F22" w16cid:durableId="1D1B4C4B"/>
  <w16cid:commentId w16cid:paraId="7EB38094" w16cid:durableId="1D2196E0"/>
  <w16cid:commentId w16cid:paraId="75B83748" w16cid:durableId="1D1B50B3"/>
  <w16cid:commentId w16cid:paraId="43F421F8" w16cid:durableId="1D21978B"/>
  <w16cid:commentId w16cid:paraId="5F980683" w16cid:durableId="1D21AD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BCE05" w14:textId="77777777" w:rsidR="00A53555" w:rsidRDefault="00A53555" w:rsidP="006F0DBE">
      <w:pPr>
        <w:spacing w:after="0" w:line="240" w:lineRule="auto"/>
      </w:pPr>
      <w:r>
        <w:separator/>
      </w:r>
    </w:p>
  </w:endnote>
  <w:endnote w:type="continuationSeparator" w:id="0">
    <w:p w14:paraId="6DE7B320" w14:textId="77777777" w:rsidR="00A53555" w:rsidRDefault="00A53555" w:rsidP="006F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8D9DD" w14:textId="1B65655E" w:rsidR="00335B13" w:rsidRDefault="00335B13">
    <w:pPr>
      <w:pStyle w:val="Footer"/>
      <w:jc w:val="center"/>
    </w:pPr>
  </w:p>
  <w:p w14:paraId="337AC170" w14:textId="77777777" w:rsidR="00335B13" w:rsidRDefault="00335B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323054"/>
      <w:docPartObj>
        <w:docPartGallery w:val="Page Numbers (Bottom of Page)"/>
        <w:docPartUnique/>
      </w:docPartObj>
    </w:sdtPr>
    <w:sdtEndPr>
      <w:rPr>
        <w:noProof/>
      </w:rPr>
    </w:sdtEndPr>
    <w:sdtContent>
      <w:p w14:paraId="62A7B40E" w14:textId="33331A71" w:rsidR="00335B13" w:rsidRDefault="00335B13">
        <w:pPr>
          <w:pStyle w:val="Footer"/>
          <w:jc w:val="center"/>
        </w:pPr>
        <w:r>
          <w:fldChar w:fldCharType="begin"/>
        </w:r>
        <w:r>
          <w:instrText xml:space="preserve"> PAGE   \* MERGEFORMAT </w:instrText>
        </w:r>
        <w:r>
          <w:fldChar w:fldCharType="separate"/>
        </w:r>
        <w:r w:rsidR="00951043">
          <w:rPr>
            <w:noProof/>
          </w:rPr>
          <w:t>1</w:t>
        </w:r>
        <w:r>
          <w:rPr>
            <w:noProof/>
          </w:rPr>
          <w:fldChar w:fldCharType="end"/>
        </w:r>
      </w:p>
    </w:sdtContent>
  </w:sdt>
  <w:p w14:paraId="56B35D98" w14:textId="77777777" w:rsidR="00335B13" w:rsidRDefault="00335B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B5B29" w14:textId="161F2C00" w:rsidR="007B5D25" w:rsidRDefault="007B5D25">
    <w:pPr>
      <w:pStyle w:val="Footer"/>
      <w:jc w:val="center"/>
    </w:pPr>
  </w:p>
  <w:p w14:paraId="7B1517FF" w14:textId="77777777" w:rsidR="007B5D25" w:rsidRDefault="007B5D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6714A" w14:textId="77777777" w:rsidR="00A53555" w:rsidRDefault="00A53555" w:rsidP="006F0DBE">
      <w:pPr>
        <w:spacing w:after="0" w:line="240" w:lineRule="auto"/>
      </w:pPr>
      <w:r>
        <w:separator/>
      </w:r>
    </w:p>
  </w:footnote>
  <w:footnote w:type="continuationSeparator" w:id="0">
    <w:p w14:paraId="5ECD78FE" w14:textId="77777777" w:rsidR="00A53555" w:rsidRDefault="00A53555" w:rsidP="006F0DBE">
      <w:pPr>
        <w:spacing w:after="0" w:line="240" w:lineRule="auto"/>
      </w:pPr>
      <w:r>
        <w:continuationSeparator/>
      </w:r>
    </w:p>
  </w:footnote>
  <w:footnote w:id="1">
    <w:p w14:paraId="671FFDB8" w14:textId="77777777" w:rsidR="00E53F0F" w:rsidRDefault="00E53F0F" w:rsidP="00E53F0F">
      <w:pPr>
        <w:pStyle w:val="FootnoteText"/>
      </w:pPr>
      <w:r>
        <w:rPr>
          <w:rStyle w:val="FootnoteReference"/>
        </w:rPr>
        <w:footnoteRef/>
      </w:r>
      <w:r>
        <w:t xml:space="preserve"> </w:t>
      </w:r>
      <w:r w:rsidRPr="0054312D">
        <w:t>http://dec.vermont.gov/watershed/map/monitor/larosa</w:t>
      </w:r>
    </w:p>
  </w:footnote>
  <w:footnote w:id="2">
    <w:p w14:paraId="223C88E2" w14:textId="1FFE8DCE" w:rsidR="00024E31" w:rsidRDefault="00024E31">
      <w:pPr>
        <w:pStyle w:val="FootnoteText"/>
      </w:pPr>
      <w:r>
        <w:rPr>
          <w:rStyle w:val="FootnoteReference"/>
        </w:rPr>
        <w:footnoteRef/>
      </w:r>
      <w:r>
        <w:t xml:space="preserve"> </w:t>
      </w:r>
      <w:r w:rsidRPr="00024E31">
        <w:rPr>
          <w:sz w:val="24"/>
          <w:szCs w:val="24"/>
        </w:rPr>
        <w:t>https://waterdata.usgs.gov/vt/nwis/rt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48F"/>
    <w:multiLevelType w:val="hybridMultilevel"/>
    <w:tmpl w:val="A3C0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853C8"/>
    <w:multiLevelType w:val="multilevel"/>
    <w:tmpl w:val="B980F04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58310D8"/>
    <w:multiLevelType w:val="hybridMultilevel"/>
    <w:tmpl w:val="378C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35CB9"/>
    <w:multiLevelType w:val="hybridMultilevel"/>
    <w:tmpl w:val="442E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F2BE2"/>
    <w:multiLevelType w:val="multilevel"/>
    <w:tmpl w:val="7F624D9E"/>
    <w:lvl w:ilvl="0">
      <w:start w:val="2"/>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0F276DE2"/>
    <w:multiLevelType w:val="hybridMultilevel"/>
    <w:tmpl w:val="8C06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AB508D"/>
    <w:multiLevelType w:val="hybridMultilevel"/>
    <w:tmpl w:val="D7E2A0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E42C1D"/>
    <w:multiLevelType w:val="hybridMultilevel"/>
    <w:tmpl w:val="B7E0BE76"/>
    <w:lvl w:ilvl="0" w:tplc="C884E3C6">
      <w:start w:val="3"/>
      <w:numFmt w:val="bullet"/>
      <w:lvlText w:val=""/>
      <w:lvlJc w:val="left"/>
      <w:pPr>
        <w:ind w:left="465" w:hanging="360"/>
      </w:pPr>
      <w:rPr>
        <w:rFonts w:ascii="Wingdings" w:eastAsiaTheme="minorHAnsi" w:hAnsi="Wingdings"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8">
    <w:nsid w:val="2CE177CF"/>
    <w:multiLevelType w:val="multilevel"/>
    <w:tmpl w:val="1C484A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04A5426"/>
    <w:multiLevelType w:val="hybridMultilevel"/>
    <w:tmpl w:val="1A0E0C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951B2C"/>
    <w:multiLevelType w:val="hybridMultilevel"/>
    <w:tmpl w:val="378C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E909DC"/>
    <w:multiLevelType w:val="hybridMultilevel"/>
    <w:tmpl w:val="F52427D8"/>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3D650367"/>
    <w:multiLevelType w:val="hybridMultilevel"/>
    <w:tmpl w:val="62AA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26E84"/>
    <w:multiLevelType w:val="hybridMultilevel"/>
    <w:tmpl w:val="A0F68164"/>
    <w:lvl w:ilvl="0" w:tplc="7178A3DE">
      <w:start w:val="3"/>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59184190"/>
    <w:multiLevelType w:val="hybridMultilevel"/>
    <w:tmpl w:val="06809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1A4C6A"/>
    <w:multiLevelType w:val="multilevel"/>
    <w:tmpl w:val="B980F044"/>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nsid w:val="66552342"/>
    <w:multiLevelType w:val="hybridMultilevel"/>
    <w:tmpl w:val="985C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B3351D"/>
    <w:multiLevelType w:val="hybridMultilevel"/>
    <w:tmpl w:val="D594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C0124D"/>
    <w:multiLevelType w:val="hybridMultilevel"/>
    <w:tmpl w:val="D8CA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6"/>
  </w:num>
  <w:num w:numId="4">
    <w:abstractNumId w:val="14"/>
  </w:num>
  <w:num w:numId="5">
    <w:abstractNumId w:val="10"/>
  </w:num>
  <w:num w:numId="6">
    <w:abstractNumId w:val="8"/>
  </w:num>
  <w:num w:numId="7">
    <w:abstractNumId w:val="7"/>
  </w:num>
  <w:num w:numId="8">
    <w:abstractNumId w:val="13"/>
  </w:num>
  <w:num w:numId="9">
    <w:abstractNumId w:val="11"/>
  </w:num>
  <w:num w:numId="10">
    <w:abstractNumId w:val="17"/>
  </w:num>
  <w:num w:numId="11">
    <w:abstractNumId w:val="12"/>
  </w:num>
  <w:num w:numId="12">
    <w:abstractNumId w:val="18"/>
  </w:num>
  <w:num w:numId="13">
    <w:abstractNumId w:val="4"/>
  </w:num>
  <w:num w:numId="14">
    <w:abstractNumId w:val="1"/>
  </w:num>
  <w:num w:numId="15">
    <w:abstractNumId w:val="6"/>
  </w:num>
  <w:num w:numId="16">
    <w:abstractNumId w:val="3"/>
  </w:num>
  <w:num w:numId="17">
    <w:abstractNumId w:val="15"/>
  </w:num>
  <w:num w:numId="18">
    <w:abstractNumId w:val="9"/>
  </w:num>
  <w:num w:numId="1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pans, Ben">
    <w15:presenceInfo w15:providerId="AD" w15:userId="S-1-5-21-1547161642-1960408961-682003330-76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3D2"/>
    <w:rsid w:val="0000056D"/>
    <w:rsid w:val="0000794E"/>
    <w:rsid w:val="000212C8"/>
    <w:rsid w:val="00022F7A"/>
    <w:rsid w:val="0002398B"/>
    <w:rsid w:val="00024E31"/>
    <w:rsid w:val="000257BA"/>
    <w:rsid w:val="00026375"/>
    <w:rsid w:val="00033BCA"/>
    <w:rsid w:val="00034267"/>
    <w:rsid w:val="000578BA"/>
    <w:rsid w:val="000578DD"/>
    <w:rsid w:val="00060F21"/>
    <w:rsid w:val="00075448"/>
    <w:rsid w:val="00076641"/>
    <w:rsid w:val="00082E41"/>
    <w:rsid w:val="0009153D"/>
    <w:rsid w:val="00093093"/>
    <w:rsid w:val="00094394"/>
    <w:rsid w:val="000C0D0F"/>
    <w:rsid w:val="000C2831"/>
    <w:rsid w:val="000C2C27"/>
    <w:rsid w:val="000D234A"/>
    <w:rsid w:val="000D597B"/>
    <w:rsid w:val="000E681A"/>
    <w:rsid w:val="000F3051"/>
    <w:rsid w:val="000F6E6B"/>
    <w:rsid w:val="00103718"/>
    <w:rsid w:val="0010527D"/>
    <w:rsid w:val="00114577"/>
    <w:rsid w:val="00116E67"/>
    <w:rsid w:val="00122000"/>
    <w:rsid w:val="00122A9A"/>
    <w:rsid w:val="00122E1F"/>
    <w:rsid w:val="00126E40"/>
    <w:rsid w:val="001311FE"/>
    <w:rsid w:val="00135E0F"/>
    <w:rsid w:val="0014459F"/>
    <w:rsid w:val="00150374"/>
    <w:rsid w:val="001626FF"/>
    <w:rsid w:val="00162E4D"/>
    <w:rsid w:val="001640E6"/>
    <w:rsid w:val="001651A2"/>
    <w:rsid w:val="001722F5"/>
    <w:rsid w:val="001736A4"/>
    <w:rsid w:val="00181256"/>
    <w:rsid w:val="001905EC"/>
    <w:rsid w:val="00190D3E"/>
    <w:rsid w:val="00196B22"/>
    <w:rsid w:val="001A680E"/>
    <w:rsid w:val="001B6B0C"/>
    <w:rsid w:val="001D60F1"/>
    <w:rsid w:val="001E20CD"/>
    <w:rsid w:val="001F0E2F"/>
    <w:rsid w:val="001F12A8"/>
    <w:rsid w:val="001F1391"/>
    <w:rsid w:val="001F68C9"/>
    <w:rsid w:val="00222D3B"/>
    <w:rsid w:val="002306A9"/>
    <w:rsid w:val="00231DB3"/>
    <w:rsid w:val="00236229"/>
    <w:rsid w:val="00242FCB"/>
    <w:rsid w:val="002575A2"/>
    <w:rsid w:val="00257D2A"/>
    <w:rsid w:val="002646D7"/>
    <w:rsid w:val="00274810"/>
    <w:rsid w:val="00275076"/>
    <w:rsid w:val="00275593"/>
    <w:rsid w:val="002863F5"/>
    <w:rsid w:val="002A1534"/>
    <w:rsid w:val="002A1904"/>
    <w:rsid w:val="002A3ED6"/>
    <w:rsid w:val="002B436A"/>
    <w:rsid w:val="002B455F"/>
    <w:rsid w:val="002D3C80"/>
    <w:rsid w:val="002F0F46"/>
    <w:rsid w:val="00321BDD"/>
    <w:rsid w:val="003276E8"/>
    <w:rsid w:val="00335B13"/>
    <w:rsid w:val="003419D0"/>
    <w:rsid w:val="00341B64"/>
    <w:rsid w:val="003445E7"/>
    <w:rsid w:val="00354A1F"/>
    <w:rsid w:val="00356A37"/>
    <w:rsid w:val="00365E81"/>
    <w:rsid w:val="00367482"/>
    <w:rsid w:val="003722F8"/>
    <w:rsid w:val="00374B4F"/>
    <w:rsid w:val="00386665"/>
    <w:rsid w:val="0039536A"/>
    <w:rsid w:val="00397B32"/>
    <w:rsid w:val="003A7ED6"/>
    <w:rsid w:val="003B1931"/>
    <w:rsid w:val="003C2D98"/>
    <w:rsid w:val="003C431F"/>
    <w:rsid w:val="003C4906"/>
    <w:rsid w:val="003C5753"/>
    <w:rsid w:val="003D246C"/>
    <w:rsid w:val="003E3A9F"/>
    <w:rsid w:val="003E5A6C"/>
    <w:rsid w:val="003E6AED"/>
    <w:rsid w:val="003F15CA"/>
    <w:rsid w:val="003F481D"/>
    <w:rsid w:val="003F73F9"/>
    <w:rsid w:val="004024DF"/>
    <w:rsid w:val="004066D6"/>
    <w:rsid w:val="00413D13"/>
    <w:rsid w:val="00432A57"/>
    <w:rsid w:val="0044079B"/>
    <w:rsid w:val="0044373D"/>
    <w:rsid w:val="004451CB"/>
    <w:rsid w:val="00464A4B"/>
    <w:rsid w:val="00475FEE"/>
    <w:rsid w:val="004763F1"/>
    <w:rsid w:val="004805DD"/>
    <w:rsid w:val="00484743"/>
    <w:rsid w:val="00485D11"/>
    <w:rsid w:val="00494633"/>
    <w:rsid w:val="004A12AF"/>
    <w:rsid w:val="004A5587"/>
    <w:rsid w:val="004A5840"/>
    <w:rsid w:val="004A7F1C"/>
    <w:rsid w:val="004B12FF"/>
    <w:rsid w:val="004B3355"/>
    <w:rsid w:val="004C6D52"/>
    <w:rsid w:val="004E6326"/>
    <w:rsid w:val="004F01C2"/>
    <w:rsid w:val="004F253B"/>
    <w:rsid w:val="004F3D6D"/>
    <w:rsid w:val="00504C20"/>
    <w:rsid w:val="0052793E"/>
    <w:rsid w:val="00537C63"/>
    <w:rsid w:val="00541066"/>
    <w:rsid w:val="00563021"/>
    <w:rsid w:val="00570278"/>
    <w:rsid w:val="00575ABF"/>
    <w:rsid w:val="00582A6F"/>
    <w:rsid w:val="00584176"/>
    <w:rsid w:val="005A0283"/>
    <w:rsid w:val="005A485D"/>
    <w:rsid w:val="005D21CC"/>
    <w:rsid w:val="005E13F2"/>
    <w:rsid w:val="005E3760"/>
    <w:rsid w:val="005E4DDF"/>
    <w:rsid w:val="005F0DD2"/>
    <w:rsid w:val="00611587"/>
    <w:rsid w:val="006148CC"/>
    <w:rsid w:val="006216E0"/>
    <w:rsid w:val="00652F3D"/>
    <w:rsid w:val="00657E4F"/>
    <w:rsid w:val="0066608B"/>
    <w:rsid w:val="00666802"/>
    <w:rsid w:val="00677719"/>
    <w:rsid w:val="00684335"/>
    <w:rsid w:val="006863FC"/>
    <w:rsid w:val="00687821"/>
    <w:rsid w:val="006A2110"/>
    <w:rsid w:val="006A3752"/>
    <w:rsid w:val="006A3FF2"/>
    <w:rsid w:val="006A65A2"/>
    <w:rsid w:val="006A7BEE"/>
    <w:rsid w:val="006B247C"/>
    <w:rsid w:val="006C13DD"/>
    <w:rsid w:val="006C4BE7"/>
    <w:rsid w:val="006C62D7"/>
    <w:rsid w:val="006C75F2"/>
    <w:rsid w:val="006D3BD1"/>
    <w:rsid w:val="006D3C07"/>
    <w:rsid w:val="006F0DBE"/>
    <w:rsid w:val="007010FA"/>
    <w:rsid w:val="00704FA4"/>
    <w:rsid w:val="007156F4"/>
    <w:rsid w:val="007217E1"/>
    <w:rsid w:val="00753A10"/>
    <w:rsid w:val="00760471"/>
    <w:rsid w:val="007613DC"/>
    <w:rsid w:val="007717FC"/>
    <w:rsid w:val="00786713"/>
    <w:rsid w:val="00794ABB"/>
    <w:rsid w:val="007A4DCB"/>
    <w:rsid w:val="007B5D25"/>
    <w:rsid w:val="007C34A5"/>
    <w:rsid w:val="007C762E"/>
    <w:rsid w:val="007D5F2E"/>
    <w:rsid w:val="007D71D7"/>
    <w:rsid w:val="007F0C7B"/>
    <w:rsid w:val="007F29CD"/>
    <w:rsid w:val="007F2B88"/>
    <w:rsid w:val="007F62CD"/>
    <w:rsid w:val="00803173"/>
    <w:rsid w:val="00804B71"/>
    <w:rsid w:val="008066B3"/>
    <w:rsid w:val="00814275"/>
    <w:rsid w:val="00815F60"/>
    <w:rsid w:val="008229F0"/>
    <w:rsid w:val="00830F1F"/>
    <w:rsid w:val="00834D93"/>
    <w:rsid w:val="00835005"/>
    <w:rsid w:val="008514AD"/>
    <w:rsid w:val="00855E0B"/>
    <w:rsid w:val="008801B9"/>
    <w:rsid w:val="008836A6"/>
    <w:rsid w:val="00884987"/>
    <w:rsid w:val="00884A6F"/>
    <w:rsid w:val="008863F9"/>
    <w:rsid w:val="00887BDF"/>
    <w:rsid w:val="00890E83"/>
    <w:rsid w:val="00894465"/>
    <w:rsid w:val="0089698C"/>
    <w:rsid w:val="00897A16"/>
    <w:rsid w:val="00897BB6"/>
    <w:rsid w:val="008A70EF"/>
    <w:rsid w:val="008D0613"/>
    <w:rsid w:val="008D0723"/>
    <w:rsid w:val="008E03AF"/>
    <w:rsid w:val="008E044F"/>
    <w:rsid w:val="008E23A8"/>
    <w:rsid w:val="008E264D"/>
    <w:rsid w:val="008E539C"/>
    <w:rsid w:val="008F0991"/>
    <w:rsid w:val="008F3960"/>
    <w:rsid w:val="009007FB"/>
    <w:rsid w:val="00906B57"/>
    <w:rsid w:val="0092115C"/>
    <w:rsid w:val="00937E42"/>
    <w:rsid w:val="00941C7F"/>
    <w:rsid w:val="00951043"/>
    <w:rsid w:val="009511B9"/>
    <w:rsid w:val="00960033"/>
    <w:rsid w:val="00981733"/>
    <w:rsid w:val="00985A59"/>
    <w:rsid w:val="009A21B6"/>
    <w:rsid w:val="009B5FBA"/>
    <w:rsid w:val="009C11B6"/>
    <w:rsid w:val="009C215D"/>
    <w:rsid w:val="009C3B2B"/>
    <w:rsid w:val="009D09A6"/>
    <w:rsid w:val="009E0497"/>
    <w:rsid w:val="009F1156"/>
    <w:rsid w:val="009F1B1F"/>
    <w:rsid w:val="009F3D43"/>
    <w:rsid w:val="009F7542"/>
    <w:rsid w:val="00A00945"/>
    <w:rsid w:val="00A059D3"/>
    <w:rsid w:val="00A059E8"/>
    <w:rsid w:val="00A07E94"/>
    <w:rsid w:val="00A16E81"/>
    <w:rsid w:val="00A17E09"/>
    <w:rsid w:val="00A23543"/>
    <w:rsid w:val="00A25AF8"/>
    <w:rsid w:val="00A35617"/>
    <w:rsid w:val="00A420BD"/>
    <w:rsid w:val="00A47F02"/>
    <w:rsid w:val="00A50CE8"/>
    <w:rsid w:val="00A53555"/>
    <w:rsid w:val="00A70ACF"/>
    <w:rsid w:val="00A90312"/>
    <w:rsid w:val="00A91202"/>
    <w:rsid w:val="00A92892"/>
    <w:rsid w:val="00AA4F30"/>
    <w:rsid w:val="00AA6C4E"/>
    <w:rsid w:val="00AA7E9F"/>
    <w:rsid w:val="00AB3549"/>
    <w:rsid w:val="00AB4E35"/>
    <w:rsid w:val="00AB527E"/>
    <w:rsid w:val="00AE4E0F"/>
    <w:rsid w:val="00AF53DE"/>
    <w:rsid w:val="00AF5510"/>
    <w:rsid w:val="00AF6B3F"/>
    <w:rsid w:val="00B0286A"/>
    <w:rsid w:val="00B164E0"/>
    <w:rsid w:val="00B17D56"/>
    <w:rsid w:val="00B22270"/>
    <w:rsid w:val="00B22418"/>
    <w:rsid w:val="00B26F5B"/>
    <w:rsid w:val="00B27440"/>
    <w:rsid w:val="00B33FE9"/>
    <w:rsid w:val="00B3441F"/>
    <w:rsid w:val="00B34F9A"/>
    <w:rsid w:val="00B56DB6"/>
    <w:rsid w:val="00B62E14"/>
    <w:rsid w:val="00B72445"/>
    <w:rsid w:val="00B74393"/>
    <w:rsid w:val="00B7780F"/>
    <w:rsid w:val="00B81BBD"/>
    <w:rsid w:val="00B84072"/>
    <w:rsid w:val="00B84EF9"/>
    <w:rsid w:val="00B85083"/>
    <w:rsid w:val="00B94071"/>
    <w:rsid w:val="00B94B6D"/>
    <w:rsid w:val="00BA578A"/>
    <w:rsid w:val="00BA72F8"/>
    <w:rsid w:val="00BB4D2B"/>
    <w:rsid w:val="00BB5F6E"/>
    <w:rsid w:val="00BD5C22"/>
    <w:rsid w:val="00BE7EBA"/>
    <w:rsid w:val="00BF0CA1"/>
    <w:rsid w:val="00BF3FD4"/>
    <w:rsid w:val="00BF4C15"/>
    <w:rsid w:val="00BF562A"/>
    <w:rsid w:val="00C005C4"/>
    <w:rsid w:val="00C006F9"/>
    <w:rsid w:val="00C071CE"/>
    <w:rsid w:val="00C132CF"/>
    <w:rsid w:val="00C135CB"/>
    <w:rsid w:val="00C17B45"/>
    <w:rsid w:val="00C335BF"/>
    <w:rsid w:val="00C42D01"/>
    <w:rsid w:val="00C46965"/>
    <w:rsid w:val="00C651FA"/>
    <w:rsid w:val="00C71883"/>
    <w:rsid w:val="00C82A65"/>
    <w:rsid w:val="00C85008"/>
    <w:rsid w:val="00C87E4F"/>
    <w:rsid w:val="00C97F16"/>
    <w:rsid w:val="00CA2632"/>
    <w:rsid w:val="00CA4D41"/>
    <w:rsid w:val="00CA6C69"/>
    <w:rsid w:val="00CA6F8C"/>
    <w:rsid w:val="00CD2800"/>
    <w:rsid w:val="00CD4EB2"/>
    <w:rsid w:val="00CE001D"/>
    <w:rsid w:val="00CE220F"/>
    <w:rsid w:val="00CE6912"/>
    <w:rsid w:val="00CF0FDB"/>
    <w:rsid w:val="00CF631B"/>
    <w:rsid w:val="00D020BE"/>
    <w:rsid w:val="00D03B3B"/>
    <w:rsid w:val="00D06999"/>
    <w:rsid w:val="00D077C1"/>
    <w:rsid w:val="00D11741"/>
    <w:rsid w:val="00D26C98"/>
    <w:rsid w:val="00D308EF"/>
    <w:rsid w:val="00D33AA5"/>
    <w:rsid w:val="00D558AE"/>
    <w:rsid w:val="00D70E83"/>
    <w:rsid w:val="00D71724"/>
    <w:rsid w:val="00D72BDA"/>
    <w:rsid w:val="00D74DC2"/>
    <w:rsid w:val="00D7545C"/>
    <w:rsid w:val="00D85A2D"/>
    <w:rsid w:val="00D927EC"/>
    <w:rsid w:val="00D93798"/>
    <w:rsid w:val="00D95025"/>
    <w:rsid w:val="00DA25EC"/>
    <w:rsid w:val="00DA40C1"/>
    <w:rsid w:val="00DA4EE2"/>
    <w:rsid w:val="00DA60D9"/>
    <w:rsid w:val="00DA7BE6"/>
    <w:rsid w:val="00DB041C"/>
    <w:rsid w:val="00DB4978"/>
    <w:rsid w:val="00DB5CBC"/>
    <w:rsid w:val="00DD424C"/>
    <w:rsid w:val="00DE050C"/>
    <w:rsid w:val="00DE3F42"/>
    <w:rsid w:val="00E037D6"/>
    <w:rsid w:val="00E06622"/>
    <w:rsid w:val="00E17411"/>
    <w:rsid w:val="00E21351"/>
    <w:rsid w:val="00E22216"/>
    <w:rsid w:val="00E228B7"/>
    <w:rsid w:val="00E34B00"/>
    <w:rsid w:val="00E45A9A"/>
    <w:rsid w:val="00E51791"/>
    <w:rsid w:val="00E52E39"/>
    <w:rsid w:val="00E53F0F"/>
    <w:rsid w:val="00E57368"/>
    <w:rsid w:val="00E62A68"/>
    <w:rsid w:val="00E64305"/>
    <w:rsid w:val="00E66256"/>
    <w:rsid w:val="00E67673"/>
    <w:rsid w:val="00E736A9"/>
    <w:rsid w:val="00E73F91"/>
    <w:rsid w:val="00E8156E"/>
    <w:rsid w:val="00E862E6"/>
    <w:rsid w:val="00E9768E"/>
    <w:rsid w:val="00EC2A9E"/>
    <w:rsid w:val="00EC3159"/>
    <w:rsid w:val="00ED6A2C"/>
    <w:rsid w:val="00EE3C5B"/>
    <w:rsid w:val="00EE5FB8"/>
    <w:rsid w:val="00EE603D"/>
    <w:rsid w:val="00EE7C44"/>
    <w:rsid w:val="00EF12F8"/>
    <w:rsid w:val="00EF1D61"/>
    <w:rsid w:val="00EF52E4"/>
    <w:rsid w:val="00EF684C"/>
    <w:rsid w:val="00F013D2"/>
    <w:rsid w:val="00F02B43"/>
    <w:rsid w:val="00F148AD"/>
    <w:rsid w:val="00F1761E"/>
    <w:rsid w:val="00F26E3E"/>
    <w:rsid w:val="00F37492"/>
    <w:rsid w:val="00F377C3"/>
    <w:rsid w:val="00F431EE"/>
    <w:rsid w:val="00F44894"/>
    <w:rsid w:val="00F44D10"/>
    <w:rsid w:val="00F56043"/>
    <w:rsid w:val="00F657D8"/>
    <w:rsid w:val="00F850B4"/>
    <w:rsid w:val="00F90783"/>
    <w:rsid w:val="00F979A3"/>
    <w:rsid w:val="00FA4317"/>
    <w:rsid w:val="00FA5210"/>
    <w:rsid w:val="00FA64CE"/>
    <w:rsid w:val="00FA67F8"/>
    <w:rsid w:val="00FA739B"/>
    <w:rsid w:val="00FA79D9"/>
    <w:rsid w:val="00FD02E3"/>
    <w:rsid w:val="00FD2DF4"/>
    <w:rsid w:val="00FD5291"/>
    <w:rsid w:val="00FD7FF4"/>
    <w:rsid w:val="00FE0695"/>
    <w:rsid w:val="00FE4D08"/>
    <w:rsid w:val="00FF5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C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C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7C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55F"/>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55F"/>
    <w:rPr>
      <w:color w:val="0563C1" w:themeColor="hyperlink"/>
      <w:u w:val="single"/>
    </w:rPr>
  </w:style>
  <w:style w:type="character" w:customStyle="1" w:styleId="bodytextbold1">
    <w:name w:val="bodytextbold1"/>
    <w:basedOn w:val="DefaultParagraphFont"/>
    <w:rsid w:val="002B455F"/>
    <w:rPr>
      <w:rFonts w:ascii="Arial" w:hAnsi="Arial" w:cs="Arial" w:hint="default"/>
      <w:b/>
      <w:bCs/>
      <w:sz w:val="18"/>
      <w:szCs w:val="18"/>
    </w:rPr>
  </w:style>
  <w:style w:type="character" w:customStyle="1" w:styleId="bodytextbold-blue1">
    <w:name w:val="bodytextbold-blue1"/>
    <w:basedOn w:val="DefaultParagraphFont"/>
    <w:rsid w:val="002B455F"/>
    <w:rPr>
      <w:rFonts w:ascii="Arial" w:hAnsi="Arial" w:cs="Arial" w:hint="default"/>
      <w:b/>
      <w:bCs/>
      <w:i w:val="0"/>
      <w:iCs w:val="0"/>
      <w:color w:val="3300FF"/>
      <w:sz w:val="18"/>
      <w:szCs w:val="18"/>
    </w:rPr>
  </w:style>
  <w:style w:type="character" w:customStyle="1" w:styleId="Heading3Char">
    <w:name w:val="Heading 3 Char"/>
    <w:basedOn w:val="DefaultParagraphFont"/>
    <w:link w:val="Heading3"/>
    <w:uiPriority w:val="9"/>
    <w:rsid w:val="002B455F"/>
    <w:rPr>
      <w:rFonts w:asciiTheme="majorHAnsi" w:eastAsiaTheme="majorEastAsia" w:hAnsiTheme="majorHAnsi" w:cstheme="majorBidi"/>
      <w:b/>
      <w:bCs/>
      <w:color w:val="5B9BD5" w:themeColor="accent1"/>
    </w:rPr>
  </w:style>
  <w:style w:type="paragraph" w:customStyle="1" w:styleId="Default">
    <w:name w:val="Default"/>
    <w:rsid w:val="003F15CA"/>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A00945"/>
    <w:pPr>
      <w:ind w:left="720"/>
      <w:contextualSpacing/>
    </w:pPr>
  </w:style>
  <w:style w:type="table" w:styleId="TableGrid">
    <w:name w:val="Table Grid"/>
    <w:basedOn w:val="TableNormal"/>
    <w:uiPriority w:val="39"/>
    <w:rsid w:val="002A1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7C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37C6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276E8"/>
    <w:pPr>
      <w:spacing w:after="0" w:line="240" w:lineRule="auto"/>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27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E8"/>
    <w:rPr>
      <w:rFonts w:ascii="Segoe UI" w:hAnsi="Segoe UI" w:cs="Segoe UI"/>
      <w:sz w:val="18"/>
      <w:szCs w:val="18"/>
    </w:rPr>
  </w:style>
  <w:style w:type="character" w:customStyle="1" w:styleId="citation">
    <w:name w:val="citation"/>
    <w:basedOn w:val="DefaultParagraphFont"/>
    <w:rsid w:val="003C5753"/>
  </w:style>
  <w:style w:type="character" w:customStyle="1" w:styleId="apple-converted-space">
    <w:name w:val="apple-converted-space"/>
    <w:basedOn w:val="DefaultParagraphFont"/>
    <w:rsid w:val="003C5753"/>
  </w:style>
  <w:style w:type="character" w:customStyle="1" w:styleId="reference">
    <w:name w:val="reference"/>
    <w:basedOn w:val="DefaultParagraphFont"/>
    <w:rsid w:val="003C5753"/>
  </w:style>
  <w:style w:type="character" w:customStyle="1" w:styleId="ordinal">
    <w:name w:val="ordinal"/>
    <w:basedOn w:val="DefaultParagraphFont"/>
    <w:rsid w:val="003C5753"/>
  </w:style>
  <w:style w:type="paragraph" w:styleId="TOCHeading">
    <w:name w:val="TOC Heading"/>
    <w:basedOn w:val="Heading1"/>
    <w:next w:val="Normal"/>
    <w:uiPriority w:val="39"/>
    <w:semiHidden/>
    <w:unhideWhenUsed/>
    <w:qFormat/>
    <w:rsid w:val="0039536A"/>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39536A"/>
    <w:pPr>
      <w:spacing w:after="100"/>
    </w:pPr>
  </w:style>
  <w:style w:type="paragraph" w:styleId="TOC2">
    <w:name w:val="toc 2"/>
    <w:basedOn w:val="Normal"/>
    <w:next w:val="Normal"/>
    <w:autoRedefine/>
    <w:uiPriority w:val="39"/>
    <w:unhideWhenUsed/>
    <w:rsid w:val="0039536A"/>
    <w:pPr>
      <w:spacing w:after="100"/>
      <w:ind w:left="220"/>
    </w:pPr>
  </w:style>
  <w:style w:type="paragraph" w:styleId="TOC3">
    <w:name w:val="toc 3"/>
    <w:basedOn w:val="Normal"/>
    <w:next w:val="Normal"/>
    <w:autoRedefine/>
    <w:uiPriority w:val="39"/>
    <w:unhideWhenUsed/>
    <w:rsid w:val="0039536A"/>
    <w:pPr>
      <w:spacing w:after="100"/>
      <w:ind w:left="440"/>
    </w:pPr>
  </w:style>
  <w:style w:type="paragraph" w:styleId="Header">
    <w:name w:val="header"/>
    <w:basedOn w:val="Normal"/>
    <w:link w:val="HeaderChar"/>
    <w:uiPriority w:val="99"/>
    <w:unhideWhenUsed/>
    <w:rsid w:val="006F0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DBE"/>
  </w:style>
  <w:style w:type="paragraph" w:styleId="Footer">
    <w:name w:val="footer"/>
    <w:basedOn w:val="Normal"/>
    <w:link w:val="FooterChar"/>
    <w:uiPriority w:val="99"/>
    <w:unhideWhenUsed/>
    <w:rsid w:val="006F0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DBE"/>
  </w:style>
  <w:style w:type="paragraph" w:styleId="HTMLPreformatted">
    <w:name w:val="HTML Preformatted"/>
    <w:basedOn w:val="Normal"/>
    <w:link w:val="HTMLPreformattedChar"/>
    <w:uiPriority w:val="99"/>
    <w:semiHidden/>
    <w:unhideWhenUsed/>
    <w:rsid w:val="00BE7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EBA"/>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5E4DDF"/>
    <w:rPr>
      <w:sz w:val="16"/>
      <w:szCs w:val="16"/>
    </w:rPr>
  </w:style>
  <w:style w:type="paragraph" w:styleId="CommentText">
    <w:name w:val="annotation text"/>
    <w:basedOn w:val="Normal"/>
    <w:link w:val="CommentTextChar"/>
    <w:uiPriority w:val="99"/>
    <w:semiHidden/>
    <w:unhideWhenUsed/>
    <w:rsid w:val="005E4DDF"/>
    <w:pPr>
      <w:spacing w:line="240" w:lineRule="auto"/>
    </w:pPr>
    <w:rPr>
      <w:sz w:val="20"/>
      <w:szCs w:val="20"/>
    </w:rPr>
  </w:style>
  <w:style w:type="character" w:customStyle="1" w:styleId="CommentTextChar">
    <w:name w:val="Comment Text Char"/>
    <w:basedOn w:val="DefaultParagraphFont"/>
    <w:link w:val="CommentText"/>
    <w:uiPriority w:val="99"/>
    <w:semiHidden/>
    <w:rsid w:val="005E4DDF"/>
    <w:rPr>
      <w:sz w:val="20"/>
      <w:szCs w:val="20"/>
    </w:rPr>
  </w:style>
  <w:style w:type="paragraph" w:styleId="CommentSubject">
    <w:name w:val="annotation subject"/>
    <w:basedOn w:val="CommentText"/>
    <w:next w:val="CommentText"/>
    <w:link w:val="CommentSubjectChar"/>
    <w:uiPriority w:val="99"/>
    <w:semiHidden/>
    <w:unhideWhenUsed/>
    <w:rsid w:val="005E4DDF"/>
    <w:rPr>
      <w:b/>
      <w:bCs/>
    </w:rPr>
  </w:style>
  <w:style w:type="character" w:customStyle="1" w:styleId="CommentSubjectChar">
    <w:name w:val="Comment Subject Char"/>
    <w:basedOn w:val="CommentTextChar"/>
    <w:link w:val="CommentSubject"/>
    <w:uiPriority w:val="99"/>
    <w:semiHidden/>
    <w:rsid w:val="005E4DDF"/>
    <w:rPr>
      <w:b/>
      <w:bCs/>
      <w:sz w:val="20"/>
      <w:szCs w:val="20"/>
    </w:rPr>
  </w:style>
  <w:style w:type="paragraph" w:styleId="FootnoteText">
    <w:name w:val="footnote text"/>
    <w:basedOn w:val="Normal"/>
    <w:link w:val="FootnoteTextChar"/>
    <w:uiPriority w:val="99"/>
    <w:semiHidden/>
    <w:unhideWhenUsed/>
    <w:rsid w:val="00E53F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F0F"/>
    <w:rPr>
      <w:sz w:val="20"/>
      <w:szCs w:val="20"/>
    </w:rPr>
  </w:style>
  <w:style w:type="character" w:styleId="FootnoteReference">
    <w:name w:val="footnote reference"/>
    <w:basedOn w:val="DefaultParagraphFont"/>
    <w:uiPriority w:val="99"/>
    <w:semiHidden/>
    <w:unhideWhenUsed/>
    <w:rsid w:val="00E53F0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C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7C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55F"/>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55F"/>
    <w:rPr>
      <w:color w:val="0563C1" w:themeColor="hyperlink"/>
      <w:u w:val="single"/>
    </w:rPr>
  </w:style>
  <w:style w:type="character" w:customStyle="1" w:styleId="bodytextbold1">
    <w:name w:val="bodytextbold1"/>
    <w:basedOn w:val="DefaultParagraphFont"/>
    <w:rsid w:val="002B455F"/>
    <w:rPr>
      <w:rFonts w:ascii="Arial" w:hAnsi="Arial" w:cs="Arial" w:hint="default"/>
      <w:b/>
      <w:bCs/>
      <w:sz w:val="18"/>
      <w:szCs w:val="18"/>
    </w:rPr>
  </w:style>
  <w:style w:type="character" w:customStyle="1" w:styleId="bodytextbold-blue1">
    <w:name w:val="bodytextbold-blue1"/>
    <w:basedOn w:val="DefaultParagraphFont"/>
    <w:rsid w:val="002B455F"/>
    <w:rPr>
      <w:rFonts w:ascii="Arial" w:hAnsi="Arial" w:cs="Arial" w:hint="default"/>
      <w:b/>
      <w:bCs/>
      <w:i w:val="0"/>
      <w:iCs w:val="0"/>
      <w:color w:val="3300FF"/>
      <w:sz w:val="18"/>
      <w:szCs w:val="18"/>
    </w:rPr>
  </w:style>
  <w:style w:type="character" w:customStyle="1" w:styleId="Heading3Char">
    <w:name w:val="Heading 3 Char"/>
    <w:basedOn w:val="DefaultParagraphFont"/>
    <w:link w:val="Heading3"/>
    <w:uiPriority w:val="9"/>
    <w:rsid w:val="002B455F"/>
    <w:rPr>
      <w:rFonts w:asciiTheme="majorHAnsi" w:eastAsiaTheme="majorEastAsia" w:hAnsiTheme="majorHAnsi" w:cstheme="majorBidi"/>
      <w:b/>
      <w:bCs/>
      <w:color w:val="5B9BD5" w:themeColor="accent1"/>
    </w:rPr>
  </w:style>
  <w:style w:type="paragraph" w:customStyle="1" w:styleId="Default">
    <w:name w:val="Default"/>
    <w:rsid w:val="003F15CA"/>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A00945"/>
    <w:pPr>
      <w:ind w:left="720"/>
      <w:contextualSpacing/>
    </w:pPr>
  </w:style>
  <w:style w:type="table" w:styleId="TableGrid">
    <w:name w:val="Table Grid"/>
    <w:basedOn w:val="TableNormal"/>
    <w:uiPriority w:val="39"/>
    <w:rsid w:val="002A1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7C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37C6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276E8"/>
    <w:pPr>
      <w:spacing w:after="0" w:line="240" w:lineRule="auto"/>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27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E8"/>
    <w:rPr>
      <w:rFonts w:ascii="Segoe UI" w:hAnsi="Segoe UI" w:cs="Segoe UI"/>
      <w:sz w:val="18"/>
      <w:szCs w:val="18"/>
    </w:rPr>
  </w:style>
  <w:style w:type="character" w:customStyle="1" w:styleId="citation">
    <w:name w:val="citation"/>
    <w:basedOn w:val="DefaultParagraphFont"/>
    <w:rsid w:val="003C5753"/>
  </w:style>
  <w:style w:type="character" w:customStyle="1" w:styleId="apple-converted-space">
    <w:name w:val="apple-converted-space"/>
    <w:basedOn w:val="DefaultParagraphFont"/>
    <w:rsid w:val="003C5753"/>
  </w:style>
  <w:style w:type="character" w:customStyle="1" w:styleId="reference">
    <w:name w:val="reference"/>
    <w:basedOn w:val="DefaultParagraphFont"/>
    <w:rsid w:val="003C5753"/>
  </w:style>
  <w:style w:type="character" w:customStyle="1" w:styleId="ordinal">
    <w:name w:val="ordinal"/>
    <w:basedOn w:val="DefaultParagraphFont"/>
    <w:rsid w:val="003C5753"/>
  </w:style>
  <w:style w:type="paragraph" w:styleId="TOCHeading">
    <w:name w:val="TOC Heading"/>
    <w:basedOn w:val="Heading1"/>
    <w:next w:val="Normal"/>
    <w:uiPriority w:val="39"/>
    <w:semiHidden/>
    <w:unhideWhenUsed/>
    <w:qFormat/>
    <w:rsid w:val="0039536A"/>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39536A"/>
    <w:pPr>
      <w:spacing w:after="100"/>
    </w:pPr>
  </w:style>
  <w:style w:type="paragraph" w:styleId="TOC2">
    <w:name w:val="toc 2"/>
    <w:basedOn w:val="Normal"/>
    <w:next w:val="Normal"/>
    <w:autoRedefine/>
    <w:uiPriority w:val="39"/>
    <w:unhideWhenUsed/>
    <w:rsid w:val="0039536A"/>
    <w:pPr>
      <w:spacing w:after="100"/>
      <w:ind w:left="220"/>
    </w:pPr>
  </w:style>
  <w:style w:type="paragraph" w:styleId="TOC3">
    <w:name w:val="toc 3"/>
    <w:basedOn w:val="Normal"/>
    <w:next w:val="Normal"/>
    <w:autoRedefine/>
    <w:uiPriority w:val="39"/>
    <w:unhideWhenUsed/>
    <w:rsid w:val="0039536A"/>
    <w:pPr>
      <w:spacing w:after="100"/>
      <w:ind w:left="440"/>
    </w:pPr>
  </w:style>
  <w:style w:type="paragraph" w:styleId="Header">
    <w:name w:val="header"/>
    <w:basedOn w:val="Normal"/>
    <w:link w:val="HeaderChar"/>
    <w:uiPriority w:val="99"/>
    <w:unhideWhenUsed/>
    <w:rsid w:val="006F0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DBE"/>
  </w:style>
  <w:style w:type="paragraph" w:styleId="Footer">
    <w:name w:val="footer"/>
    <w:basedOn w:val="Normal"/>
    <w:link w:val="FooterChar"/>
    <w:uiPriority w:val="99"/>
    <w:unhideWhenUsed/>
    <w:rsid w:val="006F0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DBE"/>
  </w:style>
  <w:style w:type="paragraph" w:styleId="HTMLPreformatted">
    <w:name w:val="HTML Preformatted"/>
    <w:basedOn w:val="Normal"/>
    <w:link w:val="HTMLPreformattedChar"/>
    <w:uiPriority w:val="99"/>
    <w:semiHidden/>
    <w:unhideWhenUsed/>
    <w:rsid w:val="00BE7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EBA"/>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5E4DDF"/>
    <w:rPr>
      <w:sz w:val="16"/>
      <w:szCs w:val="16"/>
    </w:rPr>
  </w:style>
  <w:style w:type="paragraph" w:styleId="CommentText">
    <w:name w:val="annotation text"/>
    <w:basedOn w:val="Normal"/>
    <w:link w:val="CommentTextChar"/>
    <w:uiPriority w:val="99"/>
    <w:semiHidden/>
    <w:unhideWhenUsed/>
    <w:rsid w:val="005E4DDF"/>
    <w:pPr>
      <w:spacing w:line="240" w:lineRule="auto"/>
    </w:pPr>
    <w:rPr>
      <w:sz w:val="20"/>
      <w:szCs w:val="20"/>
    </w:rPr>
  </w:style>
  <w:style w:type="character" w:customStyle="1" w:styleId="CommentTextChar">
    <w:name w:val="Comment Text Char"/>
    <w:basedOn w:val="DefaultParagraphFont"/>
    <w:link w:val="CommentText"/>
    <w:uiPriority w:val="99"/>
    <w:semiHidden/>
    <w:rsid w:val="005E4DDF"/>
    <w:rPr>
      <w:sz w:val="20"/>
      <w:szCs w:val="20"/>
    </w:rPr>
  </w:style>
  <w:style w:type="paragraph" w:styleId="CommentSubject">
    <w:name w:val="annotation subject"/>
    <w:basedOn w:val="CommentText"/>
    <w:next w:val="CommentText"/>
    <w:link w:val="CommentSubjectChar"/>
    <w:uiPriority w:val="99"/>
    <w:semiHidden/>
    <w:unhideWhenUsed/>
    <w:rsid w:val="005E4DDF"/>
    <w:rPr>
      <w:b/>
      <w:bCs/>
    </w:rPr>
  </w:style>
  <w:style w:type="character" w:customStyle="1" w:styleId="CommentSubjectChar">
    <w:name w:val="Comment Subject Char"/>
    <w:basedOn w:val="CommentTextChar"/>
    <w:link w:val="CommentSubject"/>
    <w:uiPriority w:val="99"/>
    <w:semiHidden/>
    <w:rsid w:val="005E4DDF"/>
    <w:rPr>
      <w:b/>
      <w:bCs/>
      <w:sz w:val="20"/>
      <w:szCs w:val="20"/>
    </w:rPr>
  </w:style>
  <w:style w:type="paragraph" w:styleId="FootnoteText">
    <w:name w:val="footnote text"/>
    <w:basedOn w:val="Normal"/>
    <w:link w:val="FootnoteTextChar"/>
    <w:uiPriority w:val="99"/>
    <w:semiHidden/>
    <w:unhideWhenUsed/>
    <w:rsid w:val="00E53F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F0F"/>
    <w:rPr>
      <w:sz w:val="20"/>
      <w:szCs w:val="20"/>
    </w:rPr>
  </w:style>
  <w:style w:type="character" w:styleId="FootnoteReference">
    <w:name w:val="footnote reference"/>
    <w:basedOn w:val="DefaultParagraphFont"/>
    <w:uiPriority w:val="99"/>
    <w:semiHidden/>
    <w:unhideWhenUsed/>
    <w:rsid w:val="00E53F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61551">
      <w:bodyDiv w:val="1"/>
      <w:marLeft w:val="0"/>
      <w:marRight w:val="0"/>
      <w:marTop w:val="0"/>
      <w:marBottom w:val="0"/>
      <w:divBdr>
        <w:top w:val="none" w:sz="0" w:space="0" w:color="auto"/>
        <w:left w:val="none" w:sz="0" w:space="0" w:color="auto"/>
        <w:bottom w:val="none" w:sz="0" w:space="0" w:color="auto"/>
        <w:right w:val="none" w:sz="0" w:space="0" w:color="auto"/>
      </w:divBdr>
    </w:div>
    <w:div w:id="144663468">
      <w:bodyDiv w:val="1"/>
      <w:marLeft w:val="0"/>
      <w:marRight w:val="0"/>
      <w:marTop w:val="0"/>
      <w:marBottom w:val="0"/>
      <w:divBdr>
        <w:top w:val="none" w:sz="0" w:space="0" w:color="auto"/>
        <w:left w:val="none" w:sz="0" w:space="0" w:color="auto"/>
        <w:bottom w:val="none" w:sz="0" w:space="0" w:color="auto"/>
        <w:right w:val="none" w:sz="0" w:space="0" w:color="auto"/>
      </w:divBdr>
    </w:div>
    <w:div w:id="229776319">
      <w:bodyDiv w:val="1"/>
      <w:marLeft w:val="0"/>
      <w:marRight w:val="0"/>
      <w:marTop w:val="0"/>
      <w:marBottom w:val="0"/>
      <w:divBdr>
        <w:top w:val="none" w:sz="0" w:space="0" w:color="auto"/>
        <w:left w:val="none" w:sz="0" w:space="0" w:color="auto"/>
        <w:bottom w:val="none" w:sz="0" w:space="0" w:color="auto"/>
        <w:right w:val="none" w:sz="0" w:space="0" w:color="auto"/>
      </w:divBdr>
    </w:div>
    <w:div w:id="414285402">
      <w:bodyDiv w:val="1"/>
      <w:marLeft w:val="0"/>
      <w:marRight w:val="0"/>
      <w:marTop w:val="0"/>
      <w:marBottom w:val="0"/>
      <w:divBdr>
        <w:top w:val="none" w:sz="0" w:space="0" w:color="auto"/>
        <w:left w:val="none" w:sz="0" w:space="0" w:color="auto"/>
        <w:bottom w:val="none" w:sz="0" w:space="0" w:color="auto"/>
        <w:right w:val="none" w:sz="0" w:space="0" w:color="auto"/>
      </w:divBdr>
    </w:div>
    <w:div w:id="485248146">
      <w:bodyDiv w:val="1"/>
      <w:marLeft w:val="0"/>
      <w:marRight w:val="0"/>
      <w:marTop w:val="0"/>
      <w:marBottom w:val="0"/>
      <w:divBdr>
        <w:top w:val="none" w:sz="0" w:space="0" w:color="auto"/>
        <w:left w:val="none" w:sz="0" w:space="0" w:color="auto"/>
        <w:bottom w:val="none" w:sz="0" w:space="0" w:color="auto"/>
        <w:right w:val="none" w:sz="0" w:space="0" w:color="auto"/>
      </w:divBdr>
    </w:div>
    <w:div w:id="517548723">
      <w:bodyDiv w:val="1"/>
      <w:marLeft w:val="0"/>
      <w:marRight w:val="0"/>
      <w:marTop w:val="0"/>
      <w:marBottom w:val="0"/>
      <w:divBdr>
        <w:top w:val="none" w:sz="0" w:space="0" w:color="auto"/>
        <w:left w:val="none" w:sz="0" w:space="0" w:color="auto"/>
        <w:bottom w:val="none" w:sz="0" w:space="0" w:color="auto"/>
        <w:right w:val="none" w:sz="0" w:space="0" w:color="auto"/>
      </w:divBdr>
    </w:div>
    <w:div w:id="580141583">
      <w:bodyDiv w:val="1"/>
      <w:marLeft w:val="0"/>
      <w:marRight w:val="0"/>
      <w:marTop w:val="0"/>
      <w:marBottom w:val="0"/>
      <w:divBdr>
        <w:top w:val="none" w:sz="0" w:space="0" w:color="auto"/>
        <w:left w:val="none" w:sz="0" w:space="0" w:color="auto"/>
        <w:bottom w:val="none" w:sz="0" w:space="0" w:color="auto"/>
        <w:right w:val="none" w:sz="0" w:space="0" w:color="auto"/>
      </w:divBdr>
    </w:div>
    <w:div w:id="878593245">
      <w:bodyDiv w:val="1"/>
      <w:marLeft w:val="0"/>
      <w:marRight w:val="0"/>
      <w:marTop w:val="0"/>
      <w:marBottom w:val="0"/>
      <w:divBdr>
        <w:top w:val="none" w:sz="0" w:space="0" w:color="auto"/>
        <w:left w:val="none" w:sz="0" w:space="0" w:color="auto"/>
        <w:bottom w:val="none" w:sz="0" w:space="0" w:color="auto"/>
        <w:right w:val="none" w:sz="0" w:space="0" w:color="auto"/>
      </w:divBdr>
    </w:div>
    <w:div w:id="926769251">
      <w:bodyDiv w:val="1"/>
      <w:marLeft w:val="0"/>
      <w:marRight w:val="0"/>
      <w:marTop w:val="0"/>
      <w:marBottom w:val="0"/>
      <w:divBdr>
        <w:top w:val="none" w:sz="0" w:space="0" w:color="auto"/>
        <w:left w:val="none" w:sz="0" w:space="0" w:color="auto"/>
        <w:bottom w:val="none" w:sz="0" w:space="0" w:color="auto"/>
        <w:right w:val="none" w:sz="0" w:space="0" w:color="auto"/>
      </w:divBdr>
    </w:div>
    <w:div w:id="1007485428">
      <w:bodyDiv w:val="1"/>
      <w:marLeft w:val="0"/>
      <w:marRight w:val="0"/>
      <w:marTop w:val="0"/>
      <w:marBottom w:val="0"/>
      <w:divBdr>
        <w:top w:val="none" w:sz="0" w:space="0" w:color="auto"/>
        <w:left w:val="none" w:sz="0" w:space="0" w:color="auto"/>
        <w:bottom w:val="none" w:sz="0" w:space="0" w:color="auto"/>
        <w:right w:val="none" w:sz="0" w:space="0" w:color="auto"/>
      </w:divBdr>
    </w:div>
    <w:div w:id="1118337554">
      <w:bodyDiv w:val="1"/>
      <w:marLeft w:val="0"/>
      <w:marRight w:val="0"/>
      <w:marTop w:val="0"/>
      <w:marBottom w:val="0"/>
      <w:divBdr>
        <w:top w:val="none" w:sz="0" w:space="0" w:color="auto"/>
        <w:left w:val="none" w:sz="0" w:space="0" w:color="auto"/>
        <w:bottom w:val="none" w:sz="0" w:space="0" w:color="auto"/>
        <w:right w:val="none" w:sz="0" w:space="0" w:color="auto"/>
      </w:divBdr>
    </w:div>
    <w:div w:id="1392653361">
      <w:bodyDiv w:val="1"/>
      <w:marLeft w:val="0"/>
      <w:marRight w:val="0"/>
      <w:marTop w:val="0"/>
      <w:marBottom w:val="0"/>
      <w:divBdr>
        <w:top w:val="none" w:sz="0" w:space="0" w:color="auto"/>
        <w:left w:val="none" w:sz="0" w:space="0" w:color="auto"/>
        <w:bottom w:val="none" w:sz="0" w:space="0" w:color="auto"/>
        <w:right w:val="none" w:sz="0" w:space="0" w:color="auto"/>
      </w:divBdr>
    </w:div>
    <w:div w:id="1460757863">
      <w:bodyDiv w:val="1"/>
      <w:marLeft w:val="0"/>
      <w:marRight w:val="0"/>
      <w:marTop w:val="0"/>
      <w:marBottom w:val="0"/>
      <w:divBdr>
        <w:top w:val="none" w:sz="0" w:space="0" w:color="auto"/>
        <w:left w:val="none" w:sz="0" w:space="0" w:color="auto"/>
        <w:bottom w:val="none" w:sz="0" w:space="0" w:color="auto"/>
        <w:right w:val="none" w:sz="0" w:space="0" w:color="auto"/>
      </w:divBdr>
    </w:div>
    <w:div w:id="1524440465">
      <w:bodyDiv w:val="1"/>
      <w:marLeft w:val="0"/>
      <w:marRight w:val="0"/>
      <w:marTop w:val="0"/>
      <w:marBottom w:val="0"/>
      <w:divBdr>
        <w:top w:val="none" w:sz="0" w:space="0" w:color="auto"/>
        <w:left w:val="none" w:sz="0" w:space="0" w:color="auto"/>
        <w:bottom w:val="none" w:sz="0" w:space="0" w:color="auto"/>
        <w:right w:val="none" w:sz="0" w:space="0" w:color="auto"/>
      </w:divBdr>
    </w:div>
    <w:div w:id="1829978397">
      <w:bodyDiv w:val="1"/>
      <w:marLeft w:val="0"/>
      <w:marRight w:val="0"/>
      <w:marTop w:val="0"/>
      <w:marBottom w:val="0"/>
      <w:divBdr>
        <w:top w:val="none" w:sz="0" w:space="0" w:color="auto"/>
        <w:left w:val="none" w:sz="0" w:space="0" w:color="auto"/>
        <w:bottom w:val="none" w:sz="0" w:space="0" w:color="auto"/>
        <w:right w:val="none" w:sz="0" w:space="0" w:color="auto"/>
      </w:divBdr>
    </w:div>
    <w:div w:id="1838835962">
      <w:bodyDiv w:val="1"/>
      <w:marLeft w:val="0"/>
      <w:marRight w:val="0"/>
      <w:marTop w:val="0"/>
      <w:marBottom w:val="0"/>
      <w:divBdr>
        <w:top w:val="none" w:sz="0" w:space="0" w:color="auto"/>
        <w:left w:val="none" w:sz="0" w:space="0" w:color="auto"/>
        <w:bottom w:val="none" w:sz="0" w:space="0" w:color="auto"/>
        <w:right w:val="none" w:sz="0" w:space="0" w:color="auto"/>
      </w:divBdr>
    </w:div>
    <w:div w:id="1908110007">
      <w:bodyDiv w:val="1"/>
      <w:marLeft w:val="0"/>
      <w:marRight w:val="0"/>
      <w:marTop w:val="0"/>
      <w:marBottom w:val="0"/>
      <w:divBdr>
        <w:top w:val="none" w:sz="0" w:space="0" w:color="auto"/>
        <w:left w:val="none" w:sz="0" w:space="0" w:color="auto"/>
        <w:bottom w:val="none" w:sz="0" w:space="0" w:color="auto"/>
        <w:right w:val="none" w:sz="0" w:space="0" w:color="auto"/>
      </w:divBdr>
    </w:div>
    <w:div w:id="205654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image" Target="media/image8.emf"/><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1.tmp"/><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0.tmp"/><Relationship Id="rId28" Type="http://schemas.openxmlformats.org/officeDocument/2006/relationships/theme" Target="theme/theme1.xml"/><Relationship Id="rId10" Type="http://schemas.openxmlformats.org/officeDocument/2006/relationships/hyperlink" Target="http://agriculture.vermont.gov/vael" TargetMode="External"/><Relationship Id="rId19" Type="http://schemas.openxmlformats.org/officeDocument/2006/relationships/hyperlink" Target="http://waterdata.usgs.gov/vt/nwis/rt" TargetMode="Externa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9.tmp"/><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00186-52AB-4B60-8E18-671C0392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22</Pages>
  <Words>3925</Words>
  <Characters>22373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dc:creator>
  <cp:lastModifiedBy>Kristen</cp:lastModifiedBy>
  <cp:revision>21</cp:revision>
  <cp:lastPrinted>2017-06-28T16:13:00Z</cp:lastPrinted>
  <dcterms:created xsi:type="dcterms:W3CDTF">2017-10-11T12:27:00Z</dcterms:created>
  <dcterms:modified xsi:type="dcterms:W3CDTF">2017-10-31T20:09:00Z</dcterms:modified>
</cp:coreProperties>
</file>